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Kountze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 LIBERTY LANE WEST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HAMPTON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03842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UNITIL CORP</w:t>
              </w:r>
            </w:hyperlink>
            <w:r>
              <w:rPr/>
              <w:t xml:space="preserve"> [ </w:t>
            </w:r>
            <w:r>
              <w:rPr>
                <w:rFonts w:ascii="Times;serif" w:hAnsi="Times;serif"/>
                <w:color w:val="0000FF"/>
                <w:sz w:val="24"/>
                <w:shd w:fill="FFFFFF" w:val="clear"/>
              </w:rPr>
              <w:t>UTL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granted pursuant to the Unitil Corporation Third Amended and Restated 2003 Stock Plan and transferred into my name in connection with the stock portion of my annual retainer fee as a Director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P. Meissner, Jr., attorney-in-fact for Katherine Kountze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939" TargetMode="External"/><Relationship Id="rId5" Type="http://schemas.openxmlformats.org/officeDocument/2006/relationships/hyperlink" Target="http://www.sec.gov/cgi-bin/browse-edgar?action=getcompany&amp;CIK=00007550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3260</Characters>
  <CharactersWithSpaces>3798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