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Winfield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 LIBERTY LANE WEST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HAMPTON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03842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UNITIL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equivalent in value to one share of Unitil Corporation's common stock, no par value ("Common Stock"), and represents the right to receive a combination of cash and Common Stock after separation from service on Unitil Corporation's Board of Directors. Each restricted stock unit is fully vested upon grant and is payable 70% in Common Stock and 30% in cash, based upon the closing price of Common Stock on the day prior to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Meissner, Jr., attorney-in-fact for Winfield S.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079" TargetMode="External"/><Relationship Id="rId5" Type="http://schemas.openxmlformats.org/officeDocument/2006/relationships/hyperlink" Target="http://www.sec.gov/cgi-bin/browse-edgar?action=getcompany&amp;CIK=00007550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3507</Characters>
  <CharactersWithSpaces>4091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