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407035</wp:posOffset>
            </wp:positionH>
            <wp:positionV relativeFrom="paragraph">
              <wp:posOffset>219075</wp:posOffset>
            </wp:positionV>
            <wp:extent cx="6337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407035</wp:posOffset>
            </wp:positionH>
            <wp:positionV relativeFrom="paragraph">
              <wp:posOffset>-220345</wp:posOffset>
            </wp:positionV>
            <wp:extent cx="63373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146050</wp:posOffset>
            </wp:positionV>
            <wp:extent cx="13284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(Rule 14a-101)</w:t>
      </w:r>
    </w:p>
    <w:p>
      <w:pPr>
        <w:jc w:val="center"/>
        <w:ind w:right="-1100"/>
        <w:spacing w:after="0" w:line="232" w:lineRule="auto"/>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SCHEDULE 14A INFORMATION</w:t>
      </w:r>
    </w:p>
    <w:p>
      <w:pPr>
        <w:spacing w:after="0" w:line="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137795</wp:posOffset>
            </wp:positionV>
            <wp:extent cx="13284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73" w:lineRule="exact"/>
        <w:rPr>
          <w:sz w:val="24"/>
          <w:szCs w:val="24"/>
          <w:color w:val="auto"/>
        </w:rPr>
      </w:pPr>
    </w:p>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13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99" w:lineRule="exact"/>
        <w:rPr>
          <w:sz w:val="24"/>
          <w:szCs w:val="24"/>
          <w:color w:val="auto"/>
        </w:rPr>
      </w:pPr>
    </w:p>
    <w:p>
      <w:pPr>
        <w:ind w:left="1020" w:hanging="386"/>
        <w:spacing w:after="0"/>
        <w:tabs>
          <w:tab w:leader="none" w:pos="10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22" w:lineRule="exact"/>
        <w:rPr>
          <w:rFonts w:ascii="MS PGothic" w:cs="MS PGothic" w:eastAsia="MS PGothic" w:hAnsi="MS PGothic"/>
          <w:sz w:val="14"/>
          <w:szCs w:val="14"/>
          <w:color w:val="auto"/>
        </w:rPr>
      </w:pPr>
    </w:p>
    <w:p>
      <w:pPr>
        <w:ind w:left="1020" w:hanging="386"/>
        <w:spacing w:after="0"/>
        <w:tabs>
          <w:tab w:leader="none" w:pos="10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27" w:lineRule="exact"/>
        <w:rPr>
          <w:sz w:val="24"/>
          <w:szCs w:val="24"/>
          <w:color w:val="auto"/>
        </w:rPr>
      </w:pPr>
    </w:p>
    <w:p>
      <w:pPr>
        <w:ind w:left="1020" w:hanging="386"/>
        <w:spacing w:after="0"/>
        <w:tabs>
          <w:tab w:leader="none" w:pos="10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25" w:lineRule="exact"/>
        <w:rPr>
          <w:sz w:val="24"/>
          <w:szCs w:val="24"/>
          <w:color w:val="auto"/>
        </w:rPr>
      </w:pPr>
    </w:p>
    <w:p>
      <w:pPr>
        <w:ind w:left="1020" w:hanging="386"/>
        <w:spacing w:after="0"/>
        <w:tabs>
          <w:tab w:leader="none" w:pos="102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24" w:lineRule="exact"/>
        <w:rPr>
          <w:rFonts w:ascii="MS PGothic" w:cs="MS PGothic" w:eastAsia="MS PGothic" w:hAnsi="MS PGothic"/>
          <w:sz w:val="14"/>
          <w:szCs w:val="14"/>
          <w:color w:val="auto"/>
        </w:rPr>
      </w:pPr>
    </w:p>
    <w:p>
      <w:pPr>
        <w:ind w:left="1020" w:hanging="386"/>
        <w:spacing w:after="0"/>
        <w:tabs>
          <w:tab w:leader="none" w:pos="102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18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8"/>
          <w:szCs w:val="38"/>
          <w:b w:val="1"/>
          <w:bCs w:val="1"/>
          <w:color w:val="auto"/>
        </w:rPr>
        <w:t>UNITIL CORPORATION</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7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color w:val="auto"/>
        </w:rPr>
        <w:t>Payment of Filing Fee (Check all boxes that apply):</w:t>
      </w:r>
    </w:p>
    <w:p>
      <w:pPr>
        <w:spacing w:after="0" w:line="86" w:lineRule="exact"/>
        <w:rPr>
          <w:sz w:val="24"/>
          <w:szCs w:val="24"/>
          <w:color w:val="auto"/>
        </w:rPr>
      </w:pPr>
    </w:p>
    <w:p>
      <w:pPr>
        <w:ind w:left="1140" w:hanging="506"/>
        <w:spacing w:after="0"/>
        <w:tabs>
          <w:tab w:leader="none" w:pos="114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12" w:lineRule="exact"/>
        <w:rPr>
          <w:sz w:val="24"/>
          <w:szCs w:val="24"/>
          <w:color w:val="auto"/>
        </w:rPr>
      </w:pPr>
    </w:p>
    <w:p>
      <w:pPr>
        <w:ind w:left="1140" w:hanging="506"/>
        <w:spacing w:after="0"/>
        <w:tabs>
          <w:tab w:leader="none" w:pos="114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11" w:lineRule="exact"/>
        <w:rPr>
          <w:rFonts w:ascii="MS PGothic" w:cs="MS PGothic" w:eastAsia="MS PGothic" w:hAnsi="MS PGothic"/>
          <w:sz w:val="14"/>
          <w:szCs w:val="14"/>
          <w:color w:val="auto"/>
        </w:rPr>
      </w:pPr>
    </w:p>
    <w:p>
      <w:pPr>
        <w:ind w:left="1140" w:hanging="506"/>
        <w:spacing w:after="0"/>
        <w:tabs>
          <w:tab w:leader="none" w:pos="114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407035</wp:posOffset>
            </wp:positionH>
            <wp:positionV relativeFrom="paragraph">
              <wp:posOffset>52070</wp:posOffset>
            </wp:positionV>
            <wp:extent cx="63373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93345</wp:posOffset>
            </wp:positionV>
            <wp:extent cx="6337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85" w:lineRule="exact"/>
        <w:rPr>
          <w:sz w:val="20"/>
          <w:szCs w:val="20"/>
          <w:color w:val="auto"/>
        </w:rPr>
      </w:pPr>
    </w:p>
    <w:p>
      <w:pPr>
        <w:jc w:val="center"/>
        <w:ind w:right="-1100"/>
        <w:spacing w:after="0"/>
        <w:rPr>
          <w:sz w:val="20"/>
          <w:szCs w:val="20"/>
          <w:color w:val="auto"/>
        </w:rPr>
      </w:pPr>
      <w:r>
        <w:rPr>
          <w:rFonts w:ascii="Arial" w:cs="Arial" w:eastAsia="Arial" w:hAnsi="Arial"/>
          <w:sz w:val="49"/>
          <w:szCs w:val="49"/>
          <w:b w:val="1"/>
          <w:bCs w:val="1"/>
          <w:color w:val="auto"/>
        </w:rPr>
        <w:t>Unitil Corporation</w:t>
      </w:r>
    </w:p>
    <w:p>
      <w:pPr>
        <w:spacing w:after="0" w:line="200" w:lineRule="exact"/>
        <w:rPr>
          <w:sz w:val="20"/>
          <w:szCs w:val="20"/>
          <w:color w:val="auto"/>
        </w:rPr>
      </w:pPr>
    </w:p>
    <w:p>
      <w:pPr>
        <w:spacing w:after="0" w:line="286" w:lineRule="exact"/>
        <w:rPr>
          <w:sz w:val="20"/>
          <w:szCs w:val="20"/>
          <w:color w:val="auto"/>
        </w:rPr>
      </w:pPr>
    </w:p>
    <w:p>
      <w:pPr>
        <w:jc w:val="center"/>
        <w:ind w:right="-1100"/>
        <w:spacing w:after="0"/>
        <w:rPr>
          <w:sz w:val="20"/>
          <w:szCs w:val="20"/>
          <w:color w:val="auto"/>
        </w:rPr>
      </w:pPr>
      <w:r>
        <w:rPr>
          <w:rFonts w:ascii="Arial" w:cs="Arial" w:eastAsia="Arial" w:hAnsi="Arial"/>
          <w:sz w:val="35"/>
          <w:szCs w:val="35"/>
          <w:b w:val="1"/>
          <w:bCs w:val="1"/>
          <w:color w:val="auto"/>
        </w:rPr>
        <w:t>2026 Proxy Statement</w:t>
      </w:r>
    </w:p>
    <w:p>
      <w:pPr>
        <w:spacing w:after="0" w:line="36" w:lineRule="exact"/>
        <w:rPr>
          <w:sz w:val="20"/>
          <w:szCs w:val="20"/>
          <w:color w:val="auto"/>
        </w:rPr>
      </w:pPr>
    </w:p>
    <w:p>
      <w:pPr>
        <w:jc w:val="center"/>
        <w:ind w:right="-1100"/>
        <w:spacing w:after="0"/>
        <w:rPr>
          <w:sz w:val="20"/>
          <w:szCs w:val="20"/>
          <w:color w:val="auto"/>
        </w:rPr>
      </w:pPr>
      <w:r>
        <w:rPr>
          <w:rFonts w:ascii="Arial" w:cs="Arial" w:eastAsia="Arial" w:hAnsi="Arial"/>
          <w:sz w:val="34"/>
          <w:szCs w:val="34"/>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1727200</wp:posOffset>
            </wp:positionH>
            <wp:positionV relativeFrom="paragraph">
              <wp:posOffset>396240</wp:posOffset>
            </wp:positionV>
            <wp:extent cx="3696335" cy="4323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96335" cy="432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Wednesday, April 29, 2026</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11:30 a.m. EDT</w:t>
      </w:r>
    </w:p>
    <w:p>
      <w:pPr>
        <w:spacing w:after="0" w:line="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Hampton, New Hampshire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154305</wp:posOffset>
            </wp:positionV>
            <wp:extent cx="6337300" cy="82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210820</wp:posOffset>
            </wp:positionV>
            <wp:extent cx="1155065" cy="313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55065" cy="31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40"/>
        <w:spacing w:after="0"/>
        <w:rPr>
          <w:sz w:val="20"/>
          <w:szCs w:val="20"/>
          <w:color w:val="auto"/>
        </w:rPr>
      </w:pPr>
      <w:r>
        <w:rPr>
          <w:rFonts w:ascii="Arial" w:cs="Arial" w:eastAsia="Arial" w:hAnsi="Arial"/>
          <w:sz w:val="21"/>
          <w:szCs w:val="21"/>
          <w:color w:val="auto"/>
        </w:rPr>
        <w:t>March 27, 2026</w:t>
      </w:r>
    </w:p>
    <w:p>
      <w:pPr>
        <w:spacing w:after="0" w:line="200" w:lineRule="exact"/>
        <w:rPr>
          <w:sz w:val="20"/>
          <w:szCs w:val="20"/>
          <w:color w:val="auto"/>
        </w:rPr>
      </w:pPr>
    </w:p>
    <w:p>
      <w:pPr>
        <w:spacing w:after="0" w:line="208" w:lineRule="exact"/>
        <w:rPr>
          <w:sz w:val="20"/>
          <w:szCs w:val="20"/>
          <w:color w:val="auto"/>
        </w:rPr>
      </w:pPr>
    </w:p>
    <w:p>
      <w:pPr>
        <w:ind w:left="1640"/>
        <w:spacing w:after="0"/>
        <w:rPr>
          <w:sz w:val="20"/>
          <w:szCs w:val="20"/>
          <w:color w:val="auto"/>
        </w:rPr>
      </w:pPr>
      <w:r>
        <w:rPr>
          <w:rFonts w:ascii="Arial" w:cs="Arial" w:eastAsia="Arial" w:hAnsi="Arial"/>
          <w:sz w:val="21"/>
          <w:szCs w:val="21"/>
          <w:color w:val="auto"/>
        </w:rPr>
        <w:t>Dear Fellow Shareholder,</w:t>
      </w:r>
    </w:p>
    <w:p>
      <w:pPr>
        <w:spacing w:after="0" w:line="200" w:lineRule="exact"/>
        <w:rPr>
          <w:sz w:val="20"/>
          <w:szCs w:val="20"/>
          <w:color w:val="auto"/>
        </w:rPr>
      </w:pPr>
    </w:p>
    <w:p>
      <w:pPr>
        <w:ind w:left="1640" w:right="40"/>
        <w:spacing w:after="0" w:line="248" w:lineRule="auto"/>
        <w:rPr>
          <w:sz w:val="20"/>
          <w:szCs w:val="20"/>
          <w:color w:val="auto"/>
        </w:rPr>
      </w:pPr>
      <w:r>
        <w:rPr>
          <w:rFonts w:ascii="Arial" w:cs="Arial" w:eastAsia="Arial" w:hAnsi="Arial"/>
          <w:sz w:val="21"/>
          <w:szCs w:val="21"/>
          <w:color w:val="auto"/>
        </w:rPr>
        <w:t>I am pleased to invite you to the Unitil Corporation Annual Meeting of Shareholders to be held on Wednesday, April 29, 2026, at 11:30 a.m. EDT, at our corporate headquarters, 6 Liberty Lane West, Hampton, New Hampshire 03842-1720.</w:t>
      </w:r>
    </w:p>
    <w:p>
      <w:pPr>
        <w:spacing w:after="0" w:line="161" w:lineRule="exact"/>
        <w:rPr>
          <w:sz w:val="20"/>
          <w:szCs w:val="20"/>
          <w:color w:val="auto"/>
        </w:rPr>
      </w:pPr>
    </w:p>
    <w:p>
      <w:pPr>
        <w:ind w:left="1640" w:right="60"/>
        <w:spacing w:after="0" w:line="267" w:lineRule="auto"/>
        <w:rPr>
          <w:sz w:val="20"/>
          <w:szCs w:val="20"/>
          <w:color w:val="auto"/>
        </w:rPr>
      </w:pPr>
      <w:r>
        <w:rPr>
          <w:rFonts w:ascii="Arial" w:cs="Arial" w:eastAsia="Arial" w:hAnsi="Arial"/>
          <w:sz w:val="20"/>
          <w:szCs w:val="20"/>
          <w:color w:val="auto"/>
        </w:rPr>
        <w:t>This year, we are asking shareholders to vote on the election of three directors and on the ratification of the selection of independent registered public accountants for fiscal year 2026. Also, this year, shareholders will be presented with an advisory vote on executive compensation.</w:t>
      </w:r>
    </w:p>
    <w:p>
      <w:pPr>
        <w:spacing w:after="0" w:line="142" w:lineRule="exact"/>
        <w:rPr>
          <w:sz w:val="20"/>
          <w:szCs w:val="20"/>
          <w:color w:val="auto"/>
        </w:rPr>
      </w:pPr>
    </w:p>
    <w:p>
      <w:pPr>
        <w:ind w:left="1640"/>
        <w:spacing w:after="0" w:line="248" w:lineRule="auto"/>
        <w:rPr>
          <w:sz w:val="20"/>
          <w:szCs w:val="20"/>
          <w:color w:val="auto"/>
        </w:rPr>
      </w:pPr>
      <w:r>
        <w:rPr>
          <w:rFonts w:ascii="Arial" w:cs="Arial" w:eastAsia="Arial" w:hAnsi="Arial"/>
          <w:sz w:val="21"/>
          <w:szCs w:val="21"/>
          <w:color w:val="auto"/>
        </w:rPr>
        <w:t>Your vote is very important. We encourage you to vote to ensure that your voice is represented at the meeting, and to play a part in our future. The enclosed proxy materials provide important information to assist you with your voting decisions and instructions to submit your vote.</w:t>
      </w:r>
    </w:p>
    <w:p>
      <w:pPr>
        <w:spacing w:after="0" w:line="161" w:lineRule="exact"/>
        <w:rPr>
          <w:sz w:val="20"/>
          <w:szCs w:val="20"/>
          <w:color w:val="auto"/>
        </w:rPr>
      </w:pPr>
    </w:p>
    <w:p>
      <w:pPr>
        <w:ind w:left="1640"/>
        <w:spacing w:after="0" w:line="255" w:lineRule="auto"/>
        <w:rPr>
          <w:sz w:val="20"/>
          <w:szCs w:val="20"/>
          <w:color w:val="auto"/>
        </w:rPr>
      </w:pPr>
      <w:r>
        <w:rPr>
          <w:rFonts w:ascii="Arial" w:cs="Arial" w:eastAsia="Arial" w:hAnsi="Arial"/>
          <w:sz w:val="20"/>
          <w:szCs w:val="20"/>
          <w:color w:val="auto"/>
        </w:rPr>
        <w:t>I would like to thank you for choosing to invest in Unitil Corporation. Throughout 2025, we honored our commitments to our shareholders, customers, employees, local communities and partners by investing in people, technology, and assets, delivering exceptional customer service, and producing strong financial results. Looking forward, our disciplined approach to operating excellence, financial integrity, and strategy execution will continue to support those commitments.</w:t>
      </w:r>
    </w:p>
    <w:p>
      <w:pPr>
        <w:spacing w:after="0" w:line="156" w:lineRule="exact"/>
        <w:rPr>
          <w:sz w:val="20"/>
          <w:szCs w:val="20"/>
          <w:color w:val="auto"/>
        </w:rPr>
      </w:pPr>
    </w:p>
    <w:p>
      <w:pPr>
        <w:ind w:left="1640" w:right="360"/>
        <w:spacing w:after="0" w:line="264" w:lineRule="auto"/>
        <w:rPr>
          <w:sz w:val="20"/>
          <w:szCs w:val="20"/>
          <w:color w:val="auto"/>
        </w:rPr>
      </w:pPr>
      <w:r>
        <w:rPr>
          <w:rFonts w:ascii="Arial" w:cs="Arial" w:eastAsia="Arial" w:hAnsi="Arial"/>
          <w:sz w:val="21"/>
          <w:szCs w:val="21"/>
          <w:color w:val="auto"/>
        </w:rPr>
        <w:t>On behalf of the Board of Directors and management of Unitil Corporation, thank you for your continued support and confidence in 2026.</w:t>
      </w:r>
    </w:p>
    <w:p>
      <w:pPr>
        <w:spacing w:after="0" w:line="144" w:lineRule="exact"/>
        <w:rPr>
          <w:sz w:val="20"/>
          <w:szCs w:val="20"/>
          <w:color w:val="auto"/>
        </w:rPr>
      </w:pPr>
    </w:p>
    <w:p>
      <w:pPr>
        <w:ind w:left="1640"/>
        <w:spacing w:after="0"/>
        <w:rPr>
          <w:sz w:val="20"/>
          <w:szCs w:val="20"/>
          <w:color w:val="auto"/>
        </w:rPr>
      </w:pPr>
      <w:r>
        <w:rPr>
          <w:rFonts w:ascii="Arial" w:cs="Arial" w:eastAsia="Arial" w:hAnsi="Arial"/>
          <w:sz w:val="21"/>
          <w:szCs w:val="2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160655</wp:posOffset>
            </wp:positionV>
            <wp:extent cx="2071370" cy="775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71370" cy="775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640"/>
        <w:spacing w:after="0"/>
        <w:rPr>
          <w:sz w:val="20"/>
          <w:szCs w:val="20"/>
          <w:color w:val="auto"/>
        </w:rPr>
      </w:pPr>
      <w:r>
        <w:rPr>
          <w:rFonts w:ascii="Arial" w:cs="Arial" w:eastAsia="Arial" w:hAnsi="Arial"/>
          <w:sz w:val="21"/>
          <w:szCs w:val="21"/>
          <w:color w:val="auto"/>
        </w:rPr>
        <w:t>Thomas P. Meissner, Jr.</w:t>
      </w:r>
    </w:p>
    <w:p>
      <w:pPr>
        <w:spacing w:after="0" w:line="124" w:lineRule="exact"/>
        <w:rPr>
          <w:sz w:val="20"/>
          <w:szCs w:val="20"/>
          <w:color w:val="auto"/>
        </w:rPr>
      </w:pPr>
    </w:p>
    <w:p>
      <w:pPr>
        <w:ind w:left="1640"/>
        <w:spacing w:after="0"/>
        <w:rPr>
          <w:sz w:val="20"/>
          <w:szCs w:val="20"/>
          <w:color w:val="auto"/>
        </w:rPr>
      </w:pPr>
      <w:r>
        <w:rPr>
          <w:rFonts w:ascii="Arial" w:cs="Arial" w:eastAsia="Arial" w:hAnsi="Arial"/>
          <w:sz w:val="21"/>
          <w:szCs w:val="21"/>
          <w:i w:val="1"/>
          <w:iCs w:val="1"/>
          <w:color w:val="auto"/>
        </w:rPr>
        <w:t>Chairman of the Board and</w:t>
      </w:r>
    </w:p>
    <w:p>
      <w:pPr>
        <w:spacing w:after="0" w:line="10" w:lineRule="exact"/>
        <w:rPr>
          <w:sz w:val="20"/>
          <w:szCs w:val="20"/>
          <w:color w:val="auto"/>
        </w:rPr>
      </w:pPr>
    </w:p>
    <w:p>
      <w:pPr>
        <w:ind w:left="1640"/>
        <w:spacing w:after="0"/>
        <w:rPr>
          <w:sz w:val="20"/>
          <w:szCs w:val="20"/>
          <w:color w:val="auto"/>
        </w:rPr>
      </w:pPr>
      <w:r>
        <w:rPr>
          <w:rFonts w:ascii="Arial" w:cs="Arial" w:eastAsia="Arial" w:hAnsi="Arial"/>
          <w:sz w:val="21"/>
          <w:szCs w:val="2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156210</wp:posOffset>
            </wp:positionV>
            <wp:extent cx="6337300" cy="90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ectPr>
          <w:pgSz w:w="11900" w:h="16838" w:orient="portrait"/>
          <w:cols w:equalWidth="0" w:num="1">
            <w:col w:w="10560"/>
          </w:cols>
          <w:pgMar w:left="320" w:top="470" w:right="10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210820</wp:posOffset>
            </wp:positionV>
            <wp:extent cx="1146810" cy="305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6810" cy="30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920"/>
        <w:spacing w:after="0"/>
        <w:rPr>
          <w:sz w:val="20"/>
          <w:szCs w:val="20"/>
          <w:color w:val="auto"/>
        </w:rPr>
      </w:pPr>
      <w:r>
        <w:rPr>
          <w:rFonts w:ascii="Arial" w:cs="Arial" w:eastAsia="Arial" w:hAnsi="Arial"/>
          <w:sz w:val="21"/>
          <w:szCs w:val="21"/>
          <w:b w:val="1"/>
          <w:bCs w:val="1"/>
          <w:color w:val="auto"/>
        </w:rPr>
        <w:t>Hampton, New Hampshire</w:t>
      </w:r>
    </w:p>
    <w:p>
      <w:pPr>
        <w:spacing w:after="0" w:line="12" w:lineRule="exact"/>
        <w:rPr>
          <w:sz w:val="20"/>
          <w:szCs w:val="20"/>
          <w:color w:val="auto"/>
        </w:rPr>
      </w:pPr>
    </w:p>
    <w:p>
      <w:pPr>
        <w:ind w:left="7920"/>
        <w:spacing w:after="0"/>
        <w:rPr>
          <w:sz w:val="20"/>
          <w:szCs w:val="20"/>
          <w:color w:val="auto"/>
        </w:rPr>
      </w:pPr>
      <w:r>
        <w:rPr>
          <w:rFonts w:ascii="Arial" w:cs="Arial" w:eastAsia="Arial" w:hAnsi="Arial"/>
          <w:sz w:val="21"/>
          <w:szCs w:val="21"/>
          <w:b w:val="1"/>
          <w:bCs w:val="1"/>
          <w:color w:val="auto"/>
        </w:rPr>
        <w:t>March 27, 2026</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31"/>
          <w:szCs w:val="31"/>
          <w:b w:val="1"/>
          <w:bCs w:val="1"/>
          <w:color w:val="auto"/>
        </w:rPr>
        <w:t>NOTICE OF ANNUAL MEETING OF SHAREHOLDERS</w:t>
      </w:r>
    </w:p>
    <w:p>
      <w:pPr>
        <w:spacing w:after="0" w:line="217" w:lineRule="exact"/>
        <w:rPr>
          <w:sz w:val="20"/>
          <w:szCs w:val="20"/>
          <w:color w:val="auto"/>
        </w:rPr>
      </w:pPr>
    </w:p>
    <w:p>
      <w:pPr>
        <w:ind w:left="640"/>
        <w:spacing w:after="0" w:line="248" w:lineRule="auto"/>
        <w:rPr>
          <w:sz w:val="20"/>
          <w:szCs w:val="20"/>
          <w:color w:val="auto"/>
        </w:rPr>
      </w:pPr>
      <w:r>
        <w:rPr>
          <w:rFonts w:ascii="Arial" w:cs="Arial" w:eastAsia="Arial" w:hAnsi="Arial"/>
          <w:sz w:val="21"/>
          <w:szCs w:val="21"/>
          <w:color w:val="auto"/>
        </w:rPr>
        <w:t>The Unitil Corporation (the “Company”) 2026 Annual Meeting of Shareholders will be held at the office of the Company, 6 Liberty Lane West, Hampton, New Hampshire 03842-1720, on Wednesday, April 29, 2026, at 11:30 a.m. EDT for the following purposes:</w:t>
      </w:r>
    </w:p>
    <w:p>
      <w:pPr>
        <w:spacing w:after="0" w:line="70" w:lineRule="exact"/>
        <w:rPr>
          <w:sz w:val="20"/>
          <w:szCs w:val="20"/>
          <w:color w:val="auto"/>
        </w:rPr>
      </w:pPr>
    </w:p>
    <w:p>
      <w:pPr>
        <w:ind w:left="2020" w:right="160" w:hanging="398"/>
        <w:spacing w:after="0" w:line="264" w:lineRule="auto"/>
        <w:tabs>
          <w:tab w:leader="none" w:pos="2020" w:val="left"/>
        </w:tabs>
        <w:numPr>
          <w:ilvl w:val="0"/>
          <w:numId w:val="6"/>
        </w:numPr>
        <w:rPr>
          <w:rFonts w:ascii="Arial" w:cs="Arial" w:eastAsia="Arial" w:hAnsi="Arial"/>
          <w:sz w:val="21"/>
          <w:szCs w:val="21"/>
          <w:color w:val="auto"/>
        </w:rPr>
      </w:pPr>
      <w:r>
        <w:rPr>
          <w:rFonts w:ascii="Arial" w:cs="Arial" w:eastAsia="Arial" w:hAnsi="Arial"/>
          <w:sz w:val="21"/>
          <w:szCs w:val="21"/>
          <w:color w:val="auto"/>
        </w:rPr>
        <w:t>Election of three Directors of the Company in Class II, nominated by the Board of Directors, each to serve a term of three years;</w:t>
      </w:r>
    </w:p>
    <w:p>
      <w:pPr>
        <w:spacing w:after="0" w:line="53" w:lineRule="exact"/>
        <w:rPr>
          <w:rFonts w:ascii="Arial" w:cs="Arial" w:eastAsia="Arial" w:hAnsi="Arial"/>
          <w:sz w:val="21"/>
          <w:szCs w:val="21"/>
          <w:color w:val="auto"/>
        </w:rPr>
      </w:pPr>
    </w:p>
    <w:p>
      <w:pPr>
        <w:ind w:left="2020" w:right="800" w:hanging="398"/>
        <w:spacing w:after="0" w:line="264" w:lineRule="auto"/>
        <w:tabs>
          <w:tab w:leader="none" w:pos="2020" w:val="left"/>
        </w:tabs>
        <w:numPr>
          <w:ilvl w:val="0"/>
          <w:numId w:val="6"/>
        </w:numPr>
        <w:rPr>
          <w:rFonts w:ascii="Arial" w:cs="Arial" w:eastAsia="Arial" w:hAnsi="Arial"/>
          <w:sz w:val="21"/>
          <w:szCs w:val="21"/>
          <w:color w:val="auto"/>
        </w:rPr>
      </w:pPr>
      <w:r>
        <w:rPr>
          <w:rFonts w:ascii="Arial" w:cs="Arial" w:eastAsia="Arial" w:hAnsi="Arial"/>
          <w:sz w:val="21"/>
          <w:szCs w:val="21"/>
          <w:color w:val="auto"/>
        </w:rPr>
        <w:t>Ratification of the selection of Deloitte &amp; Touche LLP as the Company’s independent registered public accounting firm for 2026;</w:t>
      </w:r>
    </w:p>
    <w:p>
      <w:pPr>
        <w:spacing w:after="0" w:line="53" w:lineRule="exact"/>
        <w:rPr>
          <w:rFonts w:ascii="Arial" w:cs="Arial" w:eastAsia="Arial" w:hAnsi="Arial"/>
          <w:sz w:val="21"/>
          <w:szCs w:val="21"/>
          <w:color w:val="auto"/>
        </w:rPr>
      </w:pPr>
    </w:p>
    <w:p>
      <w:pPr>
        <w:ind w:left="2020" w:right="380" w:hanging="398"/>
        <w:spacing w:after="0" w:line="264" w:lineRule="auto"/>
        <w:tabs>
          <w:tab w:leader="none" w:pos="2020" w:val="left"/>
        </w:tabs>
        <w:numPr>
          <w:ilvl w:val="0"/>
          <w:numId w:val="6"/>
        </w:numPr>
        <w:rPr>
          <w:rFonts w:ascii="Arial" w:cs="Arial" w:eastAsia="Arial" w:hAnsi="Arial"/>
          <w:sz w:val="21"/>
          <w:szCs w:val="21"/>
          <w:color w:val="auto"/>
        </w:rPr>
      </w:pPr>
      <w:r>
        <w:rPr>
          <w:rFonts w:ascii="Arial" w:cs="Arial" w:eastAsia="Arial" w:hAnsi="Arial"/>
          <w:sz w:val="21"/>
          <w:szCs w:val="21"/>
          <w:color w:val="auto"/>
        </w:rPr>
        <w:t>Approval, on an advisory basis, of the compensation of the Company’s Named Executive Officers; and</w:t>
      </w:r>
    </w:p>
    <w:p>
      <w:pPr>
        <w:spacing w:after="0" w:line="53" w:lineRule="exact"/>
        <w:rPr>
          <w:rFonts w:ascii="Arial" w:cs="Arial" w:eastAsia="Arial" w:hAnsi="Arial"/>
          <w:sz w:val="21"/>
          <w:szCs w:val="21"/>
          <w:color w:val="auto"/>
        </w:rPr>
      </w:pPr>
    </w:p>
    <w:p>
      <w:pPr>
        <w:ind w:left="2020" w:hanging="398"/>
        <w:spacing w:after="0"/>
        <w:tabs>
          <w:tab w:leader="none" w:pos="2020" w:val="left"/>
        </w:tabs>
        <w:numPr>
          <w:ilvl w:val="0"/>
          <w:numId w:val="6"/>
        </w:numPr>
        <w:rPr>
          <w:rFonts w:ascii="Arial" w:cs="Arial" w:eastAsia="Arial" w:hAnsi="Arial"/>
          <w:sz w:val="21"/>
          <w:szCs w:val="21"/>
          <w:color w:val="auto"/>
        </w:rPr>
      </w:pPr>
      <w:r>
        <w:rPr>
          <w:rFonts w:ascii="Arial" w:cs="Arial" w:eastAsia="Arial" w:hAnsi="Arial"/>
          <w:sz w:val="21"/>
          <w:szCs w:val="21"/>
          <w:color w:val="auto"/>
        </w:rPr>
        <w:t>Transaction of any other business as may properly be brought before the meeting.</w:t>
      </w:r>
    </w:p>
    <w:p>
      <w:pPr>
        <w:spacing w:after="0" w:line="200" w:lineRule="exact"/>
        <w:rPr>
          <w:sz w:val="20"/>
          <w:szCs w:val="20"/>
          <w:color w:val="auto"/>
        </w:rPr>
      </w:pPr>
    </w:p>
    <w:p>
      <w:pPr>
        <w:ind w:left="640" w:right="240"/>
        <w:spacing w:after="0" w:line="243" w:lineRule="auto"/>
        <w:rPr>
          <w:sz w:val="20"/>
          <w:szCs w:val="20"/>
          <w:color w:val="auto"/>
        </w:rPr>
      </w:pPr>
      <w:r>
        <w:rPr>
          <w:rFonts w:ascii="Arial" w:cs="Arial" w:eastAsia="Arial" w:hAnsi="Arial"/>
          <w:sz w:val="21"/>
          <w:szCs w:val="21"/>
          <w:color w:val="auto"/>
        </w:rPr>
        <w:t>The Board of Directors set February 20, 2026, as the date for determining holders of record of common stock who are entitled to notice of and to vote at the meeting or at any adjournments or postponements of the meeting. The Board of Directors has directed the Company to prepare this notice, the accompanying proxy statement, and the accompanying annual report, and to send them to you.</w:t>
      </w:r>
    </w:p>
    <w:p>
      <w:pPr>
        <w:spacing w:after="0" w:line="62" w:lineRule="exact"/>
        <w:rPr>
          <w:sz w:val="20"/>
          <w:szCs w:val="20"/>
          <w:color w:val="auto"/>
        </w:rPr>
      </w:pPr>
    </w:p>
    <w:p>
      <w:pPr>
        <w:ind w:left="7360"/>
        <w:spacing w:after="0"/>
        <w:rPr>
          <w:sz w:val="20"/>
          <w:szCs w:val="20"/>
          <w:color w:val="auto"/>
        </w:rPr>
      </w:pPr>
      <w:r>
        <w:rPr>
          <w:rFonts w:ascii="Arial" w:cs="Arial" w:eastAsia="Arial" w:hAnsi="Arial"/>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4672965</wp:posOffset>
            </wp:positionH>
            <wp:positionV relativeFrom="paragraph">
              <wp:posOffset>167640</wp:posOffset>
            </wp:positionV>
            <wp:extent cx="2400935" cy="45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093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360"/>
        <w:spacing w:after="0"/>
        <w:rPr>
          <w:sz w:val="20"/>
          <w:szCs w:val="20"/>
          <w:color w:val="auto"/>
        </w:rPr>
      </w:pPr>
      <w:r>
        <w:rPr>
          <w:rFonts w:ascii="Arial" w:cs="Arial" w:eastAsia="Arial" w:hAnsi="Arial"/>
          <w:sz w:val="21"/>
          <w:szCs w:val="21"/>
          <w:color w:val="auto"/>
        </w:rPr>
        <w:t>Carleton B. Simpson</w:t>
      </w:r>
    </w:p>
    <w:p>
      <w:pPr>
        <w:spacing w:after="0" w:line="5" w:lineRule="exact"/>
        <w:rPr>
          <w:sz w:val="20"/>
          <w:szCs w:val="20"/>
          <w:color w:val="auto"/>
        </w:rPr>
      </w:pPr>
    </w:p>
    <w:p>
      <w:pPr>
        <w:ind w:left="7360"/>
        <w:spacing w:after="0"/>
        <w:rPr>
          <w:sz w:val="20"/>
          <w:szCs w:val="20"/>
          <w:color w:val="auto"/>
        </w:rPr>
      </w:pPr>
      <w:r>
        <w:rPr>
          <w:rFonts w:ascii="Arial" w:cs="Arial" w:eastAsia="Arial" w:hAnsi="Arial"/>
          <w:sz w:val="21"/>
          <w:szCs w:val="21"/>
          <w:i w:val="1"/>
          <w:iCs w:val="1"/>
          <w:color w:val="auto"/>
        </w:rPr>
        <w:t>Senior Vice President, General</w:t>
      </w:r>
    </w:p>
    <w:p>
      <w:pPr>
        <w:ind w:left="7420"/>
        <w:spacing w:after="0"/>
        <w:rPr>
          <w:sz w:val="20"/>
          <w:szCs w:val="20"/>
          <w:color w:val="auto"/>
        </w:rPr>
      </w:pPr>
      <w:r>
        <w:rPr>
          <w:rFonts w:ascii="Arial" w:cs="Arial" w:eastAsia="Arial" w:hAnsi="Arial"/>
          <w:sz w:val="21"/>
          <w:szCs w:val="21"/>
          <w:i w:val="1"/>
          <w:iCs w:val="1"/>
          <w:color w:val="auto"/>
        </w:rPr>
        <w:t>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254635</wp:posOffset>
            </wp:positionV>
            <wp:extent cx="6337300" cy="13284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37300" cy="13284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right="-639"/>
        <w:spacing w:after="0"/>
        <w:rPr>
          <w:sz w:val="20"/>
          <w:szCs w:val="20"/>
          <w:color w:val="auto"/>
        </w:rPr>
      </w:pPr>
      <w:r>
        <w:rPr>
          <w:rFonts w:ascii="Arial" w:cs="Arial" w:eastAsia="Arial" w:hAnsi="Arial"/>
          <w:sz w:val="24"/>
          <w:szCs w:val="24"/>
          <w:b w:val="1"/>
          <w:bCs w:val="1"/>
          <w:color w:val="auto"/>
        </w:rPr>
        <w:t> </w:t>
      </w:r>
    </w:p>
    <w:p>
      <w:pPr>
        <w:spacing w:after="0" w:line="34" w:lineRule="exact"/>
        <w:rPr>
          <w:sz w:val="20"/>
          <w:szCs w:val="20"/>
          <w:color w:val="auto"/>
        </w:rPr>
      </w:pPr>
    </w:p>
    <w:p>
      <w:pPr>
        <w:jc w:val="center"/>
        <w:ind w:right="-679"/>
        <w:spacing w:after="0"/>
        <w:rPr>
          <w:sz w:val="20"/>
          <w:szCs w:val="20"/>
          <w:color w:val="auto"/>
        </w:rPr>
      </w:pPr>
      <w:r>
        <w:rPr>
          <w:rFonts w:ascii="Arial" w:cs="Arial" w:eastAsia="Arial" w:hAnsi="Arial"/>
          <w:sz w:val="24"/>
          <w:szCs w:val="24"/>
          <w:b w:val="1"/>
          <w:bCs w:val="1"/>
          <w:color w:val="auto"/>
        </w:rPr>
        <w:t>IMPORTANT NOTICE REGARDING THE AVAILABILITY OF PROXY MATERIALS FOR</w:t>
      </w:r>
    </w:p>
    <w:p>
      <w:pPr>
        <w:spacing w:after="0" w:line="10" w:lineRule="exact"/>
        <w:rPr>
          <w:sz w:val="20"/>
          <w:szCs w:val="20"/>
          <w:color w:val="auto"/>
        </w:rPr>
      </w:pPr>
    </w:p>
    <w:p>
      <w:pPr>
        <w:jc w:val="center"/>
        <w:ind w:right="-679"/>
        <w:spacing w:after="0"/>
        <w:rPr>
          <w:sz w:val="20"/>
          <w:szCs w:val="20"/>
          <w:color w:val="auto"/>
        </w:rPr>
      </w:pPr>
      <w:r>
        <w:rPr>
          <w:rFonts w:ascii="Arial" w:cs="Arial" w:eastAsia="Arial" w:hAnsi="Arial"/>
          <w:sz w:val="24"/>
          <w:szCs w:val="24"/>
          <w:b w:val="1"/>
          <w:bCs w:val="1"/>
          <w:color w:val="auto"/>
        </w:rPr>
        <w:t>THE ANNUAL MEETING OF SHAREHOLDERS TO BE HELD ON</w:t>
      </w:r>
    </w:p>
    <w:p>
      <w:pPr>
        <w:spacing w:after="0" w:line="10" w:lineRule="exact"/>
        <w:rPr>
          <w:sz w:val="20"/>
          <w:szCs w:val="20"/>
          <w:color w:val="auto"/>
        </w:rPr>
      </w:pPr>
    </w:p>
    <w:p>
      <w:pPr>
        <w:jc w:val="center"/>
        <w:ind w:right="-679"/>
        <w:spacing w:after="0"/>
        <w:rPr>
          <w:sz w:val="20"/>
          <w:szCs w:val="20"/>
          <w:color w:val="auto"/>
        </w:rPr>
      </w:pPr>
      <w:r>
        <w:rPr>
          <w:rFonts w:ascii="Arial" w:cs="Arial" w:eastAsia="Arial" w:hAnsi="Arial"/>
          <w:sz w:val="24"/>
          <w:szCs w:val="24"/>
          <w:b w:val="1"/>
          <w:bCs w:val="1"/>
          <w:color w:val="auto"/>
        </w:rPr>
        <w:t>WEDNESDAY, APRIL 29, 2026</w:t>
      </w:r>
    </w:p>
    <w:p>
      <w:pPr>
        <w:spacing w:after="0" w:line="226" w:lineRule="exact"/>
        <w:rPr>
          <w:sz w:val="20"/>
          <w:szCs w:val="20"/>
          <w:color w:val="auto"/>
        </w:rPr>
      </w:pPr>
    </w:p>
    <w:p>
      <w:pPr>
        <w:jc w:val="center"/>
        <w:ind w:left="1000" w:right="440"/>
        <w:spacing w:after="0" w:line="280" w:lineRule="auto"/>
        <w:rPr>
          <w:sz w:val="20"/>
          <w:szCs w:val="20"/>
          <w:color w:val="auto"/>
        </w:rPr>
      </w:pPr>
      <w:r>
        <w:rPr>
          <w:rFonts w:ascii="Arial" w:cs="Arial" w:eastAsia="Arial" w:hAnsi="Arial"/>
          <w:sz w:val="17"/>
          <w:szCs w:val="17"/>
          <w:color w:val="auto"/>
        </w:rPr>
        <w:t xml:space="preserve">This notice, the accompanying proxy statement and the accompanying annual report to shareholders are available for shareholders to view at </w:t>
      </w:r>
      <w:r>
        <w:rPr>
          <w:rFonts w:ascii="Arial" w:cs="Arial" w:eastAsia="Arial" w:hAnsi="Arial"/>
          <w:sz w:val="17"/>
          <w:szCs w:val="17"/>
          <w:u w:val="single" w:color="auto"/>
          <w:color w:val="314A72"/>
        </w:rPr>
        <w:t>www.proxydocs.com/UTL</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257175</wp:posOffset>
            </wp:positionV>
            <wp:extent cx="6337300" cy="90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ectPr>
          <w:pgSz w:w="11900" w:h="16838" w:orient="portrait"/>
          <w:cols w:equalWidth="0" w:num="1">
            <w:col w:w="10560"/>
          </w:cols>
          <w:pgMar w:left="320" w:top="470" w:right="10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YOUR VOTE IS IMPORTANT</w:t>
      </w:r>
    </w:p>
    <w:p>
      <w:pPr>
        <w:spacing w:after="0" w:line="281" w:lineRule="exact"/>
        <w:rPr>
          <w:sz w:val="20"/>
          <w:szCs w:val="20"/>
          <w:color w:val="auto"/>
        </w:rPr>
      </w:pPr>
    </w:p>
    <w:p>
      <w:pPr>
        <w:ind w:left="640" w:right="360"/>
        <w:spacing w:after="0" w:line="264" w:lineRule="auto"/>
        <w:rPr>
          <w:sz w:val="20"/>
          <w:szCs w:val="20"/>
          <w:color w:val="auto"/>
        </w:rPr>
      </w:pPr>
      <w:r>
        <w:rPr>
          <w:rFonts w:ascii="Arial" w:cs="Arial" w:eastAsia="Arial" w:hAnsi="Arial"/>
          <w:sz w:val="21"/>
          <w:szCs w:val="21"/>
          <w:color w:val="auto"/>
        </w:rPr>
        <w:t>Your vote is important. To ensure a quorum is present at the Annual Meeting of Shareholders, please be sure your shares are represented at the meeting.</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You may vote in one of the following ways:</w:t>
      </w:r>
    </w:p>
    <w:p>
      <w:pPr>
        <w:spacing w:after="0" w:line="233" w:lineRule="exact"/>
        <w:rPr>
          <w:sz w:val="20"/>
          <w:szCs w:val="20"/>
          <w:color w:val="auto"/>
        </w:rPr>
      </w:pPr>
    </w:p>
    <w:tbl>
      <w:tblPr>
        <w:tblLayout w:type="fixed"/>
        <w:tblInd w:w="1180" w:type="dxa"/>
        <w:tblCellMar>
          <w:top w:w="0" w:type="dxa"/>
          <w:left w:w="0" w:type="dxa"/>
          <w:bottom w:w="0" w:type="dxa"/>
          <w:right w:w="0" w:type="dxa"/>
        </w:tblCellMar>
      </w:tblPr>
      <w:tr>
        <w:trPr>
          <w:trHeight w:val="208"/>
        </w:trPr>
        <w:tc>
          <w:tcPr>
            <w:tcW w:w="2140" w:type="dxa"/>
            <w:vAlign w:val="bottom"/>
            <w:tcBorders>
              <w:top w:val="single" w:sz="8" w:color="auto"/>
              <w:bottom w:val="single" w:sz="8" w:color="auto"/>
            </w:tcBorders>
            <w:shd w:val="clear" w:color="auto" w:fill="DAE6F2"/>
          </w:tcPr>
          <w:p>
            <w:pPr>
              <w:spacing w:after="0"/>
              <w:rPr>
                <w:sz w:val="20"/>
                <w:szCs w:val="20"/>
                <w:color w:val="auto"/>
              </w:rPr>
            </w:pPr>
            <w:r>
              <w:rPr>
                <w:rFonts w:ascii="Arial" w:cs="Arial" w:eastAsia="Arial" w:hAnsi="Arial"/>
                <w:sz w:val="17"/>
                <w:szCs w:val="17"/>
                <w:b w:val="1"/>
                <w:bCs w:val="1"/>
                <w:color w:val="auto"/>
              </w:rPr>
              <w:t>  Shareholders of Record</w:t>
            </w:r>
          </w:p>
        </w:tc>
        <w:tc>
          <w:tcPr>
            <w:tcW w:w="2100" w:type="dxa"/>
            <w:vAlign w:val="bottom"/>
            <w:tcBorders>
              <w:top w:val="single" w:sz="8" w:color="auto"/>
              <w:bottom w:val="single" w:sz="8" w:color="auto"/>
            </w:tcBorders>
            <w:shd w:val="clear" w:color="auto" w:fill="DAE6F2"/>
          </w:tcPr>
          <w:p>
            <w:pPr>
              <w:spacing w:after="0"/>
              <w:rPr>
                <w:sz w:val="18"/>
                <w:szCs w:val="18"/>
                <w:color w:val="auto"/>
              </w:rPr>
            </w:pPr>
          </w:p>
        </w:tc>
        <w:tc>
          <w:tcPr>
            <w:tcW w:w="280" w:type="dxa"/>
            <w:vAlign w:val="bottom"/>
            <w:tcBorders>
              <w:top w:val="single" w:sz="8" w:color="auto"/>
              <w:bottom w:val="single" w:sz="8" w:color="auto"/>
            </w:tcBorders>
            <w:shd w:val="clear" w:color="auto" w:fill="DAE6F2"/>
          </w:tcPr>
          <w:p>
            <w:pPr>
              <w:spacing w:after="0"/>
              <w:rPr>
                <w:sz w:val="18"/>
                <w:szCs w:val="18"/>
                <w:color w:val="auto"/>
              </w:rPr>
            </w:pPr>
          </w:p>
        </w:tc>
        <w:tc>
          <w:tcPr>
            <w:tcW w:w="2140" w:type="dxa"/>
            <w:vAlign w:val="bottom"/>
            <w:tcBorders>
              <w:top w:val="single" w:sz="8" w:color="auto"/>
              <w:bottom w:val="single" w:sz="8" w:color="auto"/>
            </w:tcBorders>
            <w:shd w:val="clear" w:color="auto" w:fill="ECF2F8"/>
          </w:tcPr>
          <w:p>
            <w:pPr>
              <w:ind w:left="100"/>
              <w:spacing w:after="0"/>
              <w:rPr>
                <w:sz w:val="20"/>
                <w:szCs w:val="20"/>
                <w:color w:val="auto"/>
              </w:rPr>
            </w:pPr>
            <w:r>
              <w:rPr>
                <w:rFonts w:ascii="Arial" w:cs="Arial" w:eastAsia="Arial" w:hAnsi="Arial"/>
                <w:sz w:val="17"/>
                <w:szCs w:val="17"/>
                <w:b w:val="1"/>
                <w:bCs w:val="1"/>
                <w:color w:val="auto"/>
              </w:rPr>
              <w:t>Beneficial Holders</w:t>
            </w:r>
          </w:p>
        </w:tc>
        <w:tc>
          <w:tcPr>
            <w:tcW w:w="2220" w:type="dxa"/>
            <w:vAlign w:val="bottom"/>
            <w:tcBorders>
              <w:top w:val="single" w:sz="8" w:color="auto"/>
              <w:bottom w:val="single" w:sz="8" w:color="auto"/>
            </w:tcBorders>
            <w:shd w:val="clear" w:color="auto" w:fill="ECF2F8"/>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140" w:type="dxa"/>
            <w:vAlign w:val="bottom"/>
          </w:tcPr>
          <w:p>
            <w:pPr>
              <w:spacing w:after="0"/>
              <w:rPr>
                <w:sz w:val="20"/>
                <w:szCs w:val="20"/>
                <w:color w:val="auto"/>
              </w:rPr>
            </w:pPr>
            <w:r>
              <w:rPr>
                <w:rFonts w:ascii="Arial" w:cs="Arial" w:eastAsia="Arial" w:hAnsi="Arial"/>
                <w:sz w:val="17"/>
                <w:szCs w:val="17"/>
                <w:color w:val="auto"/>
              </w:rPr>
              <w:t>  By Mail</w:t>
            </w:r>
          </w:p>
        </w:tc>
        <w:tc>
          <w:tcPr>
            <w:tcW w:w="2380" w:type="dxa"/>
            <w:vAlign w:val="bottom"/>
            <w:gridSpan w:val="2"/>
          </w:tcPr>
          <w:p>
            <w:pPr>
              <w:spacing w:after="0"/>
              <w:rPr>
                <w:sz w:val="20"/>
                <w:szCs w:val="20"/>
                <w:color w:val="auto"/>
              </w:rPr>
            </w:pPr>
            <w:r>
              <w:rPr>
                <w:rFonts w:ascii="Arial" w:cs="Arial" w:eastAsia="Arial" w:hAnsi="Arial"/>
                <w:sz w:val="17"/>
                <w:szCs w:val="17"/>
                <w:b w:val="1"/>
                <w:bCs w:val="1"/>
                <w:color w:val="auto"/>
              </w:rPr>
              <w:t>Sign, date and return the</w:t>
            </w:r>
          </w:p>
        </w:tc>
        <w:tc>
          <w:tcPr>
            <w:tcW w:w="2140" w:type="dxa"/>
            <w:vAlign w:val="bottom"/>
          </w:tcPr>
          <w:p>
            <w:pPr>
              <w:ind w:left="100"/>
              <w:spacing w:after="0"/>
              <w:rPr>
                <w:sz w:val="20"/>
                <w:szCs w:val="20"/>
                <w:color w:val="auto"/>
              </w:rPr>
            </w:pPr>
            <w:r>
              <w:rPr>
                <w:rFonts w:ascii="Arial" w:cs="Arial" w:eastAsia="Arial" w:hAnsi="Arial"/>
                <w:sz w:val="17"/>
                <w:szCs w:val="17"/>
                <w:color w:val="auto"/>
              </w:rPr>
              <w:t>By Mail</w:t>
            </w:r>
          </w:p>
        </w:tc>
        <w:tc>
          <w:tcPr>
            <w:tcW w:w="2220" w:type="dxa"/>
            <w:vAlign w:val="bottom"/>
          </w:tcPr>
          <w:p>
            <w:pPr>
              <w:ind w:left="100"/>
              <w:spacing w:after="0"/>
              <w:rPr>
                <w:sz w:val="20"/>
                <w:szCs w:val="20"/>
                <w:color w:val="auto"/>
              </w:rPr>
            </w:pPr>
            <w:r>
              <w:rPr>
                <w:rFonts w:ascii="Arial" w:cs="Arial" w:eastAsia="Arial" w:hAnsi="Arial"/>
                <w:sz w:val="17"/>
                <w:szCs w:val="17"/>
                <w:b w:val="1"/>
                <w:bCs w:val="1"/>
                <w:color w:val="auto"/>
              </w:rPr>
              <w:t>Direct your bank, broker</w:t>
            </w:r>
          </w:p>
        </w:tc>
        <w:tc>
          <w:tcPr>
            <w:tcW w:w="0" w:type="dxa"/>
            <w:vAlign w:val="bottom"/>
          </w:tcPr>
          <w:p>
            <w:pPr>
              <w:spacing w:after="0"/>
              <w:rPr>
                <w:sz w:val="1"/>
                <w:szCs w:val="1"/>
                <w:color w:val="auto"/>
              </w:rPr>
            </w:pPr>
          </w:p>
        </w:tc>
      </w:tr>
      <w:tr>
        <w:trPr>
          <w:trHeight w:val="195"/>
        </w:trPr>
        <w:tc>
          <w:tcPr>
            <w:tcW w:w="2140" w:type="dxa"/>
            <w:vAlign w:val="bottom"/>
            <w:vMerge w:val="restart"/>
          </w:tcPr>
          <w:p>
            <w:pPr>
              <w:spacing w:after="0"/>
              <w:rPr>
                <w:sz w:val="20"/>
                <w:szCs w:val="20"/>
                <w:color w:val="auto"/>
              </w:rPr>
            </w:pPr>
            <w:r>
              <w:rPr>
                <w:rFonts w:ascii="Arial" w:cs="Arial" w:eastAsia="Arial" w:hAnsi="Arial"/>
                <w:sz w:val="17"/>
                <w:szCs w:val="17"/>
                <w:color w:val="auto"/>
              </w:rPr>
              <w:t> </w:t>
            </w:r>
          </w:p>
        </w:tc>
        <w:tc>
          <w:tcPr>
            <w:tcW w:w="238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enclosed proxy card </w:t>
            </w:r>
            <w:r>
              <w:rPr>
                <w:rFonts w:ascii="Arial" w:cs="Arial" w:eastAsia="Arial" w:hAnsi="Arial"/>
                <w:sz w:val="17"/>
                <w:szCs w:val="17"/>
                <w:color w:val="auto"/>
              </w:rPr>
              <w:t>(a</w:t>
            </w:r>
          </w:p>
        </w:tc>
        <w:tc>
          <w:tcPr>
            <w:tcW w:w="2140" w:type="dxa"/>
            <w:vAlign w:val="bottom"/>
            <w:vMerge w:val="restart"/>
          </w:tcPr>
          <w:p>
            <w:pPr>
              <w:ind w:left="100"/>
              <w:spacing w:after="0"/>
              <w:rPr>
                <w:sz w:val="20"/>
                <w:szCs w:val="20"/>
                <w:color w:val="auto"/>
              </w:rPr>
            </w:pPr>
            <w:r>
              <w:rPr>
                <w:rFonts w:ascii="Arial" w:cs="Arial" w:eastAsia="Arial" w:hAnsi="Arial"/>
                <w:sz w:val="17"/>
                <w:szCs w:val="17"/>
                <w:color w:val="auto"/>
              </w:rPr>
              <w:t> </w:t>
            </w:r>
          </w:p>
        </w:tc>
        <w:tc>
          <w:tcPr>
            <w:tcW w:w="2220" w:type="dxa"/>
            <w:vAlign w:val="bottom"/>
          </w:tcPr>
          <w:p>
            <w:pPr>
              <w:ind w:left="100"/>
              <w:spacing w:after="0"/>
              <w:rPr>
                <w:sz w:val="20"/>
                <w:szCs w:val="20"/>
                <w:color w:val="auto"/>
              </w:rPr>
            </w:pPr>
            <w:r>
              <w:rPr>
                <w:rFonts w:ascii="Arial" w:cs="Arial" w:eastAsia="Arial" w:hAnsi="Arial"/>
                <w:sz w:val="17"/>
                <w:szCs w:val="17"/>
                <w:b w:val="1"/>
                <w:bCs w:val="1"/>
                <w:color w:val="auto"/>
              </w:rPr>
              <w:t>or other nominee on how</w:t>
            </w:r>
          </w:p>
        </w:tc>
        <w:tc>
          <w:tcPr>
            <w:tcW w:w="0" w:type="dxa"/>
            <w:vAlign w:val="bottom"/>
          </w:tcPr>
          <w:p>
            <w:pPr>
              <w:spacing w:after="0"/>
              <w:rPr>
                <w:sz w:val="1"/>
                <w:szCs w:val="1"/>
                <w:color w:val="auto"/>
              </w:rPr>
            </w:pPr>
          </w:p>
        </w:tc>
      </w:tr>
      <w:tr>
        <w:trPr>
          <w:trHeight w:val="197"/>
        </w:trPr>
        <w:tc>
          <w:tcPr>
            <w:tcW w:w="2140" w:type="dxa"/>
            <w:vAlign w:val="bottom"/>
            <w:vMerge w:val="continue"/>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7"/>
                <w:szCs w:val="17"/>
                <w:color w:val="auto"/>
              </w:rPr>
              <w:t>self-addressed envelope is</w:t>
            </w:r>
          </w:p>
        </w:tc>
        <w:tc>
          <w:tcPr>
            <w:tcW w:w="2140" w:type="dxa"/>
            <w:vAlign w:val="bottom"/>
            <w:vMerge w:val="continue"/>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7"/>
                <w:szCs w:val="17"/>
                <w:b w:val="1"/>
                <w:bCs w:val="1"/>
                <w:color w:val="auto"/>
              </w:rPr>
              <w:t xml:space="preserve">to vote your shares </w:t>
            </w:r>
            <w:r>
              <w:rPr>
                <w:rFonts w:ascii="Arial" w:cs="Arial" w:eastAsia="Arial" w:hAnsi="Arial"/>
                <w:sz w:val="17"/>
                <w:szCs w:val="17"/>
                <w:color w:val="auto"/>
              </w:rPr>
              <w:t>in</w:t>
            </w: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7"/>
                <w:szCs w:val="17"/>
                <w:color w:val="auto"/>
              </w:rPr>
              <w:t>enclosed for your</w:t>
            </w:r>
          </w:p>
        </w:tc>
        <w:tc>
          <w:tcPr>
            <w:tcW w:w="2140" w:type="dxa"/>
            <w:vAlign w:val="bottom"/>
          </w:tcPr>
          <w:p>
            <w:pPr>
              <w:spacing w:after="0"/>
              <w:rPr>
                <w:sz w:val="16"/>
                <w:szCs w:val="16"/>
                <w:color w:val="auto"/>
              </w:rPr>
            </w:pPr>
          </w:p>
        </w:tc>
        <w:tc>
          <w:tcPr>
            <w:tcW w:w="2220" w:type="dxa"/>
            <w:vAlign w:val="bottom"/>
          </w:tcPr>
          <w:p>
            <w:pPr>
              <w:ind w:left="100"/>
              <w:spacing w:after="0"/>
              <w:rPr>
                <w:sz w:val="20"/>
                <w:szCs w:val="20"/>
                <w:color w:val="auto"/>
              </w:rPr>
            </w:pPr>
            <w:r>
              <w:rPr>
                <w:rFonts w:ascii="Arial" w:cs="Arial" w:eastAsia="Arial" w:hAnsi="Arial"/>
                <w:sz w:val="17"/>
                <w:szCs w:val="17"/>
                <w:color w:val="auto"/>
              </w:rPr>
              <w:t>accordance with the</w:t>
            </w: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7"/>
                <w:szCs w:val="17"/>
                <w:color w:val="auto"/>
              </w:rPr>
              <w:t>convenience)</w:t>
            </w:r>
          </w:p>
        </w:tc>
        <w:tc>
          <w:tcPr>
            <w:tcW w:w="2140" w:type="dxa"/>
            <w:vAlign w:val="bottom"/>
          </w:tcPr>
          <w:p>
            <w:pPr>
              <w:spacing w:after="0"/>
              <w:rPr>
                <w:sz w:val="16"/>
                <w:szCs w:val="16"/>
                <w:color w:val="auto"/>
              </w:rPr>
            </w:pPr>
          </w:p>
        </w:tc>
        <w:tc>
          <w:tcPr>
            <w:tcW w:w="2220" w:type="dxa"/>
            <w:vAlign w:val="bottom"/>
          </w:tcPr>
          <w:p>
            <w:pPr>
              <w:ind w:left="100"/>
              <w:spacing w:after="0"/>
              <w:rPr>
                <w:sz w:val="20"/>
                <w:szCs w:val="20"/>
                <w:color w:val="auto"/>
              </w:rPr>
            </w:pPr>
            <w:r>
              <w:rPr>
                <w:rFonts w:ascii="Arial" w:cs="Arial" w:eastAsia="Arial" w:hAnsi="Arial"/>
                <w:sz w:val="17"/>
                <w:szCs w:val="17"/>
                <w:color w:val="auto"/>
              </w:rPr>
              <w:t>instructions provided</w:t>
            </w:r>
          </w:p>
        </w:tc>
        <w:tc>
          <w:tcPr>
            <w:tcW w:w="0" w:type="dxa"/>
            <w:vAlign w:val="bottom"/>
          </w:tcPr>
          <w:p>
            <w:pPr>
              <w:spacing w:after="0"/>
              <w:rPr>
                <w:sz w:val="1"/>
                <w:szCs w:val="1"/>
                <w:color w:val="auto"/>
              </w:rPr>
            </w:pPr>
          </w:p>
        </w:tc>
      </w:tr>
      <w:tr>
        <w:trPr>
          <w:trHeight w:val="147"/>
        </w:trPr>
        <w:tc>
          <w:tcPr>
            <w:tcW w:w="21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2220" w:type="dxa"/>
            <w:vAlign w:val="bottom"/>
            <w:vMerge w:val="restart"/>
          </w:tcPr>
          <w:p>
            <w:pPr>
              <w:ind w:left="100"/>
              <w:spacing w:after="0"/>
              <w:rPr>
                <w:sz w:val="20"/>
                <w:szCs w:val="20"/>
                <w:color w:val="auto"/>
              </w:rPr>
            </w:pPr>
            <w:r>
              <w:rPr>
                <w:rFonts w:ascii="Arial" w:cs="Arial" w:eastAsia="Arial" w:hAnsi="Arial"/>
                <w:sz w:val="17"/>
                <w:szCs w:val="17"/>
                <w:color w:val="auto"/>
              </w:rPr>
              <w:t>to you.</w:t>
            </w:r>
          </w:p>
        </w:tc>
        <w:tc>
          <w:tcPr>
            <w:tcW w:w="0" w:type="dxa"/>
            <w:vAlign w:val="bottom"/>
          </w:tcPr>
          <w:p>
            <w:pPr>
              <w:spacing w:after="0"/>
              <w:rPr>
                <w:sz w:val="1"/>
                <w:szCs w:val="1"/>
                <w:color w:val="auto"/>
              </w:rPr>
            </w:pPr>
          </w:p>
        </w:tc>
      </w:tr>
      <w:tr>
        <w:trPr>
          <w:trHeight w:val="62"/>
        </w:trPr>
        <w:tc>
          <w:tcPr>
            <w:tcW w:w="2140" w:type="dxa"/>
            <w:vAlign w:val="bottom"/>
            <w:vMerge w:val="restart"/>
          </w:tcPr>
          <w:p>
            <w:pPr>
              <w:spacing w:after="0"/>
              <w:rPr>
                <w:sz w:val="20"/>
                <w:szCs w:val="20"/>
                <w:color w:val="auto"/>
              </w:rPr>
            </w:pPr>
            <w:r>
              <w:rPr>
                <w:rFonts w:ascii="Arial" w:cs="Arial" w:eastAsia="Arial" w:hAnsi="Arial"/>
                <w:sz w:val="17"/>
                <w:szCs w:val="17"/>
                <w:color w:val="auto"/>
              </w:rPr>
              <w:t>  Via the Internet</w:t>
            </w:r>
          </w:p>
        </w:tc>
        <w:tc>
          <w:tcPr>
            <w:tcW w:w="23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Submit your proxy at</w:t>
            </w:r>
          </w:p>
        </w:tc>
        <w:tc>
          <w:tcPr>
            <w:tcW w:w="2140" w:type="dxa"/>
            <w:vAlign w:val="bottom"/>
            <w:vMerge w:val="restart"/>
          </w:tcPr>
          <w:p>
            <w:pPr>
              <w:ind w:left="100"/>
              <w:spacing w:after="0"/>
              <w:rPr>
                <w:sz w:val="20"/>
                <w:szCs w:val="20"/>
                <w:color w:val="auto"/>
              </w:rPr>
            </w:pPr>
            <w:r>
              <w:rPr>
                <w:rFonts w:ascii="Arial" w:cs="Arial" w:eastAsia="Arial" w:hAnsi="Arial"/>
                <w:sz w:val="17"/>
                <w:szCs w:val="17"/>
                <w:color w:val="auto"/>
              </w:rPr>
              <w:t>Via the Internet</w:t>
            </w:r>
          </w:p>
        </w:tc>
        <w:tc>
          <w:tcPr>
            <w:tcW w:w="2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140" w:type="dxa"/>
            <w:vAlign w:val="bottom"/>
            <w:vMerge w:val="continue"/>
          </w:tcPr>
          <w:p>
            <w:pPr>
              <w:spacing w:after="0"/>
              <w:rPr>
                <w:sz w:val="17"/>
                <w:szCs w:val="17"/>
                <w:color w:val="auto"/>
              </w:rPr>
            </w:pPr>
          </w:p>
        </w:tc>
        <w:tc>
          <w:tcPr>
            <w:tcW w:w="2380" w:type="dxa"/>
            <w:vAlign w:val="bottom"/>
            <w:gridSpan w:val="2"/>
            <w:vMerge w:val="continue"/>
          </w:tcPr>
          <w:p>
            <w:pPr>
              <w:spacing w:after="0"/>
              <w:rPr>
                <w:sz w:val="17"/>
                <w:szCs w:val="17"/>
                <w:color w:val="auto"/>
              </w:rPr>
            </w:pPr>
          </w:p>
        </w:tc>
        <w:tc>
          <w:tcPr>
            <w:tcW w:w="214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140" w:type="dxa"/>
            <w:vAlign w:val="bottom"/>
          </w:tcPr>
          <w:p>
            <w:pPr>
              <w:spacing w:after="0" w:line="149" w:lineRule="exact"/>
              <w:rPr>
                <w:sz w:val="20"/>
                <w:szCs w:val="20"/>
                <w:color w:val="auto"/>
              </w:rPr>
            </w:pPr>
            <w:r>
              <w:rPr>
                <w:rFonts w:ascii="Arial" w:cs="Arial" w:eastAsia="Arial" w:hAnsi="Arial"/>
                <w:sz w:val="14"/>
                <w:szCs w:val="14"/>
                <w:color w:val="auto"/>
              </w:rPr>
              <w:t>  (in advance of the meeting)</w:t>
            </w:r>
          </w:p>
        </w:tc>
        <w:tc>
          <w:tcPr>
            <w:tcW w:w="2380" w:type="dxa"/>
            <w:vAlign w:val="bottom"/>
            <w:gridSpan w:val="2"/>
          </w:tcPr>
          <w:p>
            <w:pPr>
              <w:spacing w:after="0" w:line="149" w:lineRule="exact"/>
              <w:rPr>
                <w:sz w:val="20"/>
                <w:szCs w:val="20"/>
                <w:color w:val="auto"/>
              </w:rPr>
            </w:pPr>
            <w:r>
              <w:rPr>
                <w:rFonts w:ascii="Arial" w:cs="Arial" w:eastAsia="Arial" w:hAnsi="Arial"/>
                <w:sz w:val="17"/>
                <w:szCs w:val="17"/>
                <w:color w:val="auto"/>
              </w:rPr>
              <w:t>www.investorvote.com/UTL</w:t>
            </w:r>
          </w:p>
        </w:tc>
        <w:tc>
          <w:tcPr>
            <w:tcW w:w="2140" w:type="dxa"/>
            <w:vAlign w:val="bottom"/>
          </w:tcPr>
          <w:p>
            <w:pPr>
              <w:ind w:left="100"/>
              <w:spacing w:after="0" w:line="149" w:lineRule="exact"/>
              <w:rPr>
                <w:sz w:val="20"/>
                <w:szCs w:val="20"/>
                <w:color w:val="auto"/>
              </w:rPr>
            </w:pPr>
            <w:r>
              <w:rPr>
                <w:rFonts w:ascii="Arial" w:cs="Arial" w:eastAsia="Arial" w:hAnsi="Arial"/>
                <w:sz w:val="14"/>
                <w:szCs w:val="14"/>
                <w:color w:val="auto"/>
              </w:rPr>
              <w:t>(in advance of the meeting)</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140" w:type="dxa"/>
            <w:vAlign w:val="bottom"/>
          </w:tcPr>
          <w:p>
            <w:pPr>
              <w:spacing w:after="0"/>
              <w:rPr>
                <w:sz w:val="20"/>
                <w:szCs w:val="20"/>
                <w:color w:val="auto"/>
              </w:rPr>
            </w:pPr>
            <w:r>
              <w:rPr>
                <w:rFonts w:ascii="Arial" w:cs="Arial" w:eastAsia="Arial" w:hAnsi="Arial"/>
                <w:sz w:val="14"/>
                <w:szCs w:val="14"/>
                <w:color w:val="auto"/>
              </w:rPr>
              <w:t> </w:t>
            </w:r>
          </w:p>
        </w:tc>
        <w:tc>
          <w:tcPr>
            <w:tcW w:w="2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ind w:left="100"/>
              <w:spacing w:after="0"/>
              <w:rPr>
                <w:sz w:val="20"/>
                <w:szCs w:val="20"/>
                <w:color w:val="auto"/>
              </w:rPr>
            </w:pPr>
            <w:r>
              <w:rPr>
                <w:rFonts w:ascii="Arial" w:cs="Arial" w:eastAsia="Arial" w:hAnsi="Arial"/>
                <w:sz w:val="14"/>
                <w:szCs w:val="14"/>
                <w:color w:val="auto"/>
              </w:rPr>
              <w:t> </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145415</wp:posOffset>
            </wp:positionV>
            <wp:extent cx="56356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3562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-1132840</wp:posOffset>
            </wp:positionV>
            <wp:extent cx="214630" cy="165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630" cy="165100"/>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-1132840</wp:posOffset>
            </wp:positionV>
            <wp:extent cx="214630" cy="165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630" cy="16510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-250190</wp:posOffset>
            </wp:positionV>
            <wp:extent cx="23939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9395" cy="222885"/>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-250190</wp:posOffset>
            </wp:positionV>
            <wp:extent cx="239395"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9395" cy="222885"/>
                    </a:xfrm>
                    <a:prstGeom prst="rect">
                      <a:avLst/>
                    </a:prstGeom>
                    <a:noFill/>
                  </pic:spPr>
                </pic:pic>
              </a:graphicData>
            </a:graphic>
          </wp:anchor>
        </w:drawing>
      </w:r>
    </w:p>
    <w:p>
      <w:pPr>
        <w:sectPr>
          <w:pgSz w:w="11900" w:h="16838" w:orient="portrait"/>
          <w:cols w:equalWidth="0" w:num="1">
            <w:col w:w="10540"/>
          </w:cols>
          <w:pgMar w:left="320" w:top="470" w:right="1039" w:bottom="1440" w:gutter="0" w:footer="0" w:header="0"/>
        </w:sectPr>
      </w:pPr>
    </w:p>
    <w:p>
      <w:pPr>
        <w:spacing w:after="0" w:line="316" w:lineRule="exact"/>
        <w:rPr>
          <w:sz w:val="20"/>
          <w:szCs w:val="20"/>
          <w:color w:val="auto"/>
        </w:rPr>
      </w:pPr>
    </w:p>
    <w:p>
      <w:pPr>
        <w:ind w:left="1280" w:hanging="9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Person at the</w:t>
      </w:r>
    </w:p>
    <w:p>
      <w:pPr>
        <w:spacing w:after="0" w:line="15" w:lineRule="exact"/>
        <w:rPr>
          <w:rFonts w:ascii="Arial" w:cs="Arial" w:eastAsia="Arial" w:hAnsi="Arial"/>
          <w:sz w:val="17"/>
          <w:szCs w:val="17"/>
          <w:color w:val="auto"/>
        </w:rPr>
      </w:pPr>
    </w:p>
    <w:p>
      <w:pPr>
        <w:ind w:left="1280" w:hanging="9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Meeting</w:t>
      </w:r>
    </w:p>
    <w:p>
      <w:pPr>
        <w:spacing w:after="0" w:line="42" w:lineRule="exact"/>
        <w:rPr>
          <w:rFonts w:ascii="Arial" w:cs="Arial" w:eastAsia="Arial" w:hAnsi="Arial"/>
          <w:sz w:val="17"/>
          <w:szCs w:val="17"/>
          <w:color w:val="auto"/>
        </w:rPr>
      </w:pPr>
    </w:p>
    <w:p>
      <w:pPr>
        <w:ind w:left="1320" w:hanging="134"/>
        <w:spacing w:after="0"/>
        <w:tabs>
          <w:tab w:leader="none" w:pos="1320" w:val="left"/>
        </w:tabs>
        <w:numPr>
          <w:ilvl w:val="0"/>
          <w:numId w:val="7"/>
        </w:numPr>
        <w:rPr>
          <w:rFonts w:ascii="Arial" w:cs="Arial" w:eastAsia="Arial" w:hAnsi="Arial"/>
          <w:sz w:val="17"/>
          <w:szCs w:val="17"/>
          <w:color w:val="auto"/>
        </w:rPr>
      </w:pPr>
      <w:r>
        <w:rPr>
          <w:rFonts w:ascii="Arial" w:cs="Arial" w:eastAsia="Arial" w:hAnsi="Arial"/>
          <w:sz w:val="1"/>
          <w:szCs w:val="1"/>
          <w:color w:val="auto"/>
        </w:rPr>
        <w:drawing>
          <wp:inline distT="0" distB="0" distL="0" distR="0">
            <wp:extent cx="156845" cy="1981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845" cy="19812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 meeting ballot will be provided for voting at the meeting.</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In Person at the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Meeting</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w:t>
      </w:r>
      <w:r>
        <w:rPr>
          <w:sz w:val="1"/>
          <w:szCs w:val="1"/>
          <w:color w:val="auto"/>
        </w:rPr>
        <w:drawing>
          <wp:inline distT="0" distB="0" distL="0" distR="0">
            <wp:extent cx="156845" cy="1981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845" cy="19812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431165</wp:posOffset>
            </wp:positionV>
            <wp:extent cx="56356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356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560"/>
        <w:spacing w:after="0" w:line="246" w:lineRule="auto"/>
        <w:rPr>
          <w:sz w:val="20"/>
          <w:szCs w:val="20"/>
          <w:color w:val="auto"/>
        </w:rPr>
      </w:pPr>
      <w:r>
        <w:rPr>
          <w:rFonts w:ascii="Arial" w:cs="Arial" w:eastAsia="Arial" w:hAnsi="Arial"/>
          <w:sz w:val="17"/>
          <w:szCs w:val="17"/>
          <w:b w:val="1"/>
          <w:bCs w:val="1"/>
          <w:color w:val="auto"/>
        </w:rPr>
        <w:t xml:space="preserve">A LEGAL PROXY IS REQUIRED, </w:t>
      </w:r>
      <w:r>
        <w:rPr>
          <w:rFonts w:ascii="Arial" w:cs="Arial" w:eastAsia="Arial" w:hAnsi="Arial"/>
          <w:sz w:val="17"/>
          <w:szCs w:val="17"/>
          <w:color w:val="auto"/>
        </w:rPr>
        <w:t>which can be</w:t>
      </w:r>
      <w:r>
        <w:rPr>
          <w:rFonts w:ascii="Arial" w:cs="Arial" w:eastAsia="Arial" w:hAnsi="Arial"/>
          <w:sz w:val="17"/>
          <w:szCs w:val="17"/>
          <w:b w:val="1"/>
          <w:bCs w:val="1"/>
          <w:color w:val="auto"/>
        </w:rPr>
        <w:t xml:space="preserve"> </w:t>
      </w:r>
      <w:r>
        <w:rPr>
          <w:rFonts w:ascii="Arial" w:cs="Arial" w:eastAsia="Arial" w:hAnsi="Arial"/>
          <w:sz w:val="17"/>
          <w:szCs w:val="17"/>
          <w:color w:val="auto"/>
        </w:rPr>
        <w:t>obtained from your bank broker or other nominee; a meeting ballot will be provided for voting at the meeting.</w:t>
      </w:r>
    </w:p>
    <w:p>
      <w:pPr>
        <w:spacing w:after="0" w:line="120" w:lineRule="exact"/>
        <w:rPr>
          <w:sz w:val="20"/>
          <w:szCs w:val="20"/>
          <w:color w:val="auto"/>
        </w:rPr>
      </w:pPr>
    </w:p>
    <w:p>
      <w:pPr>
        <w:sectPr>
          <w:pgSz w:w="11900" w:h="16838" w:orient="portrait"/>
          <w:cols w:equalWidth="0" w:num="4">
            <w:col w:w="2600" w:space="720"/>
            <w:col w:w="1900" w:space="580"/>
            <w:col w:w="1420" w:space="720"/>
            <w:col w:w="2600"/>
          </w:cols>
          <w:pgMar w:left="320" w:top="470" w:right="1039" w:bottom="1440" w:gutter="0" w:footer="0" w:header="0"/>
          <w:type w:val="continuous"/>
        </w:sectPr>
      </w:pPr>
    </w:p>
    <w:p>
      <w:pPr>
        <w:ind w:left="1280"/>
        <w:spacing w:after="0" w:line="252" w:lineRule="auto"/>
        <w:rPr>
          <w:sz w:val="20"/>
          <w:szCs w:val="20"/>
          <w:color w:val="auto"/>
        </w:rPr>
      </w:pPr>
      <w:r>
        <w:rPr>
          <w:rFonts w:ascii="Arial" w:cs="Arial" w:eastAsia="Arial" w:hAnsi="Arial"/>
          <w:sz w:val="17"/>
          <w:szCs w:val="17"/>
          <w:color w:val="auto"/>
        </w:rPr>
        <w:t>If for any reason you desire to revoke or change your proxy, you may do so at any time prior to the meeting by following the procedures described in the accompanying proxy statement or at the meeting.</w:t>
      </w:r>
    </w:p>
    <w:p>
      <w:pPr>
        <w:spacing w:after="0" w:line="20" w:lineRule="exact"/>
        <w:rPr>
          <w:sz w:val="20"/>
          <w:szCs w:val="20"/>
          <w:color w:val="auto"/>
        </w:rPr>
      </w:pPr>
      <w:r>
        <w:rPr>
          <w:sz w:val="20"/>
          <w:szCs w:val="20"/>
          <w:color w:val="auto"/>
        </w:rPr>
        <w:br w:type="column"/>
      </w:r>
    </w:p>
    <w:p>
      <w:pPr>
        <w:ind w:right="520"/>
        <w:spacing w:after="0" w:line="252" w:lineRule="auto"/>
        <w:rPr>
          <w:sz w:val="20"/>
          <w:szCs w:val="20"/>
          <w:color w:val="auto"/>
        </w:rPr>
      </w:pPr>
      <w:r>
        <w:rPr>
          <w:rFonts w:ascii="Arial" w:cs="Arial" w:eastAsia="Arial" w:hAnsi="Arial"/>
          <w:sz w:val="17"/>
          <w:szCs w:val="17"/>
          <w:color w:val="auto"/>
        </w:rPr>
        <w:t>If for any reason you desire to revoke or change your voting instructions, you must contact your bank, broker or other nominee and follow its procedures for revoking or changing your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-6985</wp:posOffset>
            </wp:positionV>
            <wp:extent cx="56356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35625" cy="8255"/>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330835</wp:posOffset>
            </wp:positionV>
            <wp:extent cx="633730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3730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460"/>
            <w:col w:w="4740"/>
          </w:cols>
          <w:pgMar w:left="320" w:top="470" w:right="10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ATTENDING THE ANNUAL MEETING OF SHAREHOLDERS</w:t>
      </w:r>
    </w:p>
    <w:p>
      <w:pPr>
        <w:spacing w:after="0" w:line="216" w:lineRule="exact"/>
        <w:rPr>
          <w:sz w:val="20"/>
          <w:szCs w:val="20"/>
          <w:color w:val="auto"/>
        </w:rPr>
      </w:pPr>
    </w:p>
    <w:p>
      <w:pPr>
        <w:ind w:left="640" w:right="500"/>
        <w:spacing w:after="0" w:line="264" w:lineRule="auto"/>
        <w:rPr>
          <w:sz w:val="20"/>
          <w:szCs w:val="20"/>
          <w:color w:val="auto"/>
        </w:rPr>
      </w:pPr>
      <w:r>
        <w:rPr>
          <w:rFonts w:ascii="Arial" w:cs="Arial" w:eastAsia="Arial" w:hAnsi="Arial"/>
          <w:sz w:val="21"/>
          <w:szCs w:val="21"/>
          <w:color w:val="auto"/>
        </w:rPr>
        <w:t>All shareholders are invited to attend the Annual Meeting of Shareholders. However, to ensure that the meeting remains orderly and secure, you must follow certain procedures for admittance.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Attending in Person</w:t>
      </w:r>
    </w:p>
    <w:p>
      <w:pPr>
        <w:spacing w:after="0" w:line="110" w:lineRule="exact"/>
        <w:rPr>
          <w:sz w:val="20"/>
          <w:szCs w:val="20"/>
          <w:color w:val="auto"/>
        </w:rPr>
      </w:pPr>
    </w:p>
    <w:p>
      <w:pPr>
        <w:ind w:left="640"/>
        <w:spacing w:after="0" w:line="239" w:lineRule="auto"/>
        <w:rPr>
          <w:sz w:val="20"/>
          <w:szCs w:val="20"/>
          <w:color w:val="auto"/>
        </w:rPr>
      </w:pPr>
      <w:r>
        <w:rPr>
          <w:rFonts w:ascii="Arial" w:cs="Arial" w:eastAsia="Arial" w:hAnsi="Arial"/>
          <w:sz w:val="21"/>
          <w:szCs w:val="21"/>
          <w:color w:val="auto"/>
        </w:rPr>
        <w:t>Shareholders of record will need to provide their name and government-issued picture identification. Beneficial owners will need to provide a copy of an account statement from the bank, broker or nominee holding the shares as proof of ownership as of the Record Date, as well as government-issued picture identification. The safety of our employees and all invited guests and visitors is of primary importance. If you should elect to attend the Annual Meeting in person, you will be expected to follow all directions from Company personnel while inside our corporate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371475</wp:posOffset>
            </wp:positionV>
            <wp:extent cx="6337300" cy="82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ectPr>
          <w:pgSz w:w="11900" w:h="16838" w:orient="portrait"/>
          <w:cols w:equalWidth="0" w:num="1">
            <w:col w:w="10540"/>
          </w:cols>
          <w:pgMar w:left="320" w:top="470" w:right="10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94" w:lineRule="exact"/>
        <w:rPr>
          <w:sz w:val="20"/>
          <w:szCs w:val="20"/>
          <w:color w:val="auto"/>
        </w:rPr>
      </w:pPr>
    </w:p>
    <w:p>
      <w:pPr>
        <w:ind w:left="640"/>
        <w:spacing w:after="0"/>
        <w:rPr>
          <w:sz w:val="20"/>
          <w:szCs w:val="20"/>
          <w:color w:val="auto"/>
        </w:rPr>
      </w:pPr>
      <w:r>
        <w:rPr>
          <w:rFonts w:ascii="Arial" w:cs="Arial" w:eastAsia="Arial" w:hAnsi="Arial"/>
          <w:sz w:val="34"/>
          <w:szCs w:val="34"/>
          <w:b w:val="1"/>
          <w:bCs w:val="1"/>
          <w:color w:val="auto"/>
        </w:rPr>
        <w:t>TABLE OF CONTENTS</w:t>
      </w:r>
    </w:p>
    <w:p>
      <w:pPr>
        <w:spacing w:after="0" w:line="394"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71755</wp:posOffset>
            </wp:positionV>
            <wp:extent cx="6337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ectPr>
          <w:pgSz w:w="11900" w:h="16838" w:orient="portrait"/>
          <w:cols w:equalWidth="0" w:num="1">
            <w:col w:w="10620"/>
          </w:cols>
          <w:pgMar w:left="320" w:top="470" w:right="959" w:bottom="1440" w:gutter="0" w:footer="0" w:header="0"/>
        </w:sectPr>
      </w:pPr>
    </w:p>
    <w:p>
      <w:pPr>
        <w:spacing w:after="0" w:line="200" w:lineRule="exact"/>
        <w:rPr>
          <w:sz w:val="20"/>
          <w:szCs w:val="20"/>
          <w:color w:val="auto"/>
        </w:rPr>
      </w:pPr>
    </w:p>
    <w:p>
      <w:pPr>
        <w:spacing w:after="0" w:line="253" w:lineRule="exact"/>
        <w:rPr>
          <w:sz w:val="20"/>
          <w:szCs w:val="20"/>
          <w:color w:val="auto"/>
        </w:rPr>
      </w:pPr>
    </w:p>
    <w:tbl>
      <w:tblPr>
        <w:tblLayout w:type="fixed"/>
        <w:tblInd w:w="640" w:type="dxa"/>
        <w:tblCellMar>
          <w:top w:w="0" w:type="dxa"/>
          <w:left w:w="0" w:type="dxa"/>
          <w:bottom w:w="0" w:type="dxa"/>
          <w:right w:w="0" w:type="dxa"/>
        </w:tblCellMar>
      </w:tblPr>
      <w:tr>
        <w:trPr>
          <w:trHeight w:val="218"/>
        </w:trPr>
        <w:tc>
          <w:tcPr>
            <w:tcW w:w="4420" w:type="dxa"/>
            <w:vAlign w:val="bottom"/>
            <w:gridSpan w:val="29"/>
          </w:tcPr>
          <w:p>
            <w:pPr>
              <w:spacing w:after="0"/>
              <w:rPr>
                <w:sz w:val="20"/>
                <w:szCs w:val="20"/>
                <w:color w:val="auto"/>
              </w:rPr>
            </w:pPr>
            <w:r>
              <w:rPr>
                <w:rFonts w:ascii="Arial" w:cs="Arial" w:eastAsia="Arial" w:hAnsi="Arial"/>
                <w:sz w:val="19"/>
                <w:szCs w:val="19"/>
                <w:b w:val="1"/>
                <w:bCs w:val="1"/>
                <w:color w:val="0000EE"/>
              </w:rPr>
              <w:t>INFORMATION ABOUT THE ANNUAL MEETING</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420" w:type="dxa"/>
            <w:vAlign w:val="bottom"/>
            <w:gridSpan w:val="29"/>
          </w:tcPr>
          <w:p>
            <w:pPr>
              <w:spacing w:after="0"/>
              <w:rPr>
                <w:sz w:val="20"/>
                <w:szCs w:val="20"/>
                <w:color w:val="auto"/>
              </w:rPr>
            </w:pPr>
            <w:r>
              <w:rPr>
                <w:rFonts w:ascii="Arial" w:cs="Arial" w:eastAsia="Arial" w:hAnsi="Arial"/>
                <w:sz w:val="19"/>
                <w:szCs w:val="19"/>
                <w:b w:val="1"/>
                <w:bCs w:val="1"/>
                <w:color w:val="0000EE"/>
              </w:rPr>
              <w:t>ENERGY FOR LIFE</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420" w:type="dxa"/>
            <w:vAlign w:val="bottom"/>
            <w:gridSpan w:val="29"/>
          </w:tcPr>
          <w:p>
            <w:pPr>
              <w:spacing w:after="0"/>
              <w:rPr>
                <w:sz w:val="20"/>
                <w:szCs w:val="20"/>
                <w:color w:val="auto"/>
              </w:rPr>
            </w:pPr>
            <w:r>
              <w:rPr>
                <w:rFonts w:ascii="Arial" w:cs="Arial" w:eastAsia="Arial" w:hAnsi="Arial"/>
                <w:sz w:val="19"/>
                <w:szCs w:val="19"/>
                <w:b w:val="1"/>
                <w:bCs w:val="1"/>
                <w:color w:val="0000EE"/>
              </w:rPr>
              <w:t>DESCRIPTION OF MANAGEMENT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420" w:type="dxa"/>
            <w:vAlign w:val="bottom"/>
            <w:gridSpan w:val="29"/>
          </w:tcPr>
          <w:p>
            <w:pPr>
              <w:spacing w:after="0"/>
              <w:rPr>
                <w:sz w:val="20"/>
                <w:szCs w:val="20"/>
                <w:color w:val="auto"/>
              </w:rPr>
            </w:pPr>
            <w:r>
              <w:rPr>
                <w:rFonts w:ascii="Arial" w:cs="Arial" w:eastAsia="Arial" w:hAnsi="Arial"/>
                <w:sz w:val="19"/>
                <w:szCs w:val="19"/>
                <w:b w:val="1"/>
                <w:bCs w:val="1"/>
                <w:color w:val="0000EE"/>
              </w:rPr>
              <w:t>SHARE OWNERSHIP</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0" w:type="dxa"/>
            <w:vAlign w:val="bottom"/>
          </w:tcPr>
          <w:p>
            <w:pPr>
              <w:spacing w:after="0"/>
              <w:rPr>
                <w:sz w:val="13"/>
                <w:szCs w:val="13"/>
                <w:color w:val="auto"/>
              </w:rPr>
            </w:pPr>
          </w:p>
        </w:tc>
        <w:tc>
          <w:tcPr>
            <w:tcW w:w="1640" w:type="dxa"/>
            <w:vAlign w:val="bottom"/>
            <w:tcBorders>
              <w:bottom w:val="single" w:sz="8" w:color="0000EE"/>
            </w:tcBorders>
            <w:gridSpan w:val="11"/>
          </w:tcPr>
          <w:p>
            <w:pPr>
              <w:spacing w:after="0" w:line="161" w:lineRule="exact"/>
              <w:rPr>
                <w:sz w:val="20"/>
                <w:szCs w:val="20"/>
                <w:color w:val="auto"/>
              </w:rPr>
            </w:pPr>
            <w:r>
              <w:rPr>
                <w:rFonts w:ascii="Arial" w:cs="Arial" w:eastAsia="Arial" w:hAnsi="Arial"/>
                <w:sz w:val="17"/>
                <w:szCs w:val="17"/>
                <w:color w:val="0000EE"/>
              </w:rPr>
              <w:t>Beneficial Ownership</w:t>
            </w:r>
          </w:p>
        </w:tc>
        <w:tc>
          <w:tcPr>
            <w:tcW w:w="2580" w:type="dxa"/>
            <w:vAlign w:val="bottom"/>
            <w:gridSpan w:val="17"/>
          </w:tcPr>
          <w:p>
            <w:pPr>
              <w:spacing w:after="0"/>
              <w:rPr>
                <w:sz w:val="13"/>
                <w:szCs w:val="13"/>
                <w:color w:val="auto"/>
              </w:rPr>
            </w:pPr>
          </w:p>
        </w:tc>
        <w:tc>
          <w:tcPr>
            <w:tcW w:w="360" w:type="dxa"/>
            <w:vAlign w:val="bottom"/>
            <w:gridSpan w:val="2"/>
          </w:tcPr>
          <w:p>
            <w:pPr>
              <w:jc w:val="right"/>
              <w:ind w:right="60"/>
              <w:spacing w:after="0" w:line="161"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220" w:type="dxa"/>
            <w:vAlign w:val="bottom"/>
            <w:gridSpan w:val="28"/>
          </w:tcPr>
          <w:p>
            <w:pPr>
              <w:spacing w:after="0"/>
              <w:rPr>
                <w:sz w:val="20"/>
                <w:szCs w:val="20"/>
                <w:color w:val="auto"/>
              </w:rPr>
            </w:pPr>
            <w:r>
              <w:rPr>
                <w:rFonts w:ascii="Arial" w:cs="Arial" w:eastAsia="Arial" w:hAnsi="Arial"/>
                <w:sz w:val="17"/>
                <w:szCs w:val="17"/>
                <w:color w:val="0000EE"/>
              </w:rPr>
              <w:t>Section 16(a) Beneficial Ownership Reporting</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3520" w:type="dxa"/>
            <w:vAlign w:val="bottom"/>
            <w:tcBorders>
              <w:top w:val="single" w:sz="8" w:color="0000EE"/>
            </w:tcBorders>
            <w:gridSpan w:val="22"/>
          </w:tcPr>
          <w:p>
            <w:pPr>
              <w:spacing w:after="0" w:line="175" w:lineRule="exact"/>
              <w:rPr>
                <w:sz w:val="20"/>
                <w:szCs w:val="20"/>
                <w:color w:val="auto"/>
              </w:rPr>
            </w:pPr>
            <w:r>
              <w:rPr>
                <w:rFonts w:ascii="Arial" w:cs="Arial" w:eastAsia="Arial" w:hAnsi="Arial"/>
                <w:sz w:val="17"/>
                <w:szCs w:val="17"/>
                <w:color w:val="0000EE"/>
              </w:rPr>
              <w:t>Compliance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420" w:type="dxa"/>
            <w:vAlign w:val="bottom"/>
            <w:gridSpan w:val="29"/>
          </w:tcPr>
          <w:p>
            <w:pPr>
              <w:spacing w:after="0"/>
              <w:rPr>
                <w:sz w:val="20"/>
                <w:szCs w:val="20"/>
                <w:color w:val="auto"/>
              </w:rPr>
            </w:pPr>
            <w:r>
              <w:rPr>
                <w:rFonts w:ascii="Arial" w:cs="Arial" w:eastAsia="Arial" w:hAnsi="Arial"/>
                <w:sz w:val="19"/>
                <w:szCs w:val="19"/>
                <w:b w:val="1"/>
                <w:bCs w:val="1"/>
                <w:color w:val="0000EE"/>
              </w:rPr>
              <w:t>CORPORATE GOVERNANCE</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0" w:type="dxa"/>
            <w:vAlign w:val="bottom"/>
          </w:tcPr>
          <w:p>
            <w:pPr>
              <w:spacing w:after="0"/>
              <w:rPr>
                <w:sz w:val="13"/>
                <w:szCs w:val="13"/>
                <w:color w:val="auto"/>
              </w:rPr>
            </w:pPr>
          </w:p>
        </w:tc>
        <w:tc>
          <w:tcPr>
            <w:tcW w:w="1100" w:type="dxa"/>
            <w:vAlign w:val="bottom"/>
            <w:tcBorders>
              <w:bottom w:val="single" w:sz="8" w:color="0000EE"/>
            </w:tcBorders>
            <w:gridSpan w:val="2"/>
          </w:tcPr>
          <w:p>
            <w:pPr>
              <w:spacing w:after="0" w:line="161" w:lineRule="exact"/>
              <w:rPr>
                <w:sz w:val="20"/>
                <w:szCs w:val="20"/>
                <w:color w:val="auto"/>
              </w:rPr>
            </w:pPr>
            <w:r>
              <w:rPr>
                <w:rFonts w:ascii="Arial" w:cs="Arial" w:eastAsia="Arial" w:hAnsi="Arial"/>
                <w:sz w:val="17"/>
                <w:szCs w:val="17"/>
                <w:color w:val="0000EE"/>
              </w:rPr>
              <w:t>Board Charter</w:t>
            </w:r>
          </w:p>
        </w:tc>
        <w:tc>
          <w:tcPr>
            <w:tcW w:w="3120" w:type="dxa"/>
            <w:vAlign w:val="bottom"/>
            <w:gridSpan w:val="26"/>
          </w:tcPr>
          <w:p>
            <w:pPr>
              <w:spacing w:after="0"/>
              <w:rPr>
                <w:sz w:val="13"/>
                <w:szCs w:val="13"/>
                <w:color w:val="auto"/>
              </w:rPr>
            </w:pPr>
          </w:p>
        </w:tc>
        <w:tc>
          <w:tcPr>
            <w:tcW w:w="360" w:type="dxa"/>
            <w:vAlign w:val="bottom"/>
            <w:gridSpan w:val="2"/>
          </w:tcPr>
          <w:p>
            <w:pPr>
              <w:jc w:val="right"/>
              <w:ind w:right="60"/>
              <w:spacing w:after="0" w:line="161"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1760" w:type="dxa"/>
            <w:vAlign w:val="bottom"/>
            <w:tcBorders>
              <w:bottom w:val="single" w:sz="8" w:color="0000EE"/>
            </w:tcBorders>
            <w:gridSpan w:val="14"/>
          </w:tcPr>
          <w:p>
            <w:pPr>
              <w:spacing w:after="0"/>
              <w:rPr>
                <w:sz w:val="20"/>
                <w:szCs w:val="20"/>
                <w:color w:val="auto"/>
              </w:rPr>
            </w:pPr>
            <w:r>
              <w:rPr>
                <w:rFonts w:ascii="Arial" w:cs="Arial" w:eastAsia="Arial" w:hAnsi="Arial"/>
                <w:sz w:val="17"/>
                <w:szCs w:val="17"/>
                <w:color w:val="0000EE"/>
              </w:rPr>
              <w:t>Director Independence</w:t>
            </w:r>
          </w:p>
        </w:tc>
        <w:tc>
          <w:tcPr>
            <w:tcW w:w="2460" w:type="dxa"/>
            <w:vAlign w:val="bottom"/>
            <w:gridSpan w:val="14"/>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162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rPr>
              <w:t>Leadership Structure</w:t>
            </w:r>
          </w:p>
        </w:tc>
        <w:tc>
          <w:tcPr>
            <w:tcW w:w="2600" w:type="dxa"/>
            <w:vAlign w:val="bottom"/>
            <w:gridSpan w:val="18"/>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rPr>
              <w:t>Risk Oversight</w:t>
            </w:r>
          </w:p>
        </w:tc>
        <w:tc>
          <w:tcPr>
            <w:tcW w:w="3080" w:type="dxa"/>
            <w:vAlign w:val="bottom"/>
            <w:gridSpan w:val="25"/>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1860" w:type="dxa"/>
            <w:vAlign w:val="bottom"/>
            <w:tcBorders>
              <w:bottom w:val="single" w:sz="8" w:color="0000EE"/>
            </w:tcBorders>
            <w:gridSpan w:val="16"/>
          </w:tcPr>
          <w:p>
            <w:pPr>
              <w:spacing w:after="0"/>
              <w:rPr>
                <w:sz w:val="20"/>
                <w:szCs w:val="20"/>
                <w:color w:val="auto"/>
              </w:rPr>
            </w:pPr>
            <w:r>
              <w:rPr>
                <w:rFonts w:ascii="Arial" w:cs="Arial" w:eastAsia="Arial" w:hAnsi="Arial"/>
                <w:sz w:val="17"/>
                <w:szCs w:val="17"/>
                <w:color w:val="0000EE"/>
              </w:rPr>
              <w:t>Cybersecurity Oversight</w:t>
            </w:r>
          </w:p>
        </w:tc>
        <w:tc>
          <w:tcPr>
            <w:tcW w:w="2360" w:type="dxa"/>
            <w:vAlign w:val="bottom"/>
            <w:gridSpan w:val="12"/>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1800" w:type="dxa"/>
            <w:vAlign w:val="bottom"/>
            <w:tcBorders>
              <w:bottom w:val="single" w:sz="8" w:color="0000EE"/>
            </w:tcBorders>
            <w:gridSpan w:val="15"/>
          </w:tcPr>
          <w:p>
            <w:pPr>
              <w:spacing w:after="0"/>
              <w:rPr>
                <w:sz w:val="20"/>
                <w:szCs w:val="20"/>
                <w:color w:val="auto"/>
              </w:rPr>
            </w:pPr>
            <w:r>
              <w:rPr>
                <w:rFonts w:ascii="Arial" w:cs="Arial" w:eastAsia="Arial" w:hAnsi="Arial"/>
                <w:sz w:val="17"/>
                <w:szCs w:val="17"/>
                <w:color w:val="0000EE"/>
              </w:rPr>
              <w:t>Board Succession Plan</w:t>
            </w:r>
          </w:p>
        </w:tc>
        <w:tc>
          <w:tcPr>
            <w:tcW w:w="2420" w:type="dxa"/>
            <w:vAlign w:val="bottom"/>
            <w:gridSpan w:val="13"/>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220" w:type="dxa"/>
            <w:vAlign w:val="bottom"/>
            <w:gridSpan w:val="28"/>
          </w:tcPr>
          <w:p>
            <w:pPr>
              <w:spacing w:after="0"/>
              <w:rPr>
                <w:sz w:val="20"/>
                <w:szCs w:val="20"/>
                <w:color w:val="auto"/>
              </w:rPr>
            </w:pPr>
            <w:r>
              <w:rPr>
                <w:rFonts w:ascii="Arial" w:cs="Arial" w:eastAsia="Arial" w:hAnsi="Arial"/>
                <w:sz w:val="17"/>
                <w:szCs w:val="17"/>
                <w:color w:val="0000EE"/>
              </w:rPr>
              <w:t>Retirement Policy</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0" w:type="dxa"/>
            <w:vAlign w:val="bottom"/>
          </w:tcPr>
          <w:p>
            <w:pPr>
              <w:spacing w:after="0"/>
              <w:rPr>
                <w:sz w:val="17"/>
                <w:szCs w:val="17"/>
                <w:color w:val="auto"/>
              </w:rPr>
            </w:pPr>
          </w:p>
        </w:tc>
        <w:tc>
          <w:tcPr>
            <w:tcW w:w="3560" w:type="dxa"/>
            <w:vAlign w:val="bottom"/>
            <w:tcBorders>
              <w:bottom w:val="single" w:sz="8" w:color="0000EE"/>
            </w:tcBorders>
            <w:gridSpan w:val="23"/>
          </w:tcPr>
          <w:p>
            <w:pPr>
              <w:spacing w:after="0"/>
              <w:rPr>
                <w:sz w:val="20"/>
                <w:szCs w:val="20"/>
                <w:color w:val="auto"/>
              </w:rPr>
            </w:pPr>
            <w:r>
              <w:rPr>
                <w:rFonts w:ascii="Arial" w:cs="Arial" w:eastAsia="Arial" w:hAnsi="Arial"/>
                <w:sz w:val="17"/>
                <w:szCs w:val="17"/>
                <w:color w:val="0000EE"/>
              </w:rPr>
              <w:t>Directors’ Stock Ownership &amp; Retention Policy</w:t>
            </w:r>
          </w:p>
        </w:tc>
        <w:tc>
          <w:tcPr>
            <w:tcW w:w="660" w:type="dxa"/>
            <w:vAlign w:val="bottom"/>
            <w:gridSpan w:val="5"/>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220" w:type="dxa"/>
            <w:vAlign w:val="bottom"/>
            <w:gridSpan w:val="28"/>
          </w:tcPr>
          <w:p>
            <w:pPr>
              <w:spacing w:after="0"/>
              <w:rPr>
                <w:sz w:val="20"/>
                <w:szCs w:val="20"/>
                <w:color w:val="auto"/>
              </w:rPr>
            </w:pPr>
            <w:r>
              <w:rPr>
                <w:rFonts w:ascii="Arial" w:cs="Arial" w:eastAsia="Arial" w:hAnsi="Arial"/>
                <w:sz w:val="17"/>
                <w:szCs w:val="17"/>
                <w:color w:val="0000EE"/>
              </w:rPr>
              <w:t>Insider Trading Policy</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7"/>
                <w:szCs w:val="17"/>
                <w:color w:val="0000EE"/>
              </w:rPr>
              <w:t>Resignation Policy</w:t>
            </w:r>
          </w:p>
        </w:tc>
        <w:tc>
          <w:tcPr>
            <w:tcW w:w="220" w:type="dxa"/>
            <w:vAlign w:val="bottom"/>
            <w:tcBorders>
              <w:top w:val="single" w:sz="8" w:color="0000EE"/>
            </w:tcBorders>
            <w:gridSpan w:val="6"/>
          </w:tcPr>
          <w:p>
            <w:pPr>
              <w:spacing w:after="0"/>
              <w:rPr>
                <w:sz w:val="17"/>
                <w:szCs w:val="17"/>
                <w:color w:val="auto"/>
              </w:rPr>
            </w:pPr>
          </w:p>
        </w:tc>
        <w:tc>
          <w:tcPr>
            <w:tcW w:w="2560" w:type="dxa"/>
            <w:vAlign w:val="bottom"/>
            <w:gridSpan w:val="16"/>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220" w:type="dxa"/>
            <w:vAlign w:val="bottom"/>
            <w:gridSpan w:val="28"/>
          </w:tcPr>
          <w:p>
            <w:pPr>
              <w:spacing w:after="0"/>
              <w:rPr>
                <w:sz w:val="20"/>
                <w:szCs w:val="20"/>
                <w:color w:val="auto"/>
              </w:rPr>
            </w:pPr>
            <w:r>
              <w:rPr>
                <w:rFonts w:ascii="Arial" w:cs="Arial" w:eastAsia="Arial" w:hAnsi="Arial"/>
                <w:sz w:val="17"/>
                <w:szCs w:val="17"/>
                <w:color w:val="0000EE"/>
              </w:rPr>
              <w:t>Annual Evaluation</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7"/>
                <w:szCs w:val="17"/>
                <w:color w:val="0000EE"/>
              </w:rPr>
              <w:t>Code of Ethics</w:t>
            </w:r>
          </w:p>
        </w:tc>
        <w:tc>
          <w:tcPr>
            <w:tcW w:w="260" w:type="dxa"/>
            <w:vAlign w:val="bottom"/>
            <w:tcBorders>
              <w:top w:val="single" w:sz="8" w:color="0000EE"/>
            </w:tcBorders>
            <w:gridSpan w:val="2"/>
          </w:tcPr>
          <w:p>
            <w:pPr>
              <w:spacing w:after="0"/>
              <w:rPr>
                <w:sz w:val="17"/>
                <w:szCs w:val="17"/>
                <w:color w:val="auto"/>
              </w:rPr>
            </w:pPr>
          </w:p>
        </w:tc>
        <w:tc>
          <w:tcPr>
            <w:tcW w:w="2820" w:type="dxa"/>
            <w:vAlign w:val="bottom"/>
            <w:gridSpan w:val="23"/>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2680" w:type="dxa"/>
            <w:vAlign w:val="bottom"/>
            <w:tcBorders>
              <w:bottom w:val="single" w:sz="8" w:color="0000EE"/>
            </w:tcBorders>
            <w:gridSpan w:val="19"/>
          </w:tcPr>
          <w:p>
            <w:pPr>
              <w:spacing w:after="0"/>
              <w:rPr>
                <w:sz w:val="20"/>
                <w:szCs w:val="20"/>
                <w:color w:val="auto"/>
              </w:rPr>
            </w:pPr>
            <w:r>
              <w:rPr>
                <w:rFonts w:ascii="Arial" w:cs="Arial" w:eastAsia="Arial" w:hAnsi="Arial"/>
                <w:sz w:val="17"/>
                <w:szCs w:val="17"/>
                <w:color w:val="0000EE"/>
              </w:rPr>
              <w:t>Management Succession Planning</w:t>
            </w:r>
          </w:p>
        </w:tc>
        <w:tc>
          <w:tcPr>
            <w:tcW w:w="1540" w:type="dxa"/>
            <w:vAlign w:val="bottom"/>
            <w:gridSpan w:val="9"/>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3220" w:type="dxa"/>
            <w:vAlign w:val="bottom"/>
            <w:tcBorders>
              <w:bottom w:val="single" w:sz="8" w:color="0000EE"/>
            </w:tcBorders>
            <w:gridSpan w:val="21"/>
          </w:tcPr>
          <w:p>
            <w:pPr>
              <w:spacing w:after="0"/>
              <w:rPr>
                <w:sz w:val="20"/>
                <w:szCs w:val="20"/>
                <w:color w:val="auto"/>
              </w:rPr>
            </w:pPr>
            <w:r>
              <w:rPr>
                <w:rFonts w:ascii="Arial" w:cs="Arial" w:eastAsia="Arial" w:hAnsi="Arial"/>
                <w:sz w:val="17"/>
                <w:szCs w:val="17"/>
                <w:color w:val="0000EE"/>
              </w:rPr>
              <w:t>Executive Compensation Recovery Policy</w:t>
            </w:r>
          </w:p>
        </w:tc>
        <w:tc>
          <w:tcPr>
            <w:tcW w:w="1000" w:type="dxa"/>
            <w:vAlign w:val="bottom"/>
            <w:gridSpan w:val="7"/>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3580" w:type="dxa"/>
            <w:vAlign w:val="bottom"/>
            <w:tcBorders>
              <w:bottom w:val="single" w:sz="8" w:color="0000EE"/>
            </w:tcBorders>
            <w:gridSpan w:val="24"/>
          </w:tcPr>
          <w:p>
            <w:pPr>
              <w:spacing w:after="0"/>
              <w:rPr>
                <w:sz w:val="20"/>
                <w:szCs w:val="20"/>
                <w:color w:val="auto"/>
              </w:rPr>
            </w:pPr>
            <w:r>
              <w:rPr>
                <w:rFonts w:ascii="Arial" w:cs="Arial" w:eastAsia="Arial" w:hAnsi="Arial"/>
                <w:sz w:val="17"/>
                <w:szCs w:val="17"/>
                <w:color w:val="0000EE"/>
              </w:rPr>
              <w:t>Executive Stock Ownership &amp; Retention Policy</w:t>
            </w:r>
          </w:p>
        </w:tc>
        <w:tc>
          <w:tcPr>
            <w:tcW w:w="640" w:type="dxa"/>
            <w:vAlign w:val="bottom"/>
            <w:gridSpan w:val="4"/>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4220" w:type="dxa"/>
            <w:vAlign w:val="bottom"/>
            <w:gridSpan w:val="28"/>
          </w:tcPr>
          <w:p>
            <w:pPr>
              <w:spacing w:after="0"/>
              <w:rPr>
                <w:sz w:val="20"/>
                <w:szCs w:val="20"/>
                <w:color w:val="auto"/>
              </w:rPr>
            </w:pPr>
            <w:r>
              <w:rPr>
                <w:rFonts w:ascii="Arial" w:cs="Arial" w:eastAsia="Arial" w:hAnsi="Arial"/>
                <w:sz w:val="17"/>
                <w:szCs w:val="17"/>
                <w:color w:val="0000EE"/>
              </w:rPr>
              <w:t>Prohibition on Hedging and Pledging Company Stock</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7"/>
                <w:szCs w:val="17"/>
                <w:color w:val="0000EE"/>
              </w:rPr>
              <w:t>Transactions with Related Persons</w:t>
            </w:r>
          </w:p>
        </w:tc>
        <w:tc>
          <w:tcPr>
            <w:tcW w:w="1400" w:type="dxa"/>
            <w:vAlign w:val="bottom"/>
            <w:tcBorders>
              <w:top w:val="single" w:sz="8" w:color="0000EE"/>
            </w:tcBorders>
            <w:gridSpan w:val="8"/>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rPr>
                <w:sz w:val="20"/>
                <w:szCs w:val="20"/>
                <w:color w:val="auto"/>
              </w:rPr>
            </w:pPr>
            <w:r>
              <w:rPr>
                <w:rFonts w:ascii="Arial" w:cs="Arial" w:eastAsia="Arial" w:hAnsi="Arial"/>
                <w:sz w:val="17"/>
                <w:szCs w:val="17"/>
                <w:color w:val="0000EE"/>
              </w:rPr>
              <w:t>Shareholder Rights</w:t>
            </w:r>
          </w:p>
        </w:tc>
        <w:tc>
          <w:tcPr>
            <w:tcW w:w="2720" w:type="dxa"/>
            <w:vAlign w:val="bottom"/>
            <w:gridSpan w:val="20"/>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461"/>
        </w:trPr>
        <w:tc>
          <w:tcPr>
            <w:tcW w:w="4420" w:type="dxa"/>
            <w:vAlign w:val="bottom"/>
            <w:gridSpan w:val="29"/>
          </w:tcPr>
          <w:p>
            <w:pPr>
              <w:spacing w:after="0"/>
              <w:rPr>
                <w:sz w:val="20"/>
                <w:szCs w:val="20"/>
                <w:color w:val="auto"/>
              </w:rPr>
            </w:pPr>
            <w:r>
              <w:rPr>
                <w:rFonts w:ascii="Arial" w:cs="Arial" w:eastAsia="Arial" w:hAnsi="Arial"/>
                <w:sz w:val="19"/>
                <w:szCs w:val="19"/>
                <w:b w:val="1"/>
                <w:bCs w:val="1"/>
                <w:color w:val="0000EE"/>
              </w:rPr>
              <w:t>QUALIFICATIONS &amp; SKILLS OF DIRECTORS</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0" w:type="dxa"/>
            <w:vAlign w:val="bottom"/>
          </w:tcPr>
          <w:p>
            <w:pPr>
              <w:spacing w:after="0"/>
              <w:rPr>
                <w:sz w:val="13"/>
                <w:szCs w:val="13"/>
                <w:color w:val="auto"/>
              </w:rPr>
            </w:pPr>
          </w:p>
        </w:tc>
        <w:tc>
          <w:tcPr>
            <w:tcW w:w="1480" w:type="dxa"/>
            <w:vAlign w:val="bottom"/>
            <w:tcBorders>
              <w:bottom w:val="single" w:sz="8" w:color="0000EE"/>
            </w:tcBorders>
            <w:gridSpan w:val="7"/>
          </w:tcPr>
          <w:p>
            <w:pPr>
              <w:spacing w:after="0" w:line="161" w:lineRule="exact"/>
              <w:rPr>
                <w:sz w:val="20"/>
                <w:szCs w:val="20"/>
                <w:color w:val="auto"/>
              </w:rPr>
            </w:pPr>
            <w:r>
              <w:rPr>
                <w:rFonts w:ascii="Arial" w:cs="Arial" w:eastAsia="Arial" w:hAnsi="Arial"/>
                <w:sz w:val="17"/>
                <w:szCs w:val="17"/>
                <w:color w:val="0000EE"/>
              </w:rPr>
              <w:t>Board Composition</w:t>
            </w:r>
          </w:p>
        </w:tc>
        <w:tc>
          <w:tcPr>
            <w:tcW w:w="2740" w:type="dxa"/>
            <w:vAlign w:val="bottom"/>
            <w:gridSpan w:val="21"/>
          </w:tcPr>
          <w:p>
            <w:pPr>
              <w:spacing w:after="0"/>
              <w:rPr>
                <w:sz w:val="13"/>
                <w:szCs w:val="13"/>
                <w:color w:val="auto"/>
              </w:rPr>
            </w:pPr>
          </w:p>
        </w:tc>
        <w:tc>
          <w:tcPr>
            <w:tcW w:w="360" w:type="dxa"/>
            <w:vAlign w:val="bottom"/>
            <w:gridSpan w:val="2"/>
          </w:tcPr>
          <w:p>
            <w:pPr>
              <w:jc w:val="right"/>
              <w:ind w:right="60"/>
              <w:spacing w:after="0" w:line="161"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461"/>
        </w:trPr>
        <w:tc>
          <w:tcPr>
            <w:tcW w:w="4420" w:type="dxa"/>
            <w:vAlign w:val="bottom"/>
            <w:gridSpan w:val="29"/>
          </w:tcPr>
          <w:p>
            <w:pPr>
              <w:spacing w:after="0"/>
              <w:rPr>
                <w:sz w:val="20"/>
                <w:szCs w:val="20"/>
                <w:color w:val="auto"/>
              </w:rPr>
            </w:pPr>
            <w:r>
              <w:rPr>
                <w:rFonts w:ascii="Arial" w:cs="Arial" w:eastAsia="Arial" w:hAnsi="Arial"/>
                <w:sz w:val="19"/>
                <w:szCs w:val="19"/>
                <w:b w:val="1"/>
                <w:bCs w:val="1"/>
                <w:color w:val="0000EE"/>
              </w:rPr>
              <w:t>SUSTAINABILITY</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420" w:type="dxa"/>
            <w:vAlign w:val="bottom"/>
            <w:gridSpan w:val="29"/>
          </w:tcPr>
          <w:p>
            <w:pPr>
              <w:spacing w:after="0"/>
              <w:rPr>
                <w:sz w:val="20"/>
                <w:szCs w:val="20"/>
                <w:color w:val="auto"/>
              </w:rPr>
            </w:pPr>
            <w:r>
              <w:rPr>
                <w:rFonts w:ascii="Arial" w:cs="Arial" w:eastAsia="Arial" w:hAnsi="Arial"/>
                <w:sz w:val="19"/>
                <w:szCs w:val="19"/>
                <w:b w:val="1"/>
                <w:bCs w:val="1"/>
                <w:color w:val="0000EE"/>
              </w:rPr>
              <w:t>COMMITTEES OF THE BOARD</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0" w:type="dxa"/>
            <w:vAlign w:val="bottom"/>
            <w:tcBorders>
              <w:bottom w:val="single" w:sz="8" w:color="BFCCCC"/>
            </w:tcBorders>
          </w:tcPr>
          <w:p>
            <w:pPr>
              <w:spacing w:after="0"/>
              <w:rPr>
                <w:sz w:val="24"/>
                <w:szCs w:val="24"/>
                <w:color w:val="auto"/>
              </w:rPr>
            </w:pPr>
          </w:p>
        </w:tc>
        <w:tc>
          <w:tcPr>
            <w:tcW w:w="920" w:type="dxa"/>
            <w:vAlign w:val="bottom"/>
            <w:tcBorders>
              <w:bottom w:val="single" w:sz="8" w:color="BFCCCC"/>
            </w:tcBorders>
          </w:tcPr>
          <w:p>
            <w:pPr>
              <w:spacing w:after="0"/>
              <w:rPr>
                <w:sz w:val="24"/>
                <w:szCs w:val="24"/>
                <w:color w:val="auto"/>
              </w:rPr>
            </w:pPr>
          </w:p>
        </w:tc>
        <w:tc>
          <w:tcPr>
            <w:tcW w:w="180" w:type="dxa"/>
            <w:vAlign w:val="bottom"/>
            <w:tcBorders>
              <w:bottom w:val="single" w:sz="8" w:color="BFCCCC"/>
            </w:tcBorders>
          </w:tcPr>
          <w:p>
            <w:pPr>
              <w:spacing w:after="0"/>
              <w:rPr>
                <w:sz w:val="24"/>
                <w:szCs w:val="24"/>
                <w:color w:val="auto"/>
              </w:rPr>
            </w:pPr>
          </w:p>
        </w:tc>
        <w:tc>
          <w:tcPr>
            <w:tcW w:w="40" w:type="dxa"/>
            <w:vAlign w:val="bottom"/>
            <w:tcBorders>
              <w:bottom w:val="single" w:sz="8" w:color="BFCCCC"/>
            </w:tcBorders>
          </w:tcPr>
          <w:p>
            <w:pPr>
              <w:spacing w:after="0"/>
              <w:rPr>
                <w:sz w:val="24"/>
                <w:szCs w:val="24"/>
                <w:color w:val="auto"/>
              </w:rPr>
            </w:pPr>
          </w:p>
        </w:tc>
        <w:tc>
          <w:tcPr>
            <w:tcW w:w="220" w:type="dxa"/>
            <w:vAlign w:val="bottom"/>
            <w:tcBorders>
              <w:bottom w:val="single" w:sz="8" w:color="BFCCCC"/>
            </w:tcBorders>
          </w:tcPr>
          <w:p>
            <w:pPr>
              <w:spacing w:after="0"/>
              <w:rPr>
                <w:sz w:val="24"/>
                <w:szCs w:val="24"/>
                <w:color w:val="auto"/>
              </w:rPr>
            </w:pPr>
          </w:p>
        </w:tc>
        <w:tc>
          <w:tcPr>
            <w:tcW w:w="40" w:type="dxa"/>
            <w:vAlign w:val="bottom"/>
            <w:tcBorders>
              <w:bottom w:val="single" w:sz="8" w:color="BFCCCC"/>
            </w:tcBorders>
          </w:tcPr>
          <w:p>
            <w:pPr>
              <w:spacing w:after="0"/>
              <w:rPr>
                <w:sz w:val="24"/>
                <w:szCs w:val="24"/>
                <w:color w:val="auto"/>
              </w:rPr>
            </w:pPr>
          </w:p>
        </w:tc>
        <w:tc>
          <w:tcPr>
            <w:tcW w:w="40" w:type="dxa"/>
            <w:vAlign w:val="bottom"/>
            <w:tcBorders>
              <w:bottom w:val="single" w:sz="8" w:color="BFCCCC"/>
            </w:tcBorders>
          </w:tcPr>
          <w:p>
            <w:pPr>
              <w:spacing w:after="0"/>
              <w:rPr>
                <w:sz w:val="24"/>
                <w:szCs w:val="24"/>
                <w:color w:val="auto"/>
              </w:rPr>
            </w:pPr>
          </w:p>
        </w:tc>
        <w:tc>
          <w:tcPr>
            <w:tcW w:w="40" w:type="dxa"/>
            <w:vAlign w:val="bottom"/>
            <w:tcBorders>
              <w:bottom w:val="single" w:sz="8" w:color="BFCCCC"/>
            </w:tcBorders>
          </w:tcPr>
          <w:p>
            <w:pPr>
              <w:spacing w:after="0"/>
              <w:rPr>
                <w:sz w:val="24"/>
                <w:szCs w:val="24"/>
                <w:color w:val="auto"/>
              </w:rPr>
            </w:pPr>
          </w:p>
        </w:tc>
        <w:tc>
          <w:tcPr>
            <w:tcW w:w="20" w:type="dxa"/>
            <w:vAlign w:val="bottom"/>
            <w:tcBorders>
              <w:bottom w:val="single" w:sz="8" w:color="BFCCCC"/>
            </w:tcBorders>
          </w:tcPr>
          <w:p>
            <w:pPr>
              <w:spacing w:after="0"/>
              <w:rPr>
                <w:sz w:val="24"/>
                <w:szCs w:val="24"/>
                <w:color w:val="auto"/>
              </w:rPr>
            </w:pPr>
          </w:p>
        </w:tc>
        <w:tc>
          <w:tcPr>
            <w:tcW w:w="20" w:type="dxa"/>
            <w:vAlign w:val="bottom"/>
            <w:tcBorders>
              <w:bottom w:val="single" w:sz="8" w:color="BFCCCC"/>
            </w:tcBorders>
          </w:tcPr>
          <w:p>
            <w:pPr>
              <w:spacing w:after="0"/>
              <w:rPr>
                <w:sz w:val="24"/>
                <w:szCs w:val="24"/>
                <w:color w:val="auto"/>
              </w:rPr>
            </w:pPr>
          </w:p>
        </w:tc>
        <w:tc>
          <w:tcPr>
            <w:tcW w:w="100" w:type="dxa"/>
            <w:vAlign w:val="bottom"/>
            <w:tcBorders>
              <w:bottom w:val="single" w:sz="8" w:color="BFCCCC"/>
            </w:tcBorders>
          </w:tcPr>
          <w:p>
            <w:pPr>
              <w:spacing w:after="0"/>
              <w:rPr>
                <w:sz w:val="24"/>
                <w:szCs w:val="24"/>
                <w:color w:val="auto"/>
              </w:rPr>
            </w:pPr>
          </w:p>
        </w:tc>
        <w:tc>
          <w:tcPr>
            <w:tcW w:w="20" w:type="dxa"/>
            <w:vAlign w:val="bottom"/>
            <w:tcBorders>
              <w:bottom w:val="single" w:sz="8" w:color="BFCCCC"/>
            </w:tcBorders>
          </w:tcPr>
          <w:p>
            <w:pPr>
              <w:spacing w:after="0"/>
              <w:rPr>
                <w:sz w:val="24"/>
                <w:szCs w:val="24"/>
                <w:color w:val="auto"/>
              </w:rPr>
            </w:pPr>
          </w:p>
        </w:tc>
        <w:tc>
          <w:tcPr>
            <w:tcW w:w="20" w:type="dxa"/>
            <w:vAlign w:val="bottom"/>
            <w:tcBorders>
              <w:bottom w:val="single" w:sz="8" w:color="BFCCCC"/>
            </w:tcBorders>
          </w:tcPr>
          <w:p>
            <w:pPr>
              <w:spacing w:after="0"/>
              <w:rPr>
                <w:sz w:val="24"/>
                <w:szCs w:val="24"/>
                <w:color w:val="auto"/>
              </w:rPr>
            </w:pPr>
          </w:p>
        </w:tc>
        <w:tc>
          <w:tcPr>
            <w:tcW w:w="40" w:type="dxa"/>
            <w:vAlign w:val="bottom"/>
            <w:tcBorders>
              <w:bottom w:val="single" w:sz="8" w:color="BFCCCC"/>
            </w:tcBorders>
          </w:tcPr>
          <w:p>
            <w:pPr>
              <w:spacing w:after="0"/>
              <w:rPr>
                <w:sz w:val="24"/>
                <w:szCs w:val="24"/>
                <w:color w:val="auto"/>
              </w:rPr>
            </w:pPr>
          </w:p>
        </w:tc>
        <w:tc>
          <w:tcPr>
            <w:tcW w:w="60" w:type="dxa"/>
            <w:vAlign w:val="bottom"/>
            <w:tcBorders>
              <w:bottom w:val="single" w:sz="8" w:color="BFCCCC"/>
            </w:tcBorders>
          </w:tcPr>
          <w:p>
            <w:pPr>
              <w:spacing w:after="0"/>
              <w:rPr>
                <w:sz w:val="24"/>
                <w:szCs w:val="24"/>
                <w:color w:val="auto"/>
              </w:rPr>
            </w:pPr>
          </w:p>
        </w:tc>
        <w:tc>
          <w:tcPr>
            <w:tcW w:w="40" w:type="dxa"/>
            <w:vAlign w:val="bottom"/>
            <w:tcBorders>
              <w:bottom w:val="single" w:sz="8" w:color="BFCCCC"/>
            </w:tcBorders>
          </w:tcPr>
          <w:p>
            <w:pPr>
              <w:spacing w:after="0"/>
              <w:rPr>
                <w:sz w:val="24"/>
                <w:szCs w:val="24"/>
                <w:color w:val="auto"/>
              </w:rPr>
            </w:pPr>
          </w:p>
        </w:tc>
        <w:tc>
          <w:tcPr>
            <w:tcW w:w="60" w:type="dxa"/>
            <w:vAlign w:val="bottom"/>
            <w:tcBorders>
              <w:bottom w:val="single" w:sz="8" w:color="BFCCCC"/>
            </w:tcBorders>
          </w:tcPr>
          <w:p>
            <w:pPr>
              <w:spacing w:after="0"/>
              <w:rPr>
                <w:sz w:val="24"/>
                <w:szCs w:val="24"/>
                <w:color w:val="auto"/>
              </w:rPr>
            </w:pPr>
          </w:p>
        </w:tc>
        <w:tc>
          <w:tcPr>
            <w:tcW w:w="560" w:type="dxa"/>
            <w:vAlign w:val="bottom"/>
            <w:tcBorders>
              <w:bottom w:val="single" w:sz="8" w:color="BFCCCC"/>
            </w:tcBorders>
          </w:tcPr>
          <w:p>
            <w:pPr>
              <w:spacing w:after="0"/>
              <w:rPr>
                <w:sz w:val="24"/>
                <w:szCs w:val="24"/>
                <w:color w:val="auto"/>
              </w:rPr>
            </w:pPr>
          </w:p>
        </w:tc>
        <w:tc>
          <w:tcPr>
            <w:tcW w:w="160" w:type="dxa"/>
            <w:vAlign w:val="bottom"/>
            <w:tcBorders>
              <w:bottom w:val="single" w:sz="8" w:color="BFCCCC"/>
            </w:tcBorders>
          </w:tcPr>
          <w:p>
            <w:pPr>
              <w:spacing w:after="0"/>
              <w:rPr>
                <w:sz w:val="24"/>
                <w:szCs w:val="24"/>
                <w:color w:val="auto"/>
              </w:rPr>
            </w:pPr>
          </w:p>
        </w:tc>
        <w:tc>
          <w:tcPr>
            <w:tcW w:w="100" w:type="dxa"/>
            <w:vAlign w:val="bottom"/>
            <w:tcBorders>
              <w:bottom w:val="single" w:sz="8" w:color="BFCCCC"/>
            </w:tcBorders>
          </w:tcPr>
          <w:p>
            <w:pPr>
              <w:spacing w:after="0"/>
              <w:rPr>
                <w:sz w:val="24"/>
                <w:szCs w:val="24"/>
                <w:color w:val="auto"/>
              </w:rPr>
            </w:pPr>
          </w:p>
        </w:tc>
        <w:tc>
          <w:tcPr>
            <w:tcW w:w="180" w:type="dxa"/>
            <w:vAlign w:val="bottom"/>
            <w:tcBorders>
              <w:bottom w:val="single" w:sz="8" w:color="BFCCCC"/>
            </w:tcBorders>
          </w:tcPr>
          <w:p>
            <w:pPr>
              <w:spacing w:after="0"/>
              <w:rPr>
                <w:sz w:val="24"/>
                <w:szCs w:val="24"/>
                <w:color w:val="auto"/>
              </w:rPr>
            </w:pPr>
          </w:p>
        </w:tc>
        <w:tc>
          <w:tcPr>
            <w:tcW w:w="360" w:type="dxa"/>
            <w:vAlign w:val="bottom"/>
            <w:tcBorders>
              <w:bottom w:val="single" w:sz="8" w:color="BFCCCC"/>
            </w:tcBorders>
          </w:tcPr>
          <w:p>
            <w:pPr>
              <w:spacing w:after="0"/>
              <w:rPr>
                <w:sz w:val="24"/>
                <w:szCs w:val="24"/>
                <w:color w:val="auto"/>
              </w:rPr>
            </w:pPr>
          </w:p>
        </w:tc>
        <w:tc>
          <w:tcPr>
            <w:tcW w:w="300" w:type="dxa"/>
            <w:vAlign w:val="bottom"/>
            <w:tcBorders>
              <w:bottom w:val="single" w:sz="8" w:color="BFCCCC"/>
            </w:tcBorders>
          </w:tcPr>
          <w:p>
            <w:pPr>
              <w:spacing w:after="0"/>
              <w:rPr>
                <w:sz w:val="24"/>
                <w:szCs w:val="24"/>
                <w:color w:val="auto"/>
              </w:rPr>
            </w:pPr>
          </w:p>
        </w:tc>
        <w:tc>
          <w:tcPr>
            <w:tcW w:w="40" w:type="dxa"/>
            <w:vAlign w:val="bottom"/>
            <w:tcBorders>
              <w:bottom w:val="single" w:sz="8" w:color="BFCCCC"/>
            </w:tcBorders>
          </w:tcPr>
          <w:p>
            <w:pPr>
              <w:spacing w:after="0"/>
              <w:rPr>
                <w:sz w:val="24"/>
                <w:szCs w:val="24"/>
                <w:color w:val="auto"/>
              </w:rPr>
            </w:pPr>
          </w:p>
        </w:tc>
        <w:tc>
          <w:tcPr>
            <w:tcW w:w="20" w:type="dxa"/>
            <w:vAlign w:val="bottom"/>
            <w:tcBorders>
              <w:bottom w:val="single" w:sz="8" w:color="BFCCCC"/>
            </w:tcBorders>
          </w:tcPr>
          <w:p>
            <w:pPr>
              <w:spacing w:after="0"/>
              <w:rPr>
                <w:sz w:val="24"/>
                <w:szCs w:val="24"/>
                <w:color w:val="auto"/>
              </w:rPr>
            </w:pPr>
          </w:p>
        </w:tc>
        <w:tc>
          <w:tcPr>
            <w:tcW w:w="240" w:type="dxa"/>
            <w:vAlign w:val="bottom"/>
            <w:tcBorders>
              <w:bottom w:val="single" w:sz="8" w:color="BFCCCC"/>
            </w:tcBorders>
          </w:tcPr>
          <w:p>
            <w:pPr>
              <w:spacing w:after="0"/>
              <w:rPr>
                <w:sz w:val="24"/>
                <w:szCs w:val="24"/>
                <w:color w:val="auto"/>
              </w:rPr>
            </w:pPr>
          </w:p>
        </w:tc>
        <w:tc>
          <w:tcPr>
            <w:tcW w:w="240" w:type="dxa"/>
            <w:vAlign w:val="bottom"/>
            <w:tcBorders>
              <w:bottom w:val="single" w:sz="8" w:color="BFCCCC"/>
            </w:tcBorders>
          </w:tcPr>
          <w:p>
            <w:pPr>
              <w:spacing w:after="0"/>
              <w:rPr>
                <w:sz w:val="24"/>
                <w:szCs w:val="24"/>
                <w:color w:val="auto"/>
              </w:rPr>
            </w:pPr>
          </w:p>
        </w:tc>
        <w:tc>
          <w:tcPr>
            <w:tcW w:w="20" w:type="dxa"/>
            <w:vAlign w:val="bottom"/>
            <w:tcBorders>
              <w:bottom w:val="single" w:sz="8" w:color="BFCCCC"/>
            </w:tcBorders>
          </w:tcPr>
          <w:p>
            <w:pPr>
              <w:spacing w:after="0"/>
              <w:rPr>
                <w:sz w:val="24"/>
                <w:szCs w:val="24"/>
                <w:color w:val="auto"/>
              </w:rPr>
            </w:pPr>
          </w:p>
        </w:tc>
        <w:tc>
          <w:tcPr>
            <w:tcW w:w="140" w:type="dxa"/>
            <w:vAlign w:val="bottom"/>
            <w:tcBorders>
              <w:bottom w:val="single" w:sz="8" w:color="BFCCCC"/>
            </w:tcBorders>
          </w:tcPr>
          <w:p>
            <w:pPr>
              <w:spacing w:after="0"/>
              <w:rPr>
                <w:sz w:val="24"/>
                <w:szCs w:val="24"/>
                <w:color w:val="auto"/>
              </w:rPr>
            </w:pPr>
          </w:p>
        </w:tc>
        <w:tc>
          <w:tcPr>
            <w:tcW w:w="180" w:type="dxa"/>
            <w:vAlign w:val="bottom"/>
            <w:tcBorders>
              <w:bottom w:val="single" w:sz="8" w:color="BFCCCC"/>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4300" w:type="dxa"/>
            <w:vAlign w:val="bottom"/>
            <w:gridSpan w:val="29"/>
          </w:tcPr>
          <w:p>
            <w:pPr>
              <w:spacing w:after="0"/>
              <w:rPr>
                <w:sz w:val="20"/>
                <w:szCs w:val="20"/>
                <w:color w:val="auto"/>
              </w:rPr>
            </w:pPr>
            <w:r>
              <w:rPr>
                <w:rFonts w:ascii="Arial" w:cs="Arial" w:eastAsia="Arial" w:hAnsi="Arial"/>
                <w:sz w:val="19"/>
                <w:szCs w:val="19"/>
                <w:b w:val="1"/>
                <w:bCs w:val="1"/>
                <w:color w:val="0000EE"/>
              </w:rPr>
              <w:t>AUDIT MATTERS</w:t>
            </w:r>
          </w:p>
        </w:tc>
        <w:tc>
          <w:tcPr>
            <w:tcW w:w="580" w:type="dxa"/>
            <w:vAlign w:val="bottom"/>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20" w:type="dxa"/>
            <w:vAlign w:val="bottom"/>
          </w:tcPr>
          <w:p>
            <w:pPr>
              <w:spacing w:after="0"/>
              <w:rPr>
                <w:sz w:val="13"/>
                <w:szCs w:val="13"/>
                <w:color w:val="auto"/>
              </w:rPr>
            </w:pPr>
          </w:p>
        </w:tc>
        <w:tc>
          <w:tcPr>
            <w:tcW w:w="4080" w:type="dxa"/>
            <w:vAlign w:val="bottom"/>
            <w:gridSpan w:val="28"/>
          </w:tcPr>
          <w:p>
            <w:pPr>
              <w:spacing w:after="0" w:line="161" w:lineRule="exact"/>
              <w:rPr>
                <w:sz w:val="20"/>
                <w:szCs w:val="20"/>
                <w:color w:val="auto"/>
              </w:rPr>
            </w:pPr>
            <w:r>
              <w:rPr>
                <w:rFonts w:ascii="Arial" w:cs="Arial" w:eastAsia="Arial" w:hAnsi="Arial"/>
                <w:sz w:val="17"/>
                <w:szCs w:val="17"/>
                <w:color w:val="0000EE"/>
              </w:rPr>
              <w:t>Audit Committee Report</w:t>
            </w:r>
          </w:p>
        </w:tc>
        <w:tc>
          <w:tcPr>
            <w:tcW w:w="580" w:type="dxa"/>
            <w:vAlign w:val="bottom"/>
          </w:tcPr>
          <w:p>
            <w:pPr>
              <w:jc w:val="right"/>
              <w:spacing w:after="0" w:line="161" w:lineRule="exact"/>
              <w:rPr>
                <w:sz w:val="20"/>
                <w:szCs w:val="20"/>
                <w:color w:val="auto"/>
              </w:rPr>
            </w:pPr>
            <w:r>
              <w:rPr>
                <w:rFonts w:ascii="Arial" w:cs="Arial" w:eastAsia="Arial" w:hAnsi="Arial"/>
                <w:sz w:val="17"/>
                <w:szCs w:val="17"/>
                <w:color w:val="auto"/>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20" w:type="dxa"/>
            <w:vAlign w:val="bottom"/>
          </w:tcPr>
          <w:p>
            <w:pPr>
              <w:spacing w:after="0"/>
              <w:rPr>
                <w:sz w:val="17"/>
                <w:szCs w:val="17"/>
                <w:color w:val="auto"/>
              </w:rPr>
            </w:pPr>
          </w:p>
        </w:tc>
        <w:tc>
          <w:tcPr>
            <w:tcW w:w="4080" w:type="dxa"/>
            <w:vAlign w:val="bottom"/>
            <w:gridSpan w:val="28"/>
          </w:tcPr>
          <w:p>
            <w:pPr>
              <w:spacing w:after="0"/>
              <w:rPr>
                <w:sz w:val="20"/>
                <w:szCs w:val="20"/>
                <w:color w:val="auto"/>
              </w:rPr>
            </w:pPr>
            <w:r>
              <w:rPr>
                <w:rFonts w:ascii="Arial" w:cs="Arial" w:eastAsia="Arial" w:hAnsi="Arial"/>
                <w:sz w:val="17"/>
                <w:szCs w:val="17"/>
                <w:color w:val="0000EE"/>
              </w:rPr>
              <w:t>Principal Accountant Fees &amp; Services</w:t>
            </w:r>
          </w:p>
        </w:tc>
        <w:tc>
          <w:tcPr>
            <w:tcW w:w="58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2880" w:type="dxa"/>
            <w:vAlign w:val="bottom"/>
            <w:tcBorders>
              <w:top w:val="single" w:sz="8" w:color="0000EE"/>
            </w:tcBorders>
            <w:gridSpan w:val="16"/>
          </w:tcPr>
          <w:p>
            <w:pPr>
              <w:spacing w:after="0"/>
              <w:rPr>
                <w:sz w:val="20"/>
                <w:szCs w:val="20"/>
                <w:color w:val="auto"/>
              </w:rPr>
            </w:pPr>
            <w:r>
              <w:rPr>
                <w:rFonts w:ascii="Arial" w:cs="Arial" w:eastAsia="Arial" w:hAnsi="Arial"/>
                <w:sz w:val="17"/>
                <w:szCs w:val="17"/>
                <w:color w:val="0000EE"/>
              </w:rPr>
              <w:t>Audit Committee Pre-Approval Policy</w:t>
            </w:r>
          </w:p>
        </w:tc>
        <w:tc>
          <w:tcPr>
            <w:tcW w:w="1200" w:type="dxa"/>
            <w:vAlign w:val="bottom"/>
            <w:gridSpan w:val="12"/>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300" w:type="dxa"/>
            <w:vAlign w:val="bottom"/>
            <w:gridSpan w:val="29"/>
          </w:tcPr>
          <w:p>
            <w:pPr>
              <w:spacing w:after="0"/>
              <w:rPr>
                <w:sz w:val="20"/>
                <w:szCs w:val="20"/>
                <w:color w:val="auto"/>
              </w:rPr>
            </w:pPr>
            <w:r>
              <w:rPr>
                <w:rFonts w:ascii="Arial" w:cs="Arial" w:eastAsia="Arial" w:hAnsi="Arial"/>
                <w:sz w:val="19"/>
                <w:szCs w:val="19"/>
                <w:b w:val="1"/>
                <w:bCs w:val="1"/>
                <w:color w:val="0000EE"/>
              </w:rPr>
              <w:t>COMPENSATION</w:t>
            </w:r>
          </w:p>
        </w:tc>
        <w:tc>
          <w:tcPr>
            <w:tcW w:w="580" w:type="dxa"/>
            <w:vAlign w:val="bottom"/>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20" w:type="dxa"/>
            <w:vAlign w:val="bottom"/>
          </w:tcPr>
          <w:p>
            <w:pPr>
              <w:spacing w:after="0"/>
              <w:rPr>
                <w:sz w:val="13"/>
                <w:szCs w:val="13"/>
                <w:color w:val="auto"/>
              </w:rPr>
            </w:pPr>
          </w:p>
        </w:tc>
        <w:tc>
          <w:tcPr>
            <w:tcW w:w="2900" w:type="dxa"/>
            <w:vAlign w:val="bottom"/>
            <w:tcBorders>
              <w:bottom w:val="single" w:sz="8" w:color="0000EE"/>
            </w:tcBorders>
            <w:gridSpan w:val="17"/>
          </w:tcPr>
          <w:p>
            <w:pPr>
              <w:spacing w:after="0" w:line="161" w:lineRule="exact"/>
              <w:rPr>
                <w:sz w:val="20"/>
                <w:szCs w:val="20"/>
                <w:color w:val="auto"/>
              </w:rPr>
            </w:pPr>
            <w:r>
              <w:rPr>
                <w:rFonts w:ascii="Arial" w:cs="Arial" w:eastAsia="Arial" w:hAnsi="Arial"/>
                <w:sz w:val="17"/>
                <w:szCs w:val="17"/>
                <w:color w:val="0000EE"/>
              </w:rPr>
              <w:t>Compensation Committee Operations</w:t>
            </w:r>
          </w:p>
        </w:tc>
        <w:tc>
          <w:tcPr>
            <w:tcW w:w="1180" w:type="dxa"/>
            <w:vAlign w:val="bottom"/>
            <w:gridSpan w:val="11"/>
          </w:tcPr>
          <w:p>
            <w:pPr>
              <w:spacing w:after="0"/>
              <w:rPr>
                <w:sz w:val="13"/>
                <w:szCs w:val="13"/>
                <w:color w:val="auto"/>
              </w:rPr>
            </w:pPr>
          </w:p>
        </w:tc>
        <w:tc>
          <w:tcPr>
            <w:tcW w:w="580" w:type="dxa"/>
            <w:vAlign w:val="bottom"/>
          </w:tcPr>
          <w:p>
            <w:pPr>
              <w:jc w:val="right"/>
              <w:spacing w:after="0" w:line="161" w:lineRule="exact"/>
              <w:rPr>
                <w:sz w:val="20"/>
                <w:szCs w:val="20"/>
                <w:color w:val="auto"/>
              </w:rPr>
            </w:pPr>
            <w:r>
              <w:rPr>
                <w:rFonts w:ascii="Arial" w:cs="Arial" w:eastAsia="Arial" w:hAnsi="Arial"/>
                <w:sz w:val="17"/>
                <w:szCs w:val="17"/>
                <w:color w:val="auto"/>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4080" w:type="dxa"/>
            <w:vAlign w:val="bottom"/>
            <w:gridSpan w:val="28"/>
          </w:tcPr>
          <w:p>
            <w:pPr>
              <w:spacing w:after="0"/>
              <w:rPr>
                <w:sz w:val="20"/>
                <w:szCs w:val="20"/>
                <w:color w:val="auto"/>
              </w:rPr>
            </w:pPr>
            <w:r>
              <w:rPr>
                <w:rFonts w:ascii="Arial" w:cs="Arial" w:eastAsia="Arial" w:hAnsi="Arial"/>
                <w:sz w:val="17"/>
                <w:szCs w:val="17"/>
                <w:color w:val="0000EE"/>
              </w:rPr>
              <w:t>Compensation Committee Interlocks &amp; Insider</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960" w:type="dxa"/>
            <w:vAlign w:val="bottom"/>
            <w:tcBorders>
              <w:top w:val="single" w:sz="8" w:color="0000EE"/>
              <w:bottom w:val="single" w:sz="8" w:color="0000EE"/>
            </w:tcBorders>
            <w:gridSpan w:val="5"/>
          </w:tcPr>
          <w:p>
            <w:pPr>
              <w:spacing w:after="0" w:line="175" w:lineRule="exact"/>
              <w:rPr>
                <w:sz w:val="20"/>
                <w:szCs w:val="20"/>
                <w:color w:val="auto"/>
              </w:rPr>
            </w:pPr>
            <w:r>
              <w:rPr>
                <w:rFonts w:ascii="Arial" w:cs="Arial" w:eastAsia="Arial" w:hAnsi="Arial"/>
                <w:sz w:val="17"/>
                <w:szCs w:val="17"/>
                <w:color w:val="0000EE"/>
              </w:rPr>
              <w:t>Participation</w:t>
            </w:r>
          </w:p>
        </w:tc>
        <w:tc>
          <w:tcPr>
            <w:tcW w:w="2560" w:type="dxa"/>
            <w:vAlign w:val="bottom"/>
            <w:tcBorders>
              <w:top w:val="single" w:sz="8" w:color="0000EE"/>
            </w:tcBorders>
            <w:gridSpan w:val="17"/>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4080" w:type="dxa"/>
            <w:vAlign w:val="bottom"/>
            <w:gridSpan w:val="28"/>
          </w:tcPr>
          <w:p>
            <w:pPr>
              <w:spacing w:after="0"/>
              <w:rPr>
                <w:sz w:val="20"/>
                <w:szCs w:val="20"/>
                <w:color w:val="auto"/>
              </w:rPr>
            </w:pPr>
            <w:r>
              <w:rPr>
                <w:rFonts w:ascii="Arial" w:cs="Arial" w:eastAsia="Arial" w:hAnsi="Arial"/>
                <w:sz w:val="17"/>
                <w:szCs w:val="17"/>
                <w:color w:val="0000EE"/>
              </w:rPr>
              <w:t>Risk and Broad-Based Compensation Programs</w:t>
            </w:r>
          </w:p>
        </w:tc>
        <w:tc>
          <w:tcPr>
            <w:tcW w:w="580" w:type="dxa"/>
            <w:vAlign w:val="bottom"/>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3680" w:type="dxa"/>
            <w:vAlign w:val="bottom"/>
            <w:tcBorders>
              <w:top w:val="single" w:sz="8" w:color="0000EE"/>
            </w:tcBorders>
            <w:gridSpan w:val="23"/>
          </w:tcPr>
          <w:p>
            <w:pPr>
              <w:spacing w:after="0"/>
              <w:rPr>
                <w:sz w:val="20"/>
                <w:szCs w:val="20"/>
                <w:color w:val="auto"/>
              </w:rPr>
            </w:pPr>
            <w:r>
              <w:rPr>
                <w:rFonts w:ascii="Arial" w:cs="Arial" w:eastAsia="Arial" w:hAnsi="Arial"/>
                <w:sz w:val="17"/>
                <w:szCs w:val="17"/>
                <w:color w:val="0000EE"/>
              </w:rPr>
              <w:t>Compensation Discussion &amp; Analysis 2025</w:t>
            </w:r>
          </w:p>
        </w:tc>
        <w:tc>
          <w:tcPr>
            <w:tcW w:w="400" w:type="dxa"/>
            <w:vAlign w:val="bottom"/>
            <w:gridSpan w:val="5"/>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3280" w:type="dxa"/>
            <w:vAlign w:val="bottom"/>
            <w:tcBorders>
              <w:top w:val="single" w:sz="8" w:color="0000EE"/>
            </w:tcBorders>
            <w:gridSpan w:val="19"/>
          </w:tcPr>
          <w:p>
            <w:pPr>
              <w:spacing w:after="0" w:line="175" w:lineRule="exact"/>
              <w:rPr>
                <w:sz w:val="20"/>
                <w:szCs w:val="20"/>
                <w:color w:val="auto"/>
              </w:rPr>
            </w:pPr>
            <w:r>
              <w:rPr>
                <w:rFonts w:ascii="Arial" w:cs="Arial" w:eastAsia="Arial" w:hAnsi="Arial"/>
                <w:sz w:val="17"/>
                <w:szCs w:val="17"/>
                <w:color w:val="0000EE"/>
              </w:rPr>
              <w:t>Performance Metrics, Goals &amp; Results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2920" w:type="dxa"/>
            <w:vAlign w:val="bottom"/>
            <w:tcBorders>
              <w:top w:val="single" w:sz="8" w:color="0000EE"/>
            </w:tcBorders>
            <w:gridSpan w:val="18"/>
          </w:tcPr>
          <w:p>
            <w:pPr>
              <w:spacing w:after="0"/>
              <w:rPr>
                <w:sz w:val="20"/>
                <w:szCs w:val="20"/>
                <w:color w:val="auto"/>
              </w:rPr>
            </w:pPr>
            <w:r>
              <w:rPr>
                <w:rFonts w:ascii="Arial" w:cs="Arial" w:eastAsia="Arial" w:hAnsi="Arial"/>
                <w:sz w:val="17"/>
                <w:szCs w:val="17"/>
                <w:color w:val="0000EE"/>
              </w:rPr>
              <w:t>Compensation Committee Report</w:t>
            </w:r>
          </w:p>
        </w:tc>
        <w:tc>
          <w:tcPr>
            <w:tcW w:w="1160" w:type="dxa"/>
            <w:vAlign w:val="bottom"/>
            <w:gridSpan w:val="10"/>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20" w:type="dxa"/>
            <w:vAlign w:val="bottom"/>
          </w:tcPr>
          <w:p>
            <w:pPr>
              <w:spacing w:after="0"/>
              <w:rPr>
                <w:sz w:val="17"/>
                <w:szCs w:val="17"/>
                <w:color w:val="auto"/>
              </w:rPr>
            </w:pPr>
          </w:p>
        </w:tc>
        <w:tc>
          <w:tcPr>
            <w:tcW w:w="4080" w:type="dxa"/>
            <w:vAlign w:val="bottom"/>
            <w:gridSpan w:val="28"/>
          </w:tcPr>
          <w:p>
            <w:pPr>
              <w:spacing w:after="0"/>
              <w:rPr>
                <w:sz w:val="20"/>
                <w:szCs w:val="20"/>
                <w:color w:val="auto"/>
              </w:rPr>
            </w:pPr>
            <w:r>
              <w:rPr>
                <w:rFonts w:ascii="Arial" w:cs="Arial" w:eastAsia="Arial" w:hAnsi="Arial"/>
                <w:sz w:val="17"/>
                <w:szCs w:val="17"/>
                <w:color w:val="0000EE"/>
              </w:rPr>
              <w:t>Compensation of Named Executive Officers</w:t>
            </w:r>
          </w:p>
        </w:tc>
        <w:tc>
          <w:tcPr>
            <w:tcW w:w="580" w:type="dxa"/>
            <w:vAlign w:val="bottom"/>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20" w:type="dxa"/>
            <w:vAlign w:val="bottom"/>
          </w:tcPr>
          <w:p>
            <w:pPr>
              <w:spacing w:after="0"/>
              <w:rPr>
                <w:sz w:val="17"/>
                <w:szCs w:val="17"/>
                <w:color w:val="auto"/>
              </w:rPr>
            </w:pPr>
          </w:p>
        </w:tc>
        <w:tc>
          <w:tcPr>
            <w:tcW w:w="4080" w:type="dxa"/>
            <w:vAlign w:val="bottom"/>
            <w:gridSpan w:val="28"/>
          </w:tcPr>
          <w:p>
            <w:pPr>
              <w:spacing w:after="0"/>
              <w:rPr>
                <w:sz w:val="20"/>
                <w:szCs w:val="20"/>
                <w:color w:val="auto"/>
              </w:rPr>
            </w:pPr>
            <w:r>
              <w:rPr>
                <w:rFonts w:ascii="Arial" w:cs="Arial" w:eastAsia="Arial" w:hAnsi="Arial"/>
                <w:sz w:val="17"/>
                <w:szCs w:val="17"/>
                <w:color w:val="0000EE"/>
              </w:rPr>
              <w:t>Potential Payments Upon Termination or Change of</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560" w:type="dxa"/>
            <w:vAlign w:val="bottom"/>
            <w:tcBorders>
              <w:top w:val="single" w:sz="8" w:color="0000EE"/>
              <w:bottom w:val="single" w:sz="8" w:color="0000EE"/>
            </w:tcBorders>
            <w:gridSpan w:val="3"/>
          </w:tcPr>
          <w:p>
            <w:pPr>
              <w:spacing w:after="0" w:line="175" w:lineRule="exact"/>
              <w:rPr>
                <w:sz w:val="20"/>
                <w:szCs w:val="20"/>
                <w:color w:val="auto"/>
              </w:rPr>
            </w:pPr>
            <w:r>
              <w:rPr>
                <w:rFonts w:ascii="Arial" w:cs="Arial" w:eastAsia="Arial" w:hAnsi="Arial"/>
                <w:sz w:val="17"/>
                <w:szCs w:val="17"/>
                <w:color w:val="0000EE"/>
                <w:w w:val="98"/>
              </w:rPr>
              <w:t>Control</w:t>
            </w:r>
          </w:p>
        </w:tc>
        <w:tc>
          <w:tcPr>
            <w:tcW w:w="3380" w:type="dxa"/>
            <w:vAlign w:val="bottom"/>
            <w:tcBorders>
              <w:top w:val="single" w:sz="8" w:color="0000EE"/>
            </w:tcBorders>
            <w:gridSpan w:val="23"/>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4080" w:type="dxa"/>
            <w:vAlign w:val="bottom"/>
            <w:gridSpan w:val="28"/>
          </w:tcPr>
          <w:p>
            <w:pPr>
              <w:spacing w:after="0"/>
              <w:rPr>
                <w:sz w:val="20"/>
                <w:szCs w:val="20"/>
                <w:color w:val="auto"/>
              </w:rPr>
            </w:pPr>
            <w:r>
              <w:rPr>
                <w:rFonts w:ascii="Arial" w:cs="Arial" w:eastAsia="Arial" w:hAnsi="Arial"/>
                <w:sz w:val="17"/>
                <w:szCs w:val="17"/>
                <w:color w:val="0000EE"/>
              </w:rPr>
              <w:t>Compensation of Directors</w:t>
            </w:r>
          </w:p>
        </w:tc>
        <w:tc>
          <w:tcPr>
            <w:tcW w:w="580" w:type="dxa"/>
            <w:vAlign w:val="bottom"/>
          </w:tcPr>
          <w:p>
            <w:pPr>
              <w:jc w:val="right"/>
              <w:spacing w:after="0"/>
              <w:rPr>
                <w:sz w:val="20"/>
                <w:szCs w:val="20"/>
                <w:color w:val="auto"/>
              </w:rPr>
            </w:pPr>
            <w:r>
              <w:rPr>
                <w:rFonts w:ascii="Arial" w:cs="Arial" w:eastAsia="Arial" w:hAnsi="Arial"/>
                <w:sz w:val="17"/>
                <w:szCs w:val="17"/>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300" w:type="dxa"/>
            <w:vAlign w:val="bottom"/>
            <w:gridSpan w:val="29"/>
          </w:tcPr>
          <w:p>
            <w:pPr>
              <w:spacing w:after="0"/>
              <w:rPr>
                <w:sz w:val="20"/>
                <w:szCs w:val="20"/>
                <w:color w:val="auto"/>
              </w:rPr>
            </w:pPr>
            <w:r>
              <w:rPr>
                <w:rFonts w:ascii="Arial" w:cs="Arial" w:eastAsia="Arial" w:hAnsi="Arial"/>
                <w:sz w:val="19"/>
                <w:szCs w:val="19"/>
                <w:b w:val="1"/>
                <w:bCs w:val="1"/>
                <w:color w:val="0000EE"/>
              </w:rPr>
              <w:t>PROPOSAL 1:</w:t>
            </w:r>
          </w:p>
        </w:tc>
        <w:tc>
          <w:tcPr>
            <w:tcW w:w="580" w:type="dxa"/>
            <w:vAlign w:val="bottom"/>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20" w:type="dxa"/>
            <w:vAlign w:val="bottom"/>
          </w:tcPr>
          <w:p>
            <w:pPr>
              <w:spacing w:after="0"/>
              <w:rPr>
                <w:sz w:val="13"/>
                <w:szCs w:val="13"/>
                <w:color w:val="auto"/>
              </w:rPr>
            </w:pPr>
          </w:p>
        </w:tc>
        <w:tc>
          <w:tcPr>
            <w:tcW w:w="4080" w:type="dxa"/>
            <w:vAlign w:val="bottom"/>
            <w:gridSpan w:val="28"/>
          </w:tcPr>
          <w:p>
            <w:pPr>
              <w:spacing w:after="0" w:line="161" w:lineRule="exact"/>
              <w:rPr>
                <w:sz w:val="20"/>
                <w:szCs w:val="20"/>
                <w:color w:val="auto"/>
              </w:rPr>
            </w:pPr>
            <w:r>
              <w:rPr>
                <w:rFonts w:ascii="Arial" w:cs="Arial" w:eastAsia="Arial" w:hAnsi="Arial"/>
                <w:sz w:val="17"/>
                <w:szCs w:val="17"/>
                <w:color w:val="0000EE"/>
              </w:rPr>
              <w:t>Election of Three Directors in Class II for a Term of</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940" w:type="dxa"/>
            <w:vAlign w:val="bottom"/>
            <w:tcBorders>
              <w:top w:val="single" w:sz="8" w:color="0000EE"/>
              <w:bottom w:val="single" w:sz="8" w:color="0000EE"/>
            </w:tcBorders>
            <w:gridSpan w:val="4"/>
          </w:tcPr>
          <w:p>
            <w:pPr>
              <w:spacing w:after="0" w:line="175" w:lineRule="exact"/>
              <w:rPr>
                <w:sz w:val="20"/>
                <w:szCs w:val="20"/>
                <w:color w:val="auto"/>
              </w:rPr>
            </w:pPr>
            <w:r>
              <w:rPr>
                <w:rFonts w:ascii="Arial" w:cs="Arial" w:eastAsia="Arial" w:hAnsi="Arial"/>
                <w:sz w:val="17"/>
                <w:szCs w:val="17"/>
                <w:color w:val="0000EE"/>
                <w:w w:val="98"/>
              </w:rPr>
              <w:t>Three Years</w:t>
            </w:r>
          </w:p>
        </w:tc>
        <w:tc>
          <w:tcPr>
            <w:tcW w:w="2940" w:type="dxa"/>
            <w:vAlign w:val="bottom"/>
            <w:tcBorders>
              <w:top w:val="single" w:sz="8" w:color="0000EE"/>
            </w:tcBorders>
            <w:gridSpan w:val="20"/>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4300" w:type="dxa"/>
            <w:vAlign w:val="bottom"/>
            <w:gridSpan w:val="29"/>
          </w:tcPr>
          <w:p>
            <w:pPr>
              <w:spacing w:after="0"/>
              <w:rPr>
                <w:sz w:val="20"/>
                <w:szCs w:val="20"/>
                <w:color w:val="auto"/>
              </w:rPr>
            </w:pPr>
            <w:r>
              <w:rPr>
                <w:rFonts w:ascii="Arial" w:cs="Arial" w:eastAsia="Arial" w:hAnsi="Arial"/>
                <w:sz w:val="19"/>
                <w:szCs w:val="19"/>
                <w:b w:val="1"/>
                <w:bCs w:val="1"/>
                <w:color w:val="0000EE"/>
              </w:rPr>
              <w:t>PROPOSAL 2:</w:t>
            </w:r>
          </w:p>
        </w:tc>
        <w:tc>
          <w:tcPr>
            <w:tcW w:w="580" w:type="dxa"/>
            <w:vAlign w:val="bottom"/>
          </w:tcPr>
          <w:p>
            <w:pPr>
              <w:jc w:val="right"/>
              <w:spacing w:after="0"/>
              <w:rPr>
                <w:sz w:val="20"/>
                <w:szCs w:val="20"/>
                <w:color w:val="auto"/>
              </w:rPr>
            </w:pPr>
            <w:r>
              <w:rPr>
                <w:rFonts w:ascii="Arial" w:cs="Arial" w:eastAsia="Arial" w:hAnsi="Arial"/>
                <w:sz w:val="17"/>
                <w:szCs w:val="17"/>
                <w:color w:val="auto"/>
              </w:rPr>
              <w:t>108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20" w:type="dxa"/>
            <w:vAlign w:val="bottom"/>
          </w:tcPr>
          <w:p>
            <w:pPr>
              <w:spacing w:after="0"/>
              <w:rPr>
                <w:sz w:val="13"/>
                <w:szCs w:val="13"/>
                <w:color w:val="auto"/>
              </w:rPr>
            </w:pPr>
          </w:p>
        </w:tc>
        <w:tc>
          <w:tcPr>
            <w:tcW w:w="4080" w:type="dxa"/>
            <w:vAlign w:val="bottom"/>
            <w:gridSpan w:val="28"/>
          </w:tcPr>
          <w:p>
            <w:pPr>
              <w:spacing w:after="0" w:line="161" w:lineRule="exact"/>
              <w:rPr>
                <w:sz w:val="20"/>
                <w:szCs w:val="20"/>
                <w:color w:val="auto"/>
              </w:rPr>
            </w:pPr>
            <w:r>
              <w:rPr>
                <w:rFonts w:ascii="Arial" w:cs="Arial" w:eastAsia="Arial" w:hAnsi="Arial"/>
                <w:sz w:val="17"/>
                <w:szCs w:val="17"/>
                <w:color w:val="0000EE"/>
              </w:rPr>
              <w:t>Ratification of Selection of Deloitte &amp; Touche LLP, as</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20" w:type="dxa"/>
            <w:vAlign w:val="bottom"/>
            <w:tcBorders>
              <w:top w:val="single" w:sz="8" w:color="0000EE"/>
            </w:tcBorders>
            <w:gridSpan w:val="27"/>
          </w:tcPr>
          <w:p>
            <w:pPr>
              <w:spacing w:after="0" w:line="175" w:lineRule="exact"/>
              <w:rPr>
                <w:sz w:val="20"/>
                <w:szCs w:val="20"/>
                <w:color w:val="auto"/>
              </w:rPr>
            </w:pPr>
            <w:r>
              <w:rPr>
                <w:rFonts w:ascii="Arial" w:cs="Arial" w:eastAsia="Arial" w:hAnsi="Arial"/>
                <w:sz w:val="17"/>
                <w:szCs w:val="17"/>
                <w:color w:val="0000EE"/>
              </w:rPr>
              <w:t>Independent Registered Public Accounting Firm for</w:t>
            </w:r>
          </w:p>
        </w:tc>
        <w:tc>
          <w:tcPr>
            <w:tcW w:w="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380" w:type="dxa"/>
            <w:vAlign w:val="bottom"/>
            <w:tcBorders>
              <w:top w:val="single" w:sz="8" w:color="0000EE"/>
              <w:bottom w:val="single" w:sz="8" w:color="0000EE"/>
            </w:tcBorders>
            <w:gridSpan w:val="2"/>
          </w:tcPr>
          <w:p>
            <w:pPr>
              <w:spacing w:after="0" w:line="175" w:lineRule="exact"/>
              <w:rPr>
                <w:sz w:val="20"/>
                <w:szCs w:val="20"/>
                <w:color w:val="auto"/>
              </w:rPr>
            </w:pPr>
            <w:r>
              <w:rPr>
                <w:rFonts w:ascii="Arial" w:cs="Arial" w:eastAsia="Arial" w:hAnsi="Arial"/>
                <w:sz w:val="17"/>
                <w:szCs w:val="17"/>
                <w:color w:val="0000EE"/>
                <w:w w:val="95"/>
              </w:rPr>
              <w:t>2026</w:t>
            </w:r>
          </w:p>
        </w:tc>
        <w:tc>
          <w:tcPr>
            <w:tcW w:w="1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4300" w:type="dxa"/>
            <w:vAlign w:val="bottom"/>
            <w:gridSpan w:val="29"/>
          </w:tcPr>
          <w:p>
            <w:pPr>
              <w:spacing w:after="0"/>
              <w:rPr>
                <w:sz w:val="20"/>
                <w:szCs w:val="20"/>
                <w:color w:val="auto"/>
              </w:rPr>
            </w:pPr>
            <w:r>
              <w:rPr>
                <w:rFonts w:ascii="Arial" w:cs="Arial" w:eastAsia="Arial" w:hAnsi="Arial"/>
                <w:sz w:val="19"/>
                <w:szCs w:val="19"/>
                <w:b w:val="1"/>
                <w:bCs w:val="1"/>
                <w:color w:val="0000EE"/>
              </w:rPr>
              <w:t>PROPOSAL 3:</w:t>
            </w:r>
          </w:p>
        </w:tc>
        <w:tc>
          <w:tcPr>
            <w:tcW w:w="580" w:type="dxa"/>
            <w:vAlign w:val="bottom"/>
          </w:tcPr>
          <w:p>
            <w:pPr>
              <w:jc w:val="right"/>
              <w:spacing w:after="0"/>
              <w:rPr>
                <w:sz w:val="20"/>
                <w:szCs w:val="20"/>
                <w:color w:val="auto"/>
              </w:rPr>
            </w:pPr>
            <w:r>
              <w:rPr>
                <w:rFonts w:ascii="Arial" w:cs="Arial" w:eastAsia="Arial" w:hAnsi="Arial"/>
                <w:sz w:val="17"/>
                <w:szCs w:val="17"/>
                <w:color w:val="auto"/>
              </w:rPr>
              <w:t>109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20" w:type="dxa"/>
            <w:vAlign w:val="bottom"/>
          </w:tcPr>
          <w:p>
            <w:pPr>
              <w:spacing w:after="0"/>
              <w:rPr>
                <w:sz w:val="13"/>
                <w:szCs w:val="13"/>
                <w:color w:val="auto"/>
              </w:rPr>
            </w:pPr>
          </w:p>
        </w:tc>
        <w:tc>
          <w:tcPr>
            <w:tcW w:w="4080" w:type="dxa"/>
            <w:vAlign w:val="bottom"/>
            <w:tcBorders>
              <w:bottom w:val="single" w:sz="8" w:color="0000EE"/>
            </w:tcBorders>
            <w:gridSpan w:val="28"/>
          </w:tcPr>
          <w:p>
            <w:pPr>
              <w:spacing w:after="0" w:line="161" w:lineRule="exact"/>
              <w:rPr>
                <w:sz w:val="20"/>
                <w:szCs w:val="20"/>
                <w:color w:val="auto"/>
              </w:rPr>
            </w:pPr>
            <w:r>
              <w:rPr>
                <w:rFonts w:ascii="Arial" w:cs="Arial" w:eastAsia="Arial" w:hAnsi="Arial"/>
                <w:sz w:val="17"/>
                <w:szCs w:val="17"/>
                <w:color w:val="0000EE"/>
              </w:rPr>
              <w:t>Approval, on an Advisory Basis, of the Compensation</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80" w:type="dxa"/>
            <w:vAlign w:val="bottom"/>
            <w:gridSpan w:val="28"/>
          </w:tcPr>
          <w:p>
            <w:pPr>
              <w:spacing w:after="0" w:line="175" w:lineRule="exact"/>
              <w:rPr>
                <w:sz w:val="20"/>
                <w:szCs w:val="20"/>
                <w:color w:val="auto"/>
              </w:rPr>
            </w:pPr>
            <w:r>
              <w:rPr>
                <w:rFonts w:ascii="Arial" w:cs="Arial" w:eastAsia="Arial" w:hAnsi="Arial"/>
                <w:sz w:val="17"/>
                <w:szCs w:val="17"/>
                <w:color w:val="0000EE"/>
              </w:rPr>
              <w:t>of the Company’s Named Executive Officers</w:t>
            </w: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2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300" w:type="dxa"/>
            <w:vAlign w:val="bottom"/>
            <w:gridSpan w:val="29"/>
          </w:tcPr>
          <w:p>
            <w:pPr>
              <w:spacing w:after="0"/>
              <w:rPr>
                <w:sz w:val="20"/>
                <w:szCs w:val="20"/>
                <w:color w:val="auto"/>
              </w:rPr>
            </w:pPr>
            <w:r>
              <w:rPr>
                <w:rFonts w:ascii="Arial" w:cs="Arial" w:eastAsia="Arial" w:hAnsi="Arial"/>
                <w:sz w:val="19"/>
                <w:szCs w:val="19"/>
                <w:b w:val="1"/>
                <w:bCs w:val="1"/>
                <w:color w:val="0000EE"/>
              </w:rPr>
              <w:t>OTHER MATTERS</w:t>
            </w:r>
          </w:p>
        </w:tc>
        <w:tc>
          <w:tcPr>
            <w:tcW w:w="580" w:type="dxa"/>
            <w:vAlign w:val="bottom"/>
          </w:tcPr>
          <w:p>
            <w:pPr>
              <w:jc w:val="right"/>
              <w:spacing w:after="0"/>
              <w:rPr>
                <w:sz w:val="20"/>
                <w:szCs w:val="20"/>
                <w:color w:val="auto"/>
              </w:rPr>
            </w:pPr>
            <w:r>
              <w:rPr>
                <w:rFonts w:ascii="Arial" w:cs="Arial" w:eastAsia="Arial" w:hAnsi="Arial"/>
                <w:sz w:val="17"/>
                <w:szCs w:val="17"/>
                <w:color w:val="auto"/>
              </w:rPr>
              <w:t>110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20" w:type="dxa"/>
            <w:vAlign w:val="bottom"/>
          </w:tcPr>
          <w:p>
            <w:pPr>
              <w:spacing w:after="0"/>
              <w:rPr>
                <w:sz w:val="13"/>
                <w:szCs w:val="13"/>
                <w:color w:val="auto"/>
              </w:rPr>
            </w:pPr>
          </w:p>
        </w:tc>
        <w:tc>
          <w:tcPr>
            <w:tcW w:w="1760" w:type="dxa"/>
            <w:vAlign w:val="bottom"/>
            <w:tcBorders>
              <w:bottom w:val="single" w:sz="8" w:color="0000EE"/>
            </w:tcBorders>
            <w:gridSpan w:val="10"/>
          </w:tcPr>
          <w:p>
            <w:pPr>
              <w:spacing w:after="0" w:line="161" w:lineRule="exact"/>
              <w:rPr>
                <w:sz w:val="20"/>
                <w:szCs w:val="20"/>
                <w:color w:val="auto"/>
              </w:rPr>
            </w:pPr>
            <w:r>
              <w:rPr>
                <w:rFonts w:ascii="Arial" w:cs="Arial" w:eastAsia="Arial" w:hAnsi="Arial"/>
                <w:sz w:val="17"/>
                <w:szCs w:val="17"/>
                <w:color w:val="0000EE"/>
              </w:rPr>
              <w:t>Shareholder Proposals</w:t>
            </w:r>
          </w:p>
        </w:tc>
        <w:tc>
          <w:tcPr>
            <w:tcW w:w="2320" w:type="dxa"/>
            <w:vAlign w:val="bottom"/>
            <w:gridSpan w:val="18"/>
          </w:tcPr>
          <w:p>
            <w:pPr>
              <w:spacing w:after="0"/>
              <w:rPr>
                <w:sz w:val="13"/>
                <w:szCs w:val="13"/>
                <w:color w:val="auto"/>
              </w:rPr>
            </w:pPr>
          </w:p>
        </w:tc>
        <w:tc>
          <w:tcPr>
            <w:tcW w:w="580" w:type="dxa"/>
            <w:vAlign w:val="bottom"/>
          </w:tcPr>
          <w:p>
            <w:pPr>
              <w:jc w:val="right"/>
              <w:spacing w:after="0" w:line="161" w:lineRule="exact"/>
              <w:rPr>
                <w:sz w:val="20"/>
                <w:szCs w:val="20"/>
                <w:color w:val="auto"/>
              </w:rPr>
            </w:pPr>
            <w:r>
              <w:rPr>
                <w:rFonts w:ascii="Arial" w:cs="Arial" w:eastAsia="Arial" w:hAnsi="Arial"/>
                <w:sz w:val="17"/>
                <w:szCs w:val="17"/>
                <w:color w:val="auto"/>
              </w:rPr>
              <w:t>110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4080" w:type="dxa"/>
            <w:vAlign w:val="bottom"/>
            <w:gridSpan w:val="28"/>
          </w:tcPr>
          <w:p>
            <w:pPr>
              <w:spacing w:after="0"/>
              <w:rPr>
                <w:sz w:val="20"/>
                <w:szCs w:val="20"/>
                <w:color w:val="auto"/>
              </w:rPr>
            </w:pPr>
            <w:r>
              <w:rPr>
                <w:rFonts w:ascii="Arial" w:cs="Arial" w:eastAsia="Arial" w:hAnsi="Arial"/>
                <w:sz w:val="17"/>
                <w:szCs w:val="17"/>
                <w:color w:val="0000EE"/>
              </w:rPr>
              <w:t>Solicitation of Proxies</w:t>
            </w:r>
          </w:p>
        </w:tc>
        <w:tc>
          <w:tcPr>
            <w:tcW w:w="580" w:type="dxa"/>
            <w:vAlign w:val="bottom"/>
          </w:tcPr>
          <w:p>
            <w:pPr>
              <w:jc w:val="right"/>
              <w:spacing w:after="0"/>
              <w:rPr>
                <w:sz w:val="20"/>
                <w:szCs w:val="20"/>
                <w:color w:val="auto"/>
              </w:rPr>
            </w:pPr>
            <w:r>
              <w:rPr>
                <w:rFonts w:ascii="Arial" w:cs="Arial" w:eastAsia="Arial" w:hAnsi="Arial"/>
                <w:sz w:val="17"/>
                <w:szCs w:val="17"/>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640" w:type="dxa"/>
            <w:vAlign w:val="bottom"/>
            <w:gridSpan w:val="9"/>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340" w:type="dxa"/>
            <w:vAlign w:val="bottom"/>
            <w:gridSpan w:val="1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20" w:type="dxa"/>
            <w:vAlign w:val="bottom"/>
          </w:tcPr>
          <w:p>
            <w:pPr>
              <w:spacing w:after="0"/>
              <w:rPr>
                <w:sz w:val="17"/>
                <w:szCs w:val="17"/>
                <w:color w:val="auto"/>
              </w:rPr>
            </w:pPr>
          </w:p>
        </w:tc>
        <w:tc>
          <w:tcPr>
            <w:tcW w:w="4080" w:type="dxa"/>
            <w:vAlign w:val="bottom"/>
            <w:gridSpan w:val="28"/>
          </w:tcPr>
          <w:p>
            <w:pPr>
              <w:spacing w:after="0"/>
              <w:rPr>
                <w:sz w:val="20"/>
                <w:szCs w:val="20"/>
                <w:color w:val="auto"/>
              </w:rPr>
            </w:pPr>
            <w:r>
              <w:rPr>
                <w:rFonts w:ascii="Arial" w:cs="Arial" w:eastAsia="Arial" w:hAnsi="Arial"/>
                <w:sz w:val="17"/>
                <w:szCs w:val="17"/>
                <w:color w:val="0000EE"/>
              </w:rPr>
              <w:t>Company Documents &amp; Information</w:t>
            </w:r>
          </w:p>
        </w:tc>
        <w:tc>
          <w:tcPr>
            <w:tcW w:w="580" w:type="dxa"/>
            <w:vAlign w:val="bottom"/>
          </w:tcPr>
          <w:p>
            <w:pPr>
              <w:jc w:val="right"/>
              <w:spacing w:after="0"/>
              <w:rPr>
                <w:sz w:val="20"/>
                <w:szCs w:val="20"/>
                <w:color w:val="auto"/>
              </w:rPr>
            </w:pPr>
            <w:r>
              <w:rPr>
                <w:rFonts w:ascii="Arial" w:cs="Arial" w:eastAsia="Arial" w:hAnsi="Arial"/>
                <w:sz w:val="17"/>
                <w:szCs w:val="17"/>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2"/>
        </w:trPr>
        <w:tc>
          <w:tcPr>
            <w:tcW w:w="2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bottom w:val="single" w:sz="8" w:color="BFCCCC"/>
            </w:tcBorders>
          </w:tcPr>
          <w:p>
            <w:pPr>
              <w:spacing w:after="0"/>
              <w:rPr>
                <w:sz w:val="24"/>
                <w:szCs w:val="24"/>
                <w:color w:val="auto"/>
              </w:rPr>
            </w:pPr>
          </w:p>
        </w:tc>
        <w:tc>
          <w:tcPr>
            <w:tcW w:w="180" w:type="dxa"/>
            <w:vAlign w:val="bottom"/>
            <w:tcBorders>
              <w:top w:val="single" w:sz="8" w:color="0000EE"/>
              <w:bottom w:val="single" w:sz="8" w:color="BFCCCC"/>
            </w:tcBorders>
          </w:tcPr>
          <w:p>
            <w:pPr>
              <w:spacing w:after="0"/>
              <w:rPr>
                <w:sz w:val="24"/>
                <w:szCs w:val="24"/>
                <w:color w:val="auto"/>
              </w:rPr>
            </w:pPr>
          </w:p>
        </w:tc>
        <w:tc>
          <w:tcPr>
            <w:tcW w:w="380" w:type="dxa"/>
            <w:vAlign w:val="bottom"/>
            <w:tcBorders>
              <w:top w:val="single" w:sz="8" w:color="0000EE"/>
              <w:bottom w:val="single" w:sz="8" w:color="BFCCCC"/>
            </w:tcBorders>
          </w:tcPr>
          <w:p>
            <w:pPr>
              <w:spacing w:after="0"/>
              <w:rPr>
                <w:sz w:val="24"/>
                <w:szCs w:val="24"/>
                <w:color w:val="auto"/>
              </w:rPr>
            </w:pPr>
          </w:p>
        </w:tc>
        <w:tc>
          <w:tcPr>
            <w:tcW w:w="20" w:type="dxa"/>
            <w:vAlign w:val="bottom"/>
            <w:tcBorders>
              <w:top w:val="single" w:sz="8" w:color="0000EE"/>
              <w:bottom w:val="single" w:sz="8" w:color="BFCCCC"/>
            </w:tcBorders>
          </w:tcPr>
          <w:p>
            <w:pPr>
              <w:spacing w:after="0"/>
              <w:rPr>
                <w:sz w:val="24"/>
                <w:szCs w:val="24"/>
                <w:color w:val="auto"/>
              </w:rPr>
            </w:pPr>
          </w:p>
        </w:tc>
        <w:tc>
          <w:tcPr>
            <w:tcW w:w="120" w:type="dxa"/>
            <w:vAlign w:val="bottom"/>
            <w:tcBorders>
              <w:top w:val="single" w:sz="8" w:color="0000EE"/>
              <w:bottom w:val="single" w:sz="8" w:color="BFCCCC"/>
            </w:tcBorders>
          </w:tcPr>
          <w:p>
            <w:pPr>
              <w:spacing w:after="0"/>
              <w:rPr>
                <w:sz w:val="24"/>
                <w:szCs w:val="24"/>
                <w:color w:val="auto"/>
              </w:rPr>
            </w:pPr>
          </w:p>
        </w:tc>
        <w:tc>
          <w:tcPr>
            <w:tcW w:w="240" w:type="dxa"/>
            <w:vAlign w:val="bottom"/>
            <w:tcBorders>
              <w:top w:val="single" w:sz="8" w:color="0000EE"/>
              <w:bottom w:val="single" w:sz="8" w:color="BFCCCC"/>
            </w:tcBorders>
          </w:tcPr>
          <w:p>
            <w:pPr>
              <w:spacing w:after="0"/>
              <w:rPr>
                <w:sz w:val="24"/>
                <w:szCs w:val="24"/>
                <w:color w:val="auto"/>
              </w:rPr>
            </w:pPr>
          </w:p>
        </w:tc>
        <w:tc>
          <w:tcPr>
            <w:tcW w:w="100" w:type="dxa"/>
            <w:vAlign w:val="bottom"/>
            <w:tcBorders>
              <w:top w:val="single" w:sz="8" w:color="0000EE"/>
              <w:bottom w:val="single" w:sz="8" w:color="BFCCCC"/>
            </w:tcBorders>
          </w:tcPr>
          <w:p>
            <w:pPr>
              <w:spacing w:after="0"/>
              <w:rPr>
                <w:sz w:val="24"/>
                <w:szCs w:val="24"/>
                <w:color w:val="auto"/>
              </w:rPr>
            </w:pPr>
          </w:p>
        </w:tc>
        <w:tc>
          <w:tcPr>
            <w:tcW w:w="220" w:type="dxa"/>
            <w:vAlign w:val="bottom"/>
            <w:tcBorders>
              <w:top w:val="single" w:sz="8" w:color="0000EE"/>
              <w:bottom w:val="single" w:sz="8" w:color="BFCCCC"/>
            </w:tcBorders>
          </w:tcPr>
          <w:p>
            <w:pPr>
              <w:spacing w:after="0"/>
              <w:rPr>
                <w:sz w:val="24"/>
                <w:szCs w:val="24"/>
                <w:color w:val="auto"/>
              </w:rPr>
            </w:pPr>
          </w:p>
        </w:tc>
        <w:tc>
          <w:tcPr>
            <w:tcW w:w="120" w:type="dxa"/>
            <w:vAlign w:val="bottom"/>
            <w:tcBorders>
              <w:top w:val="single" w:sz="8" w:color="0000EE"/>
              <w:bottom w:val="single" w:sz="8" w:color="BFCCCC"/>
            </w:tcBorders>
          </w:tcPr>
          <w:p>
            <w:pPr>
              <w:spacing w:after="0"/>
              <w:rPr>
                <w:sz w:val="24"/>
                <w:szCs w:val="24"/>
                <w:color w:val="auto"/>
              </w:rPr>
            </w:pPr>
          </w:p>
        </w:tc>
        <w:tc>
          <w:tcPr>
            <w:tcW w:w="80" w:type="dxa"/>
            <w:vAlign w:val="bottom"/>
            <w:tcBorders>
              <w:top w:val="single" w:sz="8" w:color="0000EE"/>
              <w:bottom w:val="single" w:sz="8" w:color="BFCCCC"/>
            </w:tcBorders>
          </w:tcPr>
          <w:p>
            <w:pPr>
              <w:spacing w:after="0"/>
              <w:rPr>
                <w:sz w:val="24"/>
                <w:szCs w:val="24"/>
                <w:color w:val="auto"/>
              </w:rPr>
            </w:pPr>
          </w:p>
        </w:tc>
        <w:tc>
          <w:tcPr>
            <w:tcW w:w="200" w:type="dxa"/>
            <w:vAlign w:val="bottom"/>
            <w:tcBorders>
              <w:top w:val="single" w:sz="8" w:color="0000EE"/>
              <w:bottom w:val="single" w:sz="8" w:color="BFCCCC"/>
            </w:tcBorders>
          </w:tcPr>
          <w:p>
            <w:pPr>
              <w:spacing w:after="0"/>
              <w:rPr>
                <w:sz w:val="24"/>
                <w:szCs w:val="24"/>
                <w:color w:val="auto"/>
              </w:rPr>
            </w:pPr>
          </w:p>
        </w:tc>
        <w:tc>
          <w:tcPr>
            <w:tcW w:w="520" w:type="dxa"/>
            <w:vAlign w:val="bottom"/>
            <w:tcBorders>
              <w:top w:val="single" w:sz="8" w:color="0000EE"/>
              <w:bottom w:val="single" w:sz="8" w:color="BFCCCC"/>
            </w:tcBorders>
          </w:tcPr>
          <w:p>
            <w:pPr>
              <w:spacing w:after="0"/>
              <w:rPr>
                <w:sz w:val="24"/>
                <w:szCs w:val="24"/>
                <w:color w:val="auto"/>
              </w:rPr>
            </w:pPr>
          </w:p>
        </w:tc>
        <w:tc>
          <w:tcPr>
            <w:tcW w:w="180" w:type="dxa"/>
            <w:vAlign w:val="bottom"/>
            <w:tcBorders>
              <w:top w:val="single" w:sz="8" w:color="0000EE"/>
              <w:bottom w:val="single" w:sz="8" w:color="BFCCCC"/>
            </w:tcBorders>
          </w:tcPr>
          <w:p>
            <w:pPr>
              <w:spacing w:after="0"/>
              <w:rPr>
                <w:sz w:val="24"/>
                <w:szCs w:val="24"/>
                <w:color w:val="auto"/>
              </w:rPr>
            </w:pPr>
          </w:p>
        </w:tc>
        <w:tc>
          <w:tcPr>
            <w:tcW w:w="100" w:type="dxa"/>
            <w:vAlign w:val="bottom"/>
            <w:tcBorders>
              <w:bottom w:val="single" w:sz="8" w:color="BFCCCC"/>
            </w:tcBorders>
          </w:tcPr>
          <w:p>
            <w:pPr>
              <w:spacing w:after="0"/>
              <w:rPr>
                <w:sz w:val="24"/>
                <w:szCs w:val="24"/>
                <w:color w:val="auto"/>
              </w:rPr>
            </w:pPr>
          </w:p>
        </w:tc>
        <w:tc>
          <w:tcPr>
            <w:tcW w:w="40" w:type="dxa"/>
            <w:vAlign w:val="bottom"/>
            <w:tcBorders>
              <w:bottom w:val="single" w:sz="8" w:color="BFCCCC"/>
            </w:tcBorders>
          </w:tcPr>
          <w:p>
            <w:pPr>
              <w:spacing w:after="0"/>
              <w:rPr>
                <w:sz w:val="24"/>
                <w:szCs w:val="24"/>
                <w:color w:val="auto"/>
              </w:rPr>
            </w:pPr>
          </w:p>
        </w:tc>
        <w:tc>
          <w:tcPr>
            <w:tcW w:w="20" w:type="dxa"/>
            <w:vAlign w:val="bottom"/>
            <w:tcBorders>
              <w:bottom w:val="single" w:sz="8" w:color="BFCCCC"/>
            </w:tcBorders>
          </w:tcPr>
          <w:p>
            <w:pPr>
              <w:spacing w:after="0"/>
              <w:rPr>
                <w:sz w:val="24"/>
                <w:szCs w:val="24"/>
                <w:color w:val="auto"/>
              </w:rPr>
            </w:pPr>
          </w:p>
        </w:tc>
        <w:tc>
          <w:tcPr>
            <w:tcW w:w="20" w:type="dxa"/>
            <w:vAlign w:val="bottom"/>
            <w:tcBorders>
              <w:bottom w:val="single" w:sz="8" w:color="BFCCCC"/>
            </w:tcBorders>
          </w:tcPr>
          <w:p>
            <w:pPr>
              <w:spacing w:after="0"/>
              <w:rPr>
                <w:sz w:val="24"/>
                <w:szCs w:val="24"/>
                <w:color w:val="auto"/>
              </w:rPr>
            </w:pPr>
          </w:p>
        </w:tc>
        <w:tc>
          <w:tcPr>
            <w:tcW w:w="360" w:type="dxa"/>
            <w:vAlign w:val="bottom"/>
            <w:tcBorders>
              <w:bottom w:val="single" w:sz="8" w:color="BFCCCC"/>
            </w:tcBorders>
          </w:tcPr>
          <w:p>
            <w:pPr>
              <w:spacing w:after="0"/>
              <w:rPr>
                <w:sz w:val="24"/>
                <w:szCs w:val="24"/>
                <w:color w:val="auto"/>
              </w:rPr>
            </w:pPr>
          </w:p>
        </w:tc>
        <w:tc>
          <w:tcPr>
            <w:tcW w:w="60" w:type="dxa"/>
            <w:vAlign w:val="bottom"/>
            <w:tcBorders>
              <w:bottom w:val="single" w:sz="8" w:color="BFCCCC"/>
            </w:tcBorders>
          </w:tcPr>
          <w:p>
            <w:pPr>
              <w:spacing w:after="0"/>
              <w:rPr>
                <w:sz w:val="24"/>
                <w:szCs w:val="24"/>
                <w:color w:val="auto"/>
              </w:rPr>
            </w:pPr>
          </w:p>
        </w:tc>
        <w:tc>
          <w:tcPr>
            <w:tcW w:w="40" w:type="dxa"/>
            <w:vAlign w:val="bottom"/>
            <w:tcBorders>
              <w:bottom w:val="single" w:sz="8" w:color="BFCCCC"/>
            </w:tcBorders>
          </w:tcPr>
          <w:p>
            <w:pPr>
              <w:spacing w:after="0"/>
              <w:rPr>
                <w:sz w:val="24"/>
                <w:szCs w:val="24"/>
                <w:color w:val="auto"/>
              </w:rPr>
            </w:pPr>
          </w:p>
        </w:tc>
        <w:tc>
          <w:tcPr>
            <w:tcW w:w="140" w:type="dxa"/>
            <w:vAlign w:val="bottom"/>
            <w:tcBorders>
              <w:bottom w:val="single" w:sz="8" w:color="BFCCCC"/>
            </w:tcBorders>
          </w:tcPr>
          <w:p>
            <w:pPr>
              <w:spacing w:after="0"/>
              <w:rPr>
                <w:sz w:val="24"/>
                <w:szCs w:val="24"/>
                <w:color w:val="auto"/>
              </w:rPr>
            </w:pPr>
          </w:p>
        </w:tc>
        <w:tc>
          <w:tcPr>
            <w:tcW w:w="160" w:type="dxa"/>
            <w:vAlign w:val="bottom"/>
            <w:tcBorders>
              <w:bottom w:val="single" w:sz="8" w:color="BFCCCC"/>
            </w:tcBorders>
          </w:tcPr>
          <w:p>
            <w:pPr>
              <w:spacing w:after="0"/>
              <w:rPr>
                <w:sz w:val="24"/>
                <w:szCs w:val="24"/>
                <w:color w:val="auto"/>
              </w:rPr>
            </w:pPr>
          </w:p>
        </w:tc>
        <w:tc>
          <w:tcPr>
            <w:tcW w:w="200" w:type="dxa"/>
            <w:vAlign w:val="bottom"/>
            <w:tcBorders>
              <w:bottom w:val="single" w:sz="8" w:color="BFCCCC"/>
            </w:tcBorders>
          </w:tcPr>
          <w:p>
            <w:pPr>
              <w:spacing w:after="0"/>
              <w:rPr>
                <w:sz w:val="24"/>
                <w:szCs w:val="24"/>
                <w:color w:val="auto"/>
              </w:rPr>
            </w:pPr>
          </w:p>
        </w:tc>
        <w:tc>
          <w:tcPr>
            <w:tcW w:w="40" w:type="dxa"/>
            <w:vAlign w:val="bottom"/>
            <w:tcBorders>
              <w:bottom w:val="single" w:sz="8" w:color="BFCCCC"/>
            </w:tcBorders>
          </w:tcPr>
          <w:p>
            <w:pPr>
              <w:spacing w:after="0"/>
              <w:rPr>
                <w:sz w:val="24"/>
                <w:szCs w:val="24"/>
                <w:color w:val="auto"/>
              </w:rPr>
            </w:pPr>
          </w:p>
        </w:tc>
        <w:tc>
          <w:tcPr>
            <w:tcW w:w="20" w:type="dxa"/>
            <w:vAlign w:val="bottom"/>
            <w:tcBorders>
              <w:bottom w:val="single" w:sz="8" w:color="BFCCCC"/>
            </w:tcBorders>
          </w:tcPr>
          <w:p>
            <w:pPr>
              <w:spacing w:after="0"/>
              <w:rPr>
                <w:sz w:val="24"/>
                <w:szCs w:val="24"/>
                <w:color w:val="auto"/>
              </w:rPr>
            </w:pPr>
          </w:p>
        </w:tc>
        <w:tc>
          <w:tcPr>
            <w:tcW w:w="80" w:type="dxa"/>
            <w:vAlign w:val="bottom"/>
            <w:tcBorders>
              <w:bottom w:val="single" w:sz="8" w:color="BFCCCC"/>
            </w:tcBorders>
          </w:tcPr>
          <w:p>
            <w:pPr>
              <w:spacing w:after="0"/>
              <w:rPr>
                <w:sz w:val="24"/>
                <w:szCs w:val="24"/>
                <w:color w:val="auto"/>
              </w:rPr>
            </w:pPr>
          </w:p>
        </w:tc>
        <w:tc>
          <w:tcPr>
            <w:tcW w:w="60" w:type="dxa"/>
            <w:vAlign w:val="bottom"/>
            <w:tcBorders>
              <w:bottom w:val="single" w:sz="8" w:color="BFCCCC"/>
            </w:tcBorders>
          </w:tcPr>
          <w:p>
            <w:pPr>
              <w:spacing w:after="0"/>
              <w:rPr>
                <w:sz w:val="24"/>
                <w:szCs w:val="24"/>
                <w:color w:val="auto"/>
              </w:rPr>
            </w:pPr>
          </w:p>
        </w:tc>
        <w:tc>
          <w:tcPr>
            <w:tcW w:w="580" w:type="dxa"/>
            <w:vAlign w:val="bottom"/>
            <w:tcBorders>
              <w:bottom w:val="single" w:sz="8" w:color="BFCCCC"/>
            </w:tcBorders>
          </w:tcPr>
          <w:p>
            <w:pPr>
              <w:spacing w:after="0"/>
              <w:rPr>
                <w:sz w:val="24"/>
                <w:szCs w:val="24"/>
                <w:color w:val="auto"/>
              </w:rPr>
            </w:pPr>
          </w:p>
        </w:tc>
        <w:tc>
          <w:tcPr>
            <w:tcW w:w="20" w:type="dxa"/>
            <w:vAlign w:val="bottom"/>
            <w:tcBorders>
              <w:bottom w:val="single" w:sz="8" w:color="BFCCC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-65405</wp:posOffset>
            </wp:positionV>
            <wp:extent cx="321945" cy="908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1945" cy="90805"/>
                    </a:xfrm>
                    <a:prstGeom prst="rect">
                      <a:avLst/>
                    </a:prstGeom>
                    <a:noFill/>
                  </pic:spPr>
                </pic:pic>
              </a:graphicData>
            </a:graphic>
          </wp:anchor>
        </w:drawing>
      </w:r>
    </w:p>
    <w:p>
      <w:pPr>
        <w:sectPr>
          <w:pgSz w:w="11900" w:h="16838" w:orient="portrait"/>
          <w:cols w:equalWidth="0" w:num="2">
            <w:col w:w="5420" w:space="300"/>
            <w:col w:w="4900"/>
          </w:cols>
          <w:pgMar w:left="320" w:top="470" w:right="9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71755</wp:posOffset>
            </wp:positionV>
            <wp:extent cx="63373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15" w:lineRule="exact"/>
        <w:rPr>
          <w:sz w:val="20"/>
          <w:szCs w:val="20"/>
          <w:color w:val="auto"/>
        </w:rPr>
      </w:pPr>
    </w:p>
    <w:p>
      <w:pPr>
        <w:ind w:left="640"/>
        <w:spacing w:after="0" w:line="235" w:lineRule="auto"/>
        <w:rPr>
          <w:sz w:val="20"/>
          <w:szCs w:val="20"/>
          <w:color w:val="auto"/>
        </w:rPr>
      </w:pPr>
      <w:r>
        <w:rPr>
          <w:rFonts w:ascii="Arial" w:cs="Arial" w:eastAsia="Arial" w:hAnsi="Arial"/>
          <w:sz w:val="21"/>
          <w:szCs w:val="21"/>
          <w:i w:val="1"/>
          <w:iCs w:val="1"/>
          <w:color w:val="auto"/>
        </w:rPr>
        <w:t>This document contains “forward-looking statements” within the meaning of Section 27A of the Securities Act of 1933, as amended, (the “Securities Act”) Section 21E of the Securities Exchange Act of 1934, as amended (the “Exchange Act”), and the Private Securities Litigation Reform Act of 1995. All statements, other than statements of historical fact, included herein, including, without limitation, statements regarding our financial position, business strategy and other plans and objectives for our future operations, are forward-looking statements. These statements include declarations regarding our beliefs and current expectations. In some cases, forward-looking statements can be identified by terminology such as “may,” “will,” “should,” “expects,” “plans,” “anticipates,” “believes,” “estimates,” “predicts,” “potential” or “continue” or the negative of such terms or other comparable terminology. These forward-looking statements are subject to inherent risks and uncertainties in predicting future results and conditions that could cause the actual results to differ materially from those projected in these forward-looking statements. Risks and uncertainties that could cause our actual results to differ significantly from management’s expectations are described in our Annual Report on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151130</wp:posOffset>
            </wp:positionV>
            <wp:extent cx="6337300" cy="90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ectPr>
          <w:pgSz w:w="11900" w:h="16838" w:orient="portrait"/>
          <w:cols w:equalWidth="0" w:num="1">
            <w:col w:w="10540"/>
          </w:cols>
          <w:pgMar w:left="320" w:top="470" w:right="10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1146810" cy="305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46810" cy="30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20" w:hanging="87"/>
        <w:spacing w:after="0"/>
        <w:tabs>
          <w:tab w:leader="none" w:pos="1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 Unitil Corporation</w:t>
      </w:r>
    </w:p>
    <w:p>
      <w:pPr>
        <w:spacing w:after="0" w:line="15" w:lineRule="exact"/>
        <w:rPr>
          <w:rFonts w:ascii="Arial" w:cs="Arial" w:eastAsia="Arial" w:hAnsi="Arial"/>
          <w:sz w:val="17"/>
          <w:szCs w:val="17"/>
          <w:color w:val="auto"/>
        </w:rPr>
      </w:pPr>
    </w:p>
    <w:p>
      <w:pPr>
        <w:ind w:left="1320" w:hanging="87"/>
        <w:spacing w:after="0"/>
        <w:tabs>
          <w:tab w:leader="none" w:pos="1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 6 Liberty Lane West</w:t>
      </w:r>
    </w:p>
    <w:p>
      <w:pPr>
        <w:ind w:left="1320" w:hanging="87"/>
        <w:spacing w:after="0"/>
        <w:tabs>
          <w:tab w:leader="none" w:pos="1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 Hampton, NH 03842-1720</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21"/>
          <w:szCs w:val="21"/>
          <w:color w:val="auto"/>
        </w:rPr>
        <w:t>March 27, 2026</w:t>
      </w:r>
    </w:p>
    <w:p>
      <w:pPr>
        <w:spacing w:after="0" w:line="200" w:lineRule="exact"/>
        <w:rPr>
          <w:sz w:val="20"/>
          <w:szCs w:val="20"/>
          <w:color w:val="auto"/>
        </w:rPr>
      </w:pPr>
    </w:p>
    <w:p>
      <w:pPr>
        <w:spacing w:after="0" w:line="297" w:lineRule="exact"/>
        <w:rPr>
          <w:sz w:val="20"/>
          <w:szCs w:val="20"/>
          <w:color w:val="auto"/>
        </w:rPr>
      </w:pPr>
    </w:p>
    <w:p>
      <w:pPr>
        <w:ind w:left="640"/>
        <w:spacing w:after="0"/>
        <w:rPr>
          <w:sz w:val="20"/>
          <w:szCs w:val="20"/>
          <w:color w:val="auto"/>
        </w:rPr>
      </w:pPr>
      <w:r>
        <w:rPr>
          <w:rFonts w:ascii="Arial" w:cs="Arial" w:eastAsia="Arial" w:hAnsi="Arial"/>
          <w:sz w:val="42"/>
          <w:szCs w:val="42"/>
          <w:b w:val="1"/>
          <w:bCs w:val="1"/>
          <w:color w:val="auto"/>
        </w:rPr>
        <w:t>PROXY STATEMENT</w:t>
      </w:r>
    </w:p>
    <w:p>
      <w:pPr>
        <w:spacing w:after="0" w:line="351" w:lineRule="exact"/>
        <w:rPr>
          <w:sz w:val="20"/>
          <w:szCs w:val="20"/>
          <w:color w:val="auto"/>
        </w:rPr>
      </w:pPr>
    </w:p>
    <w:p>
      <w:pPr>
        <w:ind w:left="640" w:right="40"/>
        <w:spacing w:after="0" w:line="250" w:lineRule="auto"/>
        <w:rPr>
          <w:sz w:val="20"/>
          <w:szCs w:val="20"/>
          <w:color w:val="auto"/>
        </w:rPr>
      </w:pPr>
      <w:r>
        <w:rPr>
          <w:rFonts w:ascii="Arial" w:cs="Arial" w:eastAsia="Arial" w:hAnsi="Arial"/>
          <w:sz w:val="20"/>
          <w:szCs w:val="20"/>
          <w:color w:val="auto"/>
        </w:rPr>
        <w:t>Unitil Corporation (“Unitil” or the “Company”) is providing this proxy statement and the accompanying annual report (which includes the Company’s Annual Report on Form 10-K for fiscal year 2025) to shareholders in connection with our 2026 Annual Meeting of Shareholders (the “Annual Meeting”). The Board of Directors (the “Board”) is soliciting your designation of a proxy to vote your shares at the Annual Meeting. As a shareholder of Unitil, you are invited to the Annual Meeting, as well as entitled and requested to vote (if you are a shareholder of record) or to provide voting instructions (if you beneficially own your shares in street name) on the proposals described in this proxy statement. This proxy statement provides information to assist you in voting your shares or providing voting instructions with respect to your shares.</w:t>
      </w:r>
    </w:p>
    <w:p>
      <w:pPr>
        <w:spacing w:after="0" w:line="202" w:lineRule="exact"/>
        <w:rPr>
          <w:sz w:val="20"/>
          <w:szCs w:val="20"/>
          <w:color w:val="auto"/>
        </w:rPr>
      </w:pPr>
    </w:p>
    <w:p>
      <w:pPr>
        <w:ind w:left="640" w:right="260"/>
        <w:spacing w:after="0"/>
        <w:rPr>
          <w:sz w:val="20"/>
          <w:szCs w:val="20"/>
          <w:color w:val="auto"/>
        </w:rPr>
      </w:pPr>
      <w:r>
        <w:rPr>
          <w:rFonts w:ascii="Arial" w:cs="Arial" w:eastAsia="Arial" w:hAnsi="Arial"/>
          <w:sz w:val="21"/>
          <w:szCs w:val="21"/>
          <w:color w:val="auto"/>
        </w:rPr>
        <w:t>Unitil has the following subsidiaries, which are referred to throughout this proxy statement: Bangor Natural Gas Company (“Bangor”); Fitchburg Gas and Electric Light Company (“Fitchburg”); Granite State Gas Transmission, Inc. (“Granite”); Maine Natural Gas Corporation (“Maine Natural”); Northern Utilities, Inc. (“Northern”); Unitil Energy Systems, Inc. (“Unitil Energy”); Unitil Power Corp.; Unitil Realty Corp.; Unitil Resources, Inc.; Unitil Water Corp.; and Unitil Service Corp.</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We may also refer to Unitil as “we” or “our” or “us” throughout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465455</wp:posOffset>
            </wp:positionV>
            <wp:extent cx="6337300" cy="288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37300" cy="28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120"/>
        <w:spacing w:after="0"/>
        <w:rPr>
          <w:sz w:val="20"/>
          <w:szCs w:val="20"/>
          <w:color w:val="auto"/>
        </w:rPr>
      </w:pPr>
      <w:r>
        <w:rPr>
          <w:rFonts w:ascii="Arial" w:cs="Arial" w:eastAsia="Arial" w:hAnsi="Arial"/>
          <w:sz w:val="31"/>
          <w:szCs w:val="31"/>
          <w:b w:val="1"/>
          <w:bCs w:val="1"/>
          <w:color w:val="auto"/>
        </w:rPr>
        <w:t>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39370</wp:posOffset>
            </wp:positionV>
            <wp:extent cx="63373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70"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Date, Time and Place</w:t>
      </w:r>
    </w:p>
    <w:p>
      <w:pPr>
        <w:spacing w:after="0" w:line="149" w:lineRule="exact"/>
        <w:rPr>
          <w:sz w:val="20"/>
          <w:szCs w:val="20"/>
          <w:color w:val="auto"/>
        </w:rPr>
      </w:pPr>
    </w:p>
    <w:p>
      <w:pPr>
        <w:ind w:left="640" w:right="260"/>
        <w:spacing w:after="0" w:line="264" w:lineRule="auto"/>
        <w:rPr>
          <w:sz w:val="20"/>
          <w:szCs w:val="20"/>
          <w:color w:val="auto"/>
        </w:rPr>
      </w:pPr>
      <w:r>
        <w:rPr>
          <w:rFonts w:ascii="Arial" w:cs="Arial" w:eastAsia="Arial" w:hAnsi="Arial"/>
          <w:sz w:val="21"/>
          <w:szCs w:val="21"/>
          <w:color w:val="auto"/>
        </w:rPr>
        <w:t>The Annual Meeting will be held on Wednesday, April 29, 2026, at 11:30 a.m. EDT, at our corporate office, 6 Liberty Lane West, Hampton, New Hampshire 03842-1720.</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Anticipated Mailing Date</w:t>
      </w:r>
    </w:p>
    <w:p>
      <w:pPr>
        <w:spacing w:after="0" w:line="136" w:lineRule="exact"/>
        <w:rPr>
          <w:sz w:val="20"/>
          <w:szCs w:val="20"/>
          <w:color w:val="auto"/>
        </w:rPr>
      </w:pPr>
    </w:p>
    <w:p>
      <w:pPr>
        <w:ind w:left="640" w:right="300"/>
        <w:spacing w:after="0" w:line="264" w:lineRule="auto"/>
        <w:rPr>
          <w:sz w:val="20"/>
          <w:szCs w:val="20"/>
          <w:color w:val="auto"/>
        </w:rPr>
      </w:pPr>
      <w:r>
        <w:rPr>
          <w:rFonts w:ascii="Arial" w:cs="Arial" w:eastAsia="Arial" w:hAnsi="Arial"/>
          <w:sz w:val="21"/>
          <w:szCs w:val="21"/>
          <w:color w:val="auto"/>
        </w:rPr>
        <w:t>We anticipate first mailing definitive copies of this proxy statement, the accompanying proxy card, and the accompanying annual report to shareholders on or about 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133350</wp:posOffset>
            </wp:positionV>
            <wp:extent cx="6337300" cy="90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20"/>
          </w:cols>
          <w:pgMar w:left="320" w:top="470" w:right="9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2026 ANNUAL MEETING SUMMARY</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This year, we are seeking your vote on the following proposals:</w:t>
      </w:r>
    </w:p>
    <w:p>
      <w:pPr>
        <w:spacing w:after="0" w:line="135" w:lineRule="exact"/>
        <w:rPr>
          <w:sz w:val="20"/>
          <w:szCs w:val="20"/>
          <w:color w:val="auto"/>
        </w:rPr>
      </w:pPr>
    </w:p>
    <w:p>
      <w:pPr>
        <w:ind w:left="2020" w:right="20" w:hanging="593"/>
        <w:spacing w:after="0" w:line="243" w:lineRule="auto"/>
        <w:tabs>
          <w:tab w:leader="none" w:pos="2020" w:val="left"/>
        </w:tabs>
        <w:numPr>
          <w:ilvl w:val="0"/>
          <w:numId w:val="9"/>
        </w:numPr>
        <w:rPr>
          <w:rFonts w:ascii="Arial" w:cs="Arial" w:eastAsia="Arial" w:hAnsi="Arial"/>
          <w:sz w:val="21"/>
          <w:szCs w:val="21"/>
          <w:color w:val="auto"/>
        </w:rPr>
      </w:pPr>
      <w:r>
        <w:rPr>
          <w:rFonts w:ascii="Arial" w:cs="Arial" w:eastAsia="Arial" w:hAnsi="Arial"/>
          <w:sz w:val="21"/>
          <w:szCs w:val="21"/>
          <w:color w:val="auto"/>
        </w:rPr>
        <w:t xml:space="preserve">Election of three Directors of the Company in Class II. The Board has nominated Neveen F. Awad, Winfield S. Brown, and Mark H. Collin for election to the Board, each to serve a term of three years. The Board recommends a vote FOR these nominees. Information on Proposal is included in the section entitled </w:t>
      </w:r>
      <w:r>
        <w:rPr>
          <w:rFonts w:ascii="Arial" w:cs="Arial" w:eastAsia="Arial" w:hAnsi="Arial"/>
          <w:sz w:val="21"/>
          <w:szCs w:val="21"/>
          <w:i w:val="1"/>
          <w:iCs w:val="1"/>
          <w:color w:val="auto"/>
        </w:rPr>
        <w:t>Proposal 1: Election of Directors</w:t>
      </w:r>
      <w:r>
        <w:rPr>
          <w:rFonts w:ascii="Arial" w:cs="Arial" w:eastAsia="Arial" w:hAnsi="Arial"/>
          <w:sz w:val="21"/>
          <w:szCs w:val="21"/>
          <w:color w:val="auto"/>
        </w:rPr>
        <w:t>.</w:t>
      </w:r>
    </w:p>
    <w:p>
      <w:pPr>
        <w:spacing w:after="0" w:line="74" w:lineRule="exact"/>
        <w:rPr>
          <w:rFonts w:ascii="Arial" w:cs="Arial" w:eastAsia="Arial" w:hAnsi="Arial"/>
          <w:sz w:val="21"/>
          <w:szCs w:val="21"/>
          <w:color w:val="auto"/>
        </w:rPr>
      </w:pPr>
    </w:p>
    <w:p>
      <w:pPr>
        <w:ind w:left="2020" w:right="80" w:hanging="593"/>
        <w:spacing w:after="0"/>
        <w:tabs>
          <w:tab w:leader="none" w:pos="2020" w:val="left"/>
        </w:tabs>
        <w:numPr>
          <w:ilvl w:val="0"/>
          <w:numId w:val="9"/>
        </w:numPr>
        <w:rPr>
          <w:rFonts w:ascii="Arial" w:cs="Arial" w:eastAsia="Arial" w:hAnsi="Arial"/>
          <w:sz w:val="21"/>
          <w:szCs w:val="21"/>
          <w:color w:val="auto"/>
        </w:rPr>
      </w:pPr>
      <w:r>
        <w:rPr>
          <w:rFonts w:ascii="Arial" w:cs="Arial" w:eastAsia="Arial" w:hAnsi="Arial"/>
          <w:sz w:val="21"/>
          <w:szCs w:val="21"/>
          <w:color w:val="auto"/>
        </w:rPr>
        <w:t xml:space="preserve">Ratification of the selection of Unitil’s independent registered public accounting firm, Deloitte &amp; Touche LLP, for fiscal year 2026. The Board recommends a vote FOR this proposal. Information on Proposal 2 is included in the section entitled </w:t>
      </w:r>
      <w:r>
        <w:rPr>
          <w:rFonts w:ascii="Arial" w:cs="Arial" w:eastAsia="Arial" w:hAnsi="Arial"/>
          <w:sz w:val="21"/>
          <w:szCs w:val="21"/>
          <w:i w:val="1"/>
          <w:iCs w:val="1"/>
          <w:color w:val="auto"/>
        </w:rPr>
        <w:t>Proposal 2: Ratification</w:t>
      </w:r>
      <w:r>
        <w:rPr>
          <w:rFonts w:ascii="Arial" w:cs="Arial" w:eastAsia="Arial" w:hAnsi="Arial"/>
          <w:sz w:val="21"/>
          <w:szCs w:val="21"/>
          <w:color w:val="auto"/>
        </w:rPr>
        <w:t xml:space="preserve"> </w:t>
      </w:r>
      <w:r>
        <w:rPr>
          <w:rFonts w:ascii="Arial" w:cs="Arial" w:eastAsia="Arial" w:hAnsi="Arial"/>
          <w:sz w:val="21"/>
          <w:szCs w:val="21"/>
          <w:i w:val="1"/>
          <w:iCs w:val="1"/>
          <w:color w:val="auto"/>
        </w:rPr>
        <w:t>of Selection of Deloitte &amp; Touche LLP as Independent Registered Public Accounting Firm for 2026</w:t>
      </w:r>
      <w:r>
        <w:rPr>
          <w:rFonts w:ascii="Arial" w:cs="Arial" w:eastAsia="Arial" w:hAnsi="Arial"/>
          <w:sz w:val="21"/>
          <w:szCs w:val="21"/>
          <w:color w:val="auto"/>
        </w:rPr>
        <w:t>.</w:t>
      </w:r>
    </w:p>
    <w:p>
      <w:pPr>
        <w:spacing w:after="0" w:line="79" w:lineRule="exact"/>
        <w:rPr>
          <w:rFonts w:ascii="Arial" w:cs="Arial" w:eastAsia="Arial" w:hAnsi="Arial"/>
          <w:sz w:val="21"/>
          <w:szCs w:val="21"/>
          <w:color w:val="auto"/>
        </w:rPr>
      </w:pPr>
    </w:p>
    <w:p>
      <w:pPr>
        <w:ind w:left="2020" w:right="500" w:hanging="593"/>
        <w:spacing w:after="0" w:line="243" w:lineRule="auto"/>
        <w:tabs>
          <w:tab w:leader="none" w:pos="2020" w:val="left"/>
        </w:tabs>
        <w:numPr>
          <w:ilvl w:val="0"/>
          <w:numId w:val="9"/>
        </w:numPr>
        <w:rPr>
          <w:rFonts w:ascii="Arial" w:cs="Arial" w:eastAsia="Arial" w:hAnsi="Arial"/>
          <w:sz w:val="21"/>
          <w:szCs w:val="21"/>
          <w:color w:val="auto"/>
        </w:rPr>
      </w:pPr>
      <w:r>
        <w:rPr>
          <w:rFonts w:ascii="Arial" w:cs="Arial" w:eastAsia="Arial" w:hAnsi="Arial"/>
          <w:sz w:val="21"/>
          <w:szCs w:val="21"/>
          <w:color w:val="auto"/>
        </w:rPr>
        <w:t xml:space="preserve">Approval, on an advisory basis, of the compensation of the Company’s named executive officers. The Board recommends a vote FOR this proposal. Information on Proposal 3 is included in the section entitled </w:t>
      </w:r>
      <w:r>
        <w:rPr>
          <w:rFonts w:ascii="Arial" w:cs="Arial" w:eastAsia="Arial" w:hAnsi="Arial"/>
          <w:sz w:val="21"/>
          <w:szCs w:val="21"/>
          <w:i w:val="1"/>
          <w:iCs w:val="1"/>
          <w:color w:val="auto"/>
        </w:rPr>
        <w:t>Proposal 3: Approval, on an Advisory Basis, of the</w:t>
      </w:r>
      <w:r>
        <w:rPr>
          <w:rFonts w:ascii="Arial" w:cs="Arial" w:eastAsia="Arial" w:hAnsi="Arial"/>
          <w:sz w:val="21"/>
          <w:szCs w:val="21"/>
          <w:color w:val="auto"/>
        </w:rPr>
        <w:t xml:space="preserve"> </w:t>
      </w:r>
      <w:r>
        <w:rPr>
          <w:rFonts w:ascii="Arial" w:cs="Arial" w:eastAsia="Arial" w:hAnsi="Arial"/>
          <w:sz w:val="21"/>
          <w:szCs w:val="21"/>
          <w:i w:val="1"/>
          <w:iCs w:val="1"/>
          <w:color w:val="auto"/>
        </w:rPr>
        <w:t>Compensation of the Company’s Named Executive Officers.</w:t>
      </w:r>
    </w:p>
    <w:p>
      <w:pPr>
        <w:spacing w:after="0" w:line="74" w:lineRule="exact"/>
        <w:rPr>
          <w:rFonts w:ascii="Arial" w:cs="Arial" w:eastAsia="Arial" w:hAnsi="Arial"/>
          <w:sz w:val="21"/>
          <w:szCs w:val="21"/>
          <w:color w:val="auto"/>
        </w:rPr>
      </w:pPr>
    </w:p>
    <w:p>
      <w:pPr>
        <w:ind w:left="2020" w:hanging="593"/>
        <w:spacing w:after="0"/>
        <w:tabs>
          <w:tab w:leader="none" w:pos="2020" w:val="left"/>
        </w:tabs>
        <w:numPr>
          <w:ilvl w:val="0"/>
          <w:numId w:val="9"/>
        </w:numPr>
        <w:rPr>
          <w:rFonts w:ascii="Arial" w:cs="Arial" w:eastAsia="Arial" w:hAnsi="Arial"/>
          <w:sz w:val="21"/>
          <w:szCs w:val="21"/>
          <w:color w:val="auto"/>
        </w:rPr>
      </w:pPr>
      <w:r>
        <w:rPr>
          <w:rFonts w:ascii="Arial" w:cs="Arial" w:eastAsia="Arial" w:hAnsi="Arial"/>
          <w:sz w:val="21"/>
          <w:szCs w:val="21"/>
          <w:color w:val="auto"/>
        </w:rPr>
        <w:t>Transaction of any other business that may properly be brought before the Annual Meeting.</w:t>
      </w:r>
    </w:p>
    <w:p>
      <w:pPr>
        <w:sectPr>
          <w:pgSz w:w="11900" w:h="16838" w:orient="portrait"/>
          <w:cols w:equalWidth="0" w:num="1">
            <w:col w:w="10640"/>
          </w:cols>
          <w:pgMar w:left="320" w:top="470" w:right="9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640"/>
        <w:spacing w:after="0"/>
        <w:rPr>
          <w:sz w:val="20"/>
          <w:szCs w:val="20"/>
          <w:color w:val="auto"/>
        </w:rPr>
      </w:pPr>
      <w:r>
        <w:rPr>
          <w:rFonts w:ascii="Arial" w:cs="Arial" w:eastAsia="Arial" w:hAnsi="Arial"/>
          <w:sz w:val="27"/>
          <w:szCs w:val="27"/>
          <w:b w:val="1"/>
          <w:bCs w:val="1"/>
          <w:color w:val="auto"/>
        </w:rPr>
        <w:t>RECORD DATE &amp; NUMBER OF SHARES OUTSTANDING</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You are entitled to receive notice of and to vote at the Annual Meeting if you owned shares of Unitil common stock as of the close of business on February 20, 2026 (the “Record Date”). As of the Record Date, there were 17,986,069 shares of common stock issued and outstanding and entitled to vote at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32"/>
        <w:spacing w:after="0"/>
        <w:rPr>
          <w:sz w:val="20"/>
          <w:szCs w:val="20"/>
          <w:color w:val="auto"/>
        </w:rPr>
      </w:pPr>
      <w:r>
        <w:rPr>
          <w:rFonts w:ascii="Arial" w:cs="Arial" w:eastAsia="Arial" w:hAnsi="Arial"/>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-111760</wp:posOffset>
            </wp:positionV>
            <wp:extent cx="1485265" cy="899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85265" cy="899160"/>
                    </a:xfrm>
                    <a:prstGeom prst="rect">
                      <a:avLst/>
                    </a:prstGeom>
                    <a:noFill/>
                  </pic:spPr>
                </pic:pic>
              </a:graphicData>
            </a:graphic>
          </wp:anchor>
        </w:drawing>
      </w:r>
    </w:p>
    <w:p>
      <w:pPr>
        <w:ind w:left="592"/>
        <w:spacing w:after="0"/>
        <w:rPr>
          <w:sz w:val="20"/>
          <w:szCs w:val="20"/>
          <w:color w:val="auto"/>
        </w:rPr>
      </w:pPr>
      <w:r>
        <w:rPr>
          <w:rFonts w:ascii="Arial" w:cs="Arial" w:eastAsia="Arial" w:hAnsi="Arial"/>
          <w:sz w:val="17"/>
          <w:szCs w:val="17"/>
          <w:b w:val="1"/>
          <w:bCs w:val="1"/>
          <w:color w:val="auto"/>
        </w:rPr>
        <w:t>Record Date:</w:t>
      </w:r>
    </w:p>
    <w:p>
      <w:pPr>
        <w:ind w:left="92"/>
        <w:spacing w:after="0"/>
        <w:rPr>
          <w:sz w:val="20"/>
          <w:szCs w:val="20"/>
          <w:color w:val="auto"/>
        </w:rPr>
      </w:pPr>
      <w:r>
        <w:rPr>
          <w:rFonts w:ascii="Arial" w:cs="Arial" w:eastAsia="Arial" w:hAnsi="Arial"/>
          <w:sz w:val="17"/>
          <w:szCs w:val="17"/>
          <w:b w:val="1"/>
          <w:bCs w:val="1"/>
          <w:color w:val="auto"/>
        </w:rPr>
        <w:t xml:space="preserve">      February 20, 2026       </w:t>
      </w:r>
    </w:p>
    <w:p>
      <w:pPr>
        <w:spacing w:after="0" w:line="215" w:lineRule="exact"/>
        <w:rPr>
          <w:sz w:val="20"/>
          <w:szCs w:val="20"/>
          <w:color w:val="auto"/>
        </w:rPr>
      </w:pPr>
    </w:p>
    <w:p>
      <w:pPr>
        <w:ind w:left="692" w:hanging="692"/>
        <w:spacing w:after="0" w:line="250" w:lineRule="auto"/>
        <w:tabs>
          <w:tab w:leader="none" w:pos="177"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 Shares Outstanding:      17,986,069</w:t>
      </w:r>
    </w:p>
    <w:p>
      <w:pPr>
        <w:ind w:left="1032"/>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w:t>
      </w:r>
    </w:p>
    <w:p>
      <w:pPr>
        <w:spacing w:after="0" w:line="200" w:lineRule="exact"/>
        <w:rPr>
          <w:sz w:val="20"/>
          <w:szCs w:val="20"/>
          <w:color w:val="auto"/>
        </w:rPr>
      </w:pPr>
    </w:p>
    <w:p>
      <w:pPr>
        <w:sectPr>
          <w:pgSz w:w="11900" w:h="16838" w:orient="portrait"/>
          <w:cols w:equalWidth="0" w:num="2">
            <w:col w:w="8120" w:space="248"/>
            <w:col w:w="2272"/>
          </w:cols>
          <w:pgMar w:left="320" w:top="470" w:right="939" w:bottom="1440" w:gutter="0" w:footer="0" w:header="0"/>
          <w:type w:val="continuous"/>
        </w:sectPr>
      </w:pPr>
    </w:p>
    <w:p>
      <w:pPr>
        <w:spacing w:after="0" w:line="197"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QUORUM &amp; REQUIRED VOTE</w:t>
      </w:r>
    </w:p>
    <w:p>
      <w:pPr>
        <w:spacing w:after="0" w:line="255" w:lineRule="exact"/>
        <w:rPr>
          <w:sz w:val="20"/>
          <w:szCs w:val="20"/>
          <w:color w:val="auto"/>
        </w:rPr>
      </w:pPr>
    </w:p>
    <w:p>
      <w:pPr>
        <w:ind w:left="640" w:right="280"/>
        <w:spacing w:after="0" w:line="290" w:lineRule="auto"/>
        <w:rPr>
          <w:sz w:val="20"/>
          <w:szCs w:val="20"/>
          <w:color w:val="auto"/>
        </w:rPr>
      </w:pPr>
      <w:r>
        <w:rPr>
          <w:rFonts w:ascii="Arial" w:cs="Arial" w:eastAsia="Arial" w:hAnsi="Arial"/>
          <w:sz w:val="20"/>
          <w:szCs w:val="20"/>
          <w:color w:val="auto"/>
        </w:rPr>
        <w:t>A majority of the outstanding shares of common stock entitled to vote at the Annual Meeting must be present in person or represented by proxy to conduct the Annual Meeting. This is referred to as a quorum.</w:t>
      </w:r>
    </w:p>
    <w:p>
      <w:pPr>
        <w:spacing w:after="0" w:line="120" w:lineRule="exact"/>
        <w:rPr>
          <w:sz w:val="20"/>
          <w:szCs w:val="20"/>
          <w:color w:val="auto"/>
        </w:rPr>
      </w:pPr>
    </w:p>
    <w:p>
      <w:pPr>
        <w:ind w:left="640" w:right="60"/>
        <w:spacing w:after="0" w:line="237" w:lineRule="auto"/>
        <w:rPr>
          <w:sz w:val="20"/>
          <w:szCs w:val="20"/>
          <w:color w:val="auto"/>
        </w:rPr>
      </w:pPr>
      <w:r>
        <w:rPr>
          <w:rFonts w:ascii="Arial" w:cs="Arial" w:eastAsia="Arial" w:hAnsi="Arial"/>
          <w:sz w:val="21"/>
          <w:szCs w:val="21"/>
          <w:color w:val="auto"/>
        </w:rPr>
        <w:t xml:space="preserve">If a quorum is present, the nominees standing for election as a Director will be elected by a plurality of the votes cast by the shareholders. Votes withheld and broker non-votes will not be counted toward the achievement of a plurality. Additional information concerning the election of directors appears in the sections entitled </w:t>
      </w:r>
      <w:r>
        <w:rPr>
          <w:rFonts w:ascii="Arial" w:cs="Arial" w:eastAsia="Arial" w:hAnsi="Arial"/>
          <w:sz w:val="21"/>
          <w:szCs w:val="21"/>
          <w:i w:val="1"/>
          <w:iCs w:val="1"/>
          <w:color w:val="auto"/>
        </w:rPr>
        <w:t>Corporate Governance – Resignation Policy</w:t>
      </w:r>
      <w:r>
        <w:rPr>
          <w:rFonts w:ascii="Arial" w:cs="Arial" w:eastAsia="Arial" w:hAnsi="Arial"/>
          <w:sz w:val="21"/>
          <w:szCs w:val="21"/>
          <w:color w:val="auto"/>
        </w:rPr>
        <w:t xml:space="preserve"> and </w:t>
      </w:r>
      <w:r>
        <w:rPr>
          <w:rFonts w:ascii="Arial" w:cs="Arial" w:eastAsia="Arial" w:hAnsi="Arial"/>
          <w:sz w:val="21"/>
          <w:szCs w:val="21"/>
          <w:i w:val="1"/>
          <w:iCs w:val="1"/>
          <w:color w:val="auto"/>
        </w:rPr>
        <w:t>Proposal 1 – Election of Directors</w:t>
      </w:r>
      <w:r>
        <w:rPr>
          <w:rFonts w:ascii="Arial" w:cs="Arial" w:eastAsia="Arial" w:hAnsi="Arial"/>
          <w:sz w:val="21"/>
          <w:szCs w:val="21"/>
          <w:color w:val="auto"/>
        </w:rPr>
        <w:t xml:space="preserve"> . With respect to all other matters that may come before the Annual Meeting, action on a matter is approved if the votes cast favoring the action exceed the votes cast opposing the action. Therefore, abstentions and broker non-votes will have no effect on the other matters. Representatives of our transfer agent will count the votes and certify the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150495</wp:posOffset>
            </wp:positionV>
            <wp:extent cx="6337300" cy="825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40"/>
          </w:cols>
          <w:pgMar w:left="320" w:top="470" w:right="9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VOTING RIGHTS &amp; PROCEDURES</w:t>
      </w:r>
    </w:p>
    <w:p>
      <w:pPr>
        <w:spacing w:after="0" w:line="242" w:lineRule="exact"/>
        <w:rPr>
          <w:sz w:val="20"/>
          <w:szCs w:val="20"/>
          <w:color w:val="auto"/>
        </w:rPr>
      </w:pPr>
    </w:p>
    <w:p>
      <w:pPr>
        <w:ind w:left="640" w:right="120"/>
        <w:spacing w:after="0" w:line="243" w:lineRule="auto"/>
        <w:rPr>
          <w:sz w:val="20"/>
          <w:szCs w:val="20"/>
          <w:color w:val="auto"/>
        </w:rPr>
      </w:pPr>
      <w:r>
        <w:rPr>
          <w:rFonts w:ascii="Arial" w:cs="Arial" w:eastAsia="Arial" w:hAnsi="Arial"/>
          <w:sz w:val="21"/>
          <w:szCs w:val="21"/>
          <w:color w:val="auto"/>
        </w:rPr>
        <w:t>As an owner of Unitil common stock, it is your legal right to vote (or to provide voting instructions) on all matters to be considered at a shareholder meeting. We hope you will exercise your legal right and fully participate as a shareholder in the Annual Meeting. You may cast one vote for each share of common stock that you own on all matters presented at the Annual Meeting.</w:t>
      </w:r>
    </w:p>
    <w:p>
      <w:pPr>
        <w:spacing w:after="0" w:line="166" w:lineRule="exact"/>
        <w:rPr>
          <w:sz w:val="20"/>
          <w:szCs w:val="20"/>
          <w:color w:val="auto"/>
        </w:rPr>
      </w:pPr>
    </w:p>
    <w:p>
      <w:pPr>
        <w:ind w:left="640" w:right="160"/>
        <w:spacing w:after="0"/>
        <w:rPr>
          <w:sz w:val="20"/>
          <w:szCs w:val="20"/>
          <w:color w:val="auto"/>
        </w:rPr>
      </w:pPr>
      <w:r>
        <w:rPr>
          <w:rFonts w:ascii="Arial" w:cs="Arial" w:eastAsia="Arial" w:hAnsi="Arial"/>
          <w:sz w:val="21"/>
          <w:szCs w:val="21"/>
          <w:color w:val="auto"/>
        </w:rPr>
        <w:t>The Board has selected and approved Robert B. Hevert, Daniel J. Hurstak, and Thomas P. Meissner, Jr. as proxies for the Annual Meeting to vote your shares in the manner that you specify on the proxy card or via the Internet, or if you do not give any specification on your proxy card or submitted proxy with respect to a matter, FOR such matter. Your designation of a proxy will not affect your right to attend the Annual Meeting and vote at the meeting.</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Record Holders</w:t>
      </w:r>
    </w:p>
    <w:p>
      <w:pPr>
        <w:spacing w:after="0" w:line="200" w:lineRule="exact"/>
        <w:rPr>
          <w:sz w:val="20"/>
          <w:szCs w:val="20"/>
          <w:color w:val="auto"/>
        </w:rPr>
      </w:pPr>
    </w:p>
    <w:p>
      <w:pPr>
        <w:ind w:left="640" w:right="100"/>
        <w:spacing w:after="0" w:line="248" w:lineRule="auto"/>
        <w:rPr>
          <w:sz w:val="20"/>
          <w:szCs w:val="20"/>
          <w:color w:val="auto"/>
        </w:rPr>
      </w:pPr>
      <w:r>
        <w:rPr>
          <w:rFonts w:ascii="Arial" w:cs="Arial" w:eastAsia="Arial" w:hAnsi="Arial"/>
          <w:sz w:val="21"/>
          <w:szCs w:val="21"/>
          <w:color w:val="auto"/>
        </w:rPr>
        <w:t>If your shares of common stock were registered directly in your name with our transfer agent as of the Record Date, then you are considered a shareholder of record of the shares (“Record Holder”) and we have sent the proxy materials and the accompanying proxy card directly to you.</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Beneficial Holders</w:t>
      </w:r>
    </w:p>
    <w:p>
      <w:pPr>
        <w:spacing w:after="0" w:line="200" w:lineRule="exact"/>
        <w:rPr>
          <w:sz w:val="20"/>
          <w:szCs w:val="20"/>
          <w:color w:val="auto"/>
        </w:rPr>
      </w:pPr>
    </w:p>
    <w:p>
      <w:pPr>
        <w:ind w:left="640" w:right="140"/>
        <w:spacing w:after="0"/>
        <w:rPr>
          <w:sz w:val="20"/>
          <w:szCs w:val="20"/>
          <w:color w:val="auto"/>
        </w:rPr>
      </w:pPr>
      <w:r>
        <w:rPr>
          <w:rFonts w:ascii="Arial" w:cs="Arial" w:eastAsia="Arial" w:hAnsi="Arial"/>
          <w:sz w:val="21"/>
          <w:szCs w:val="21"/>
          <w:color w:val="auto"/>
        </w:rPr>
        <w:t>If your shares of common stock were registered in the name of a bank, broker or other nominee as of the Record Date, then you are considered a beneficial owner (“Beneficial Holder”) of the shares that are registered in street name, and your bank, broker or other nominee has sent this proxy statement and voting instructions to you. As a Beneficial Holder, your shares may be voted even if voting instructions are not provided.</w:t>
      </w:r>
    </w:p>
    <w:p>
      <w:pPr>
        <w:spacing w:after="0" w:line="196" w:lineRule="exact"/>
        <w:rPr>
          <w:sz w:val="20"/>
          <w:szCs w:val="20"/>
          <w:color w:val="auto"/>
        </w:rPr>
      </w:pPr>
    </w:p>
    <w:p>
      <w:pPr>
        <w:ind w:left="640" w:right="60"/>
        <w:spacing w:after="0" w:line="236" w:lineRule="auto"/>
        <w:rPr>
          <w:sz w:val="20"/>
          <w:szCs w:val="20"/>
          <w:color w:val="auto"/>
        </w:rPr>
      </w:pPr>
      <w:r>
        <w:rPr>
          <w:rFonts w:ascii="Arial" w:cs="Arial" w:eastAsia="Arial" w:hAnsi="Arial"/>
          <w:sz w:val="21"/>
          <w:szCs w:val="21"/>
          <w:color w:val="auto"/>
        </w:rPr>
        <w:t>Brokerage firms have the authority under New York Stock Exchange (“NYSE”) rules to vote shares for which their customers do not provide voting instructions on routine matters. The ratification of the selection of our independent registered public accounting firm, Deloitte &amp; Touche LLP, for fiscal year 2026 is considered a routine matter. When a proposal is not routine and the brokerage firm has not received voting instructions from its customers, the brokerage firm cannot vote the shares on that proposal. Those shares are considered “broker non-votes.” Please note that, under NYSE rules, this means that brokers may not vote your shares on Proposals 1 and 3 at the 2026 Annual Meeting if you have not given specific instructions as to how to vote to the broker. Please be sure to give specific voting instructions to your broker so that your vote can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153035</wp:posOffset>
            </wp:positionV>
            <wp:extent cx="6337300" cy="90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20"/>
          </w:cols>
          <w:pgMar w:left="320" w:top="470" w:right="9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40265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37300" cy="402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20"/>
          </w:cols>
          <w:pgMar w:left="320" w:top="470" w:right="9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313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37300" cy="313690"/>
                    </a:xfrm>
                    <a:prstGeom prst="rect">
                      <a:avLst/>
                    </a:prstGeom>
                    <a:noFill/>
                  </pic:spPr>
                </pic:pic>
              </a:graphicData>
            </a:graphic>
          </wp:anchor>
        </w:drawing>
      </w:r>
    </w:p>
    <w:p>
      <w:pPr>
        <w:spacing w:after="0" w:line="348" w:lineRule="exact"/>
        <w:rPr>
          <w:sz w:val="20"/>
          <w:szCs w:val="20"/>
          <w:color w:val="auto"/>
        </w:rPr>
      </w:pPr>
    </w:p>
    <w:p>
      <w:pPr>
        <w:ind w:left="4220"/>
        <w:spacing w:after="0"/>
        <w:rPr>
          <w:sz w:val="20"/>
          <w:szCs w:val="20"/>
          <w:color w:val="auto"/>
        </w:rPr>
      </w:pPr>
      <w:r>
        <w:rPr>
          <w:rFonts w:ascii="Arial" w:cs="Arial" w:eastAsia="Arial" w:hAnsi="Arial"/>
          <w:sz w:val="31"/>
          <w:szCs w:val="31"/>
          <w:b w:val="1"/>
          <w:bCs w:val="1"/>
          <w:color w:val="auto"/>
        </w:rPr>
        <w:t>ENERGY FOR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64135</wp:posOffset>
            </wp:positionV>
            <wp:extent cx="63373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70" w:lineRule="exact"/>
        <w:rPr>
          <w:sz w:val="20"/>
          <w:szCs w:val="20"/>
          <w:color w:val="auto"/>
        </w:rPr>
      </w:pPr>
    </w:p>
    <w:p>
      <w:pPr>
        <w:ind w:left="640" w:right="720"/>
        <w:spacing w:after="0" w:line="286" w:lineRule="auto"/>
        <w:rPr>
          <w:sz w:val="20"/>
          <w:szCs w:val="20"/>
          <w:color w:val="auto"/>
        </w:rPr>
      </w:pPr>
      <w:r>
        <w:rPr>
          <w:rFonts w:ascii="Arial" w:cs="Arial" w:eastAsia="Arial" w:hAnsi="Arial"/>
          <w:sz w:val="28"/>
          <w:szCs w:val="28"/>
          <w:b w:val="1"/>
          <w:bCs w:val="1"/>
          <w:color w:val="auto"/>
        </w:rPr>
        <w:t>A MESSAGE FROM TOM MEISSNER, CHAIRMAN &amp; CHIEF EXECUTIVE OFFICER</w:t>
      </w:r>
    </w:p>
    <w:p>
      <w:pPr>
        <w:spacing w:after="0" w:line="96" w:lineRule="exact"/>
        <w:rPr>
          <w:sz w:val="20"/>
          <w:szCs w:val="20"/>
          <w:color w:val="auto"/>
        </w:rPr>
      </w:pPr>
    </w:p>
    <w:p>
      <w:pPr>
        <w:ind w:left="640" w:right="160"/>
        <w:spacing w:after="0" w:line="238" w:lineRule="auto"/>
        <w:rPr>
          <w:sz w:val="20"/>
          <w:szCs w:val="20"/>
          <w:color w:val="auto"/>
        </w:rPr>
      </w:pPr>
      <w:r>
        <w:rPr>
          <w:rFonts w:ascii="Arial" w:cs="Arial" w:eastAsia="Arial" w:hAnsi="Arial"/>
          <w:sz w:val="21"/>
          <w:szCs w:val="21"/>
          <w:color w:val="auto"/>
        </w:rPr>
        <w:t>The past year marked a pivotal step in our long-term growth, driven primarily by the successful acquisitions of Bangor Natural Gas Company and Maine Natural Gas Corporation. These acquisitions significantly bolster our operational scale and regulated earnings base, driving long-term value for our shareholders. Each transaction was undertaken with active Board oversight and a continued focus on financial discipline and constructive regulatory relationships. At the same time, this expansion strengthens our portfolio and allows us to deliver a cleaner, more affordable heating option to customers in a region currently reliant on costlier, more carbon-intensive alternatives.</w:t>
      </w:r>
    </w:p>
    <w:p>
      <w:pPr>
        <w:spacing w:after="0" w:line="169" w:lineRule="exact"/>
        <w:rPr>
          <w:sz w:val="20"/>
          <w:szCs w:val="20"/>
          <w:color w:val="auto"/>
        </w:rPr>
      </w:pPr>
    </w:p>
    <w:p>
      <w:pPr>
        <w:ind w:left="640" w:right="60"/>
        <w:spacing w:after="0" w:line="237" w:lineRule="auto"/>
        <w:rPr>
          <w:sz w:val="20"/>
          <w:szCs w:val="20"/>
          <w:color w:val="auto"/>
        </w:rPr>
      </w:pPr>
      <w:r>
        <w:rPr>
          <w:rFonts w:ascii="Arial" w:cs="Arial" w:eastAsia="Arial" w:hAnsi="Arial"/>
          <w:sz w:val="21"/>
          <w:szCs w:val="21"/>
          <w:color w:val="auto"/>
        </w:rPr>
        <w:t>We continued to invest in infrastructure modernization and emerging technologies to improve safety and reliability, reduce emissions, and strengthen our ability to meet evolving customer needs. We completed the first phase of a multi-year Advanced Metering Infrastructure replacement, a transformative initiative that will improve system visibility, accelerate outage response, enable innovative rate designs and provide customers with clearer insights into their energy use. We also completed a utility-scale solar project that is now the largest solar facility in New Hampshire, delivering long-term energy savings to customers while improving supply diversity and price stability. This project was recognized with multiple awards, including the NH Energy Week Project of the Year.</w:t>
      </w:r>
    </w:p>
    <w:p>
      <w:pPr>
        <w:spacing w:after="0" w:line="171" w:lineRule="exact"/>
        <w:rPr>
          <w:sz w:val="20"/>
          <w:szCs w:val="20"/>
          <w:color w:val="auto"/>
        </w:rPr>
      </w:pPr>
    </w:p>
    <w:p>
      <w:pPr>
        <w:ind w:left="640" w:right="80"/>
        <w:spacing w:after="0" w:line="238" w:lineRule="auto"/>
        <w:rPr>
          <w:sz w:val="20"/>
          <w:szCs w:val="20"/>
          <w:color w:val="auto"/>
        </w:rPr>
      </w:pPr>
      <w:r>
        <w:rPr>
          <w:rFonts w:ascii="Arial" w:cs="Arial" w:eastAsia="Arial" w:hAnsi="Arial"/>
          <w:sz w:val="21"/>
          <w:szCs w:val="21"/>
          <w:color w:val="auto"/>
        </w:rPr>
        <w:t>While executing these strategic initiatives, we remained focused on the fundamentals that define our Company. We sustained high levels of customer satisfaction, ranking first in the Northeast as “a company you can trust,” and delivering strong performance in electric reliability and gas system safety. We achieved top-quartile electric reliability and ranked among the leading companies in the nation for gas emergency response. Equally important, employee engagement remained strong with 86% of our employees reporting that they are proud to work for our Company, demonstrating the strong commitment and culture that support our consistent operational performance.</w:t>
      </w:r>
    </w:p>
    <w:p>
      <w:pPr>
        <w:spacing w:after="0" w:line="169" w:lineRule="exact"/>
        <w:rPr>
          <w:sz w:val="20"/>
          <w:szCs w:val="20"/>
          <w:color w:val="auto"/>
        </w:rPr>
      </w:pPr>
    </w:p>
    <w:p>
      <w:pPr>
        <w:ind w:left="640" w:right="480"/>
        <w:spacing w:after="0" w:line="243" w:lineRule="auto"/>
        <w:rPr>
          <w:sz w:val="20"/>
          <w:szCs w:val="20"/>
          <w:color w:val="auto"/>
        </w:rPr>
      </w:pPr>
      <w:r>
        <w:rPr>
          <w:rFonts w:ascii="Arial" w:cs="Arial" w:eastAsia="Arial" w:hAnsi="Arial"/>
          <w:sz w:val="21"/>
          <w:szCs w:val="21"/>
          <w:color w:val="auto"/>
        </w:rPr>
        <w:t>As I reflect on the past year, I am proud of how our employees, leadership team, and Board of Directors worked together to execute our strategy with discipline and accountability. We remain committed to transparent and ethical governance, operational excellence, and long-term value creation for our shareholders.</w:t>
      </w:r>
    </w:p>
    <w:p>
      <w:pPr>
        <w:spacing w:after="0" w:line="166" w:lineRule="exact"/>
        <w:rPr>
          <w:sz w:val="20"/>
          <w:szCs w:val="20"/>
          <w:color w:val="auto"/>
        </w:rPr>
      </w:pPr>
    </w:p>
    <w:p>
      <w:pPr>
        <w:ind w:left="640" w:right="40"/>
        <w:spacing w:after="0" w:line="264" w:lineRule="auto"/>
        <w:rPr>
          <w:sz w:val="20"/>
          <w:szCs w:val="20"/>
          <w:color w:val="auto"/>
        </w:rPr>
      </w:pPr>
      <w:r>
        <w:rPr>
          <w:rFonts w:ascii="Arial" w:cs="Arial" w:eastAsia="Arial" w:hAnsi="Arial"/>
          <w:sz w:val="21"/>
          <w:szCs w:val="21"/>
          <w:color w:val="auto"/>
        </w:rPr>
        <w:t>On behalf of the Board of Directors and the entire management team, thank you for your continued trust and support.</w:t>
      </w:r>
    </w:p>
    <w:p>
      <w:pPr>
        <w:spacing w:after="0" w:line="55" w:lineRule="exact"/>
        <w:rPr>
          <w:sz w:val="20"/>
          <w:szCs w:val="20"/>
          <w:color w:val="auto"/>
        </w:rPr>
      </w:pPr>
    </w:p>
    <w:p>
      <w:pPr>
        <w:ind w:left="820" w:hanging="186"/>
        <w:spacing w:after="0"/>
        <w:tabs>
          <w:tab w:leader="none" w:pos="820" w:val="left"/>
        </w:tabs>
        <w:numPr>
          <w:ilvl w:val="0"/>
          <w:numId w:val="11"/>
        </w:numPr>
        <w:rPr>
          <w:rFonts w:ascii="Arial" w:cs="Arial" w:eastAsia="Arial" w:hAnsi="Arial"/>
          <w:sz w:val="21"/>
          <w:szCs w:val="21"/>
          <w:color w:val="auto"/>
        </w:rPr>
      </w:pPr>
      <w:r>
        <w:rPr>
          <w:rFonts w:ascii="Arial" w:cs="Arial" w:eastAsia="Arial" w:hAnsi="Arial"/>
          <w:sz w:val="21"/>
          <w:szCs w:val="21"/>
          <w:i w:val="1"/>
          <w:iCs w:val="1"/>
          <w:color w:val="auto"/>
        </w:rPr>
        <w:t>Thomas P. Meissner, Jr.</w:t>
      </w:r>
    </w:p>
    <w:p>
      <w:pPr>
        <w:spacing w:after="0" w:line="6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163195</wp:posOffset>
            </wp:positionV>
            <wp:extent cx="6337300" cy="825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20"/>
          </w:cols>
          <w:pgMar w:left="320" w:top="470" w:right="9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313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37300" cy="313690"/>
                    </a:xfrm>
                    <a:prstGeom prst="rect">
                      <a:avLst/>
                    </a:prstGeom>
                    <a:noFill/>
                  </pic:spPr>
                </pic:pic>
              </a:graphicData>
            </a:graphic>
          </wp:anchor>
        </w:drawing>
      </w:r>
    </w:p>
    <w:p>
      <w:pPr>
        <w:spacing w:after="0" w:line="348" w:lineRule="exact"/>
        <w:rPr>
          <w:sz w:val="20"/>
          <w:szCs w:val="20"/>
          <w:color w:val="auto"/>
        </w:rPr>
      </w:pPr>
    </w:p>
    <w:p>
      <w:pPr>
        <w:ind w:left="3540"/>
        <w:spacing w:after="0"/>
        <w:rPr>
          <w:sz w:val="20"/>
          <w:szCs w:val="20"/>
          <w:color w:val="auto"/>
        </w:rPr>
      </w:pPr>
      <w:r>
        <w:rPr>
          <w:rFonts w:ascii="Arial" w:cs="Arial" w:eastAsia="Arial" w:hAnsi="Arial"/>
          <w:sz w:val="31"/>
          <w:szCs w:val="31"/>
          <w:b w:val="1"/>
          <w:bCs w:val="1"/>
          <w:color w:val="auto"/>
        </w:rPr>
        <w:t>VISION, MISSION &amp;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64135</wp:posOffset>
            </wp:positionV>
            <wp:extent cx="63373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220980</wp:posOffset>
            </wp:positionV>
            <wp:extent cx="198120" cy="198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8120" cy="198120"/>
                    </a:xfrm>
                    <a:prstGeom prst="rect">
                      <a:avLst/>
                    </a:prstGeom>
                    <a:noFill/>
                  </pic:spPr>
                </pic:pic>
              </a:graphicData>
            </a:graphic>
          </wp:anchor>
        </w:drawing>
        <w:drawing>
          <wp:anchor simplePos="0" relativeHeight="251657728" behindDoc="1" locked="0" layoutInCell="0" allowOverlap="1">
            <wp:simplePos x="0" y="0"/>
            <wp:positionH relativeFrom="column">
              <wp:posOffset>5118100</wp:posOffset>
            </wp:positionH>
            <wp:positionV relativeFrom="paragraph">
              <wp:posOffset>220980</wp:posOffset>
            </wp:positionV>
            <wp:extent cx="206375" cy="1981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6375" cy="19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620" w:type="dxa"/>
        <w:tblCellMar>
          <w:top w:w="0" w:type="dxa"/>
          <w:left w:w="0" w:type="dxa"/>
          <w:bottom w:w="0" w:type="dxa"/>
          <w:right w:w="0" w:type="dxa"/>
        </w:tblCellMar>
      </w:tblPr>
      <w:tr>
        <w:trPr>
          <w:trHeight w:val="381"/>
        </w:trPr>
        <w:tc>
          <w:tcPr>
            <w:tcW w:w="4040" w:type="dxa"/>
            <w:vAlign w:val="bottom"/>
          </w:tcPr>
          <w:p>
            <w:pPr>
              <w:jc w:val="center"/>
              <w:ind w:right="829"/>
              <w:spacing w:after="0"/>
              <w:rPr>
                <w:sz w:val="20"/>
                <w:szCs w:val="20"/>
                <w:color w:val="auto"/>
              </w:rPr>
            </w:pPr>
            <w:r>
              <w:rPr>
                <w:rFonts w:ascii="Arial" w:cs="Arial" w:eastAsia="Arial" w:hAnsi="Arial"/>
                <w:sz w:val="28"/>
                <w:szCs w:val="28"/>
                <w:b w:val="1"/>
                <w:bCs w:val="1"/>
                <w:color w:val="314A72"/>
                <w:w w:val="98"/>
              </w:rPr>
              <w:t>VISION</w:t>
            </w:r>
          </w:p>
        </w:tc>
        <w:tc>
          <w:tcPr>
            <w:tcW w:w="4200" w:type="dxa"/>
            <w:vAlign w:val="bottom"/>
          </w:tcPr>
          <w:p>
            <w:pPr>
              <w:jc w:val="center"/>
              <w:ind w:left="809"/>
              <w:spacing w:after="0"/>
              <w:rPr>
                <w:sz w:val="20"/>
                <w:szCs w:val="20"/>
                <w:color w:val="auto"/>
              </w:rPr>
            </w:pPr>
            <w:r>
              <w:rPr>
                <w:rFonts w:ascii="Arial" w:cs="Arial" w:eastAsia="Arial" w:hAnsi="Arial"/>
                <w:sz w:val="28"/>
                <w:szCs w:val="28"/>
                <w:b w:val="1"/>
                <w:bCs w:val="1"/>
                <w:color w:val="314A72"/>
                <w:w w:val="98"/>
              </w:rPr>
              <w:t>MISSION</w:t>
            </w:r>
          </w:p>
        </w:tc>
      </w:tr>
      <w:tr>
        <w:trPr>
          <w:trHeight w:val="379"/>
        </w:trPr>
        <w:tc>
          <w:tcPr>
            <w:tcW w:w="4040" w:type="dxa"/>
            <w:vAlign w:val="bottom"/>
          </w:tcPr>
          <w:p>
            <w:pPr>
              <w:jc w:val="center"/>
              <w:ind w:right="809"/>
              <w:spacing w:after="0"/>
              <w:rPr>
                <w:sz w:val="20"/>
                <w:szCs w:val="20"/>
                <w:color w:val="auto"/>
              </w:rPr>
            </w:pPr>
            <w:r>
              <w:rPr>
                <w:rFonts w:ascii="Arial" w:cs="Arial" w:eastAsia="Arial" w:hAnsi="Arial"/>
                <w:sz w:val="21"/>
                <w:szCs w:val="21"/>
                <w:color w:val="auto"/>
                <w:w w:val="98"/>
              </w:rPr>
              <w:t>Our vision is to transform the way</w:t>
            </w:r>
          </w:p>
        </w:tc>
        <w:tc>
          <w:tcPr>
            <w:tcW w:w="4200" w:type="dxa"/>
            <w:vAlign w:val="bottom"/>
          </w:tcPr>
          <w:p>
            <w:pPr>
              <w:jc w:val="center"/>
              <w:ind w:left="809"/>
              <w:spacing w:after="0"/>
              <w:rPr>
                <w:sz w:val="20"/>
                <w:szCs w:val="20"/>
                <w:color w:val="auto"/>
              </w:rPr>
            </w:pPr>
            <w:r>
              <w:rPr>
                <w:rFonts w:ascii="Arial" w:cs="Arial" w:eastAsia="Arial" w:hAnsi="Arial"/>
                <w:sz w:val="21"/>
                <w:szCs w:val="21"/>
                <w:color w:val="auto"/>
                <w:w w:val="99"/>
              </w:rPr>
              <w:t>Our mission is to safely and reliably</w:t>
            </w:r>
          </w:p>
        </w:tc>
      </w:tr>
      <w:tr>
        <w:trPr>
          <w:trHeight w:val="234"/>
        </w:trPr>
        <w:tc>
          <w:tcPr>
            <w:tcW w:w="4040" w:type="dxa"/>
            <w:vAlign w:val="bottom"/>
          </w:tcPr>
          <w:p>
            <w:pPr>
              <w:jc w:val="center"/>
              <w:ind w:right="809"/>
              <w:spacing w:after="0" w:line="234" w:lineRule="exact"/>
              <w:rPr>
                <w:sz w:val="20"/>
                <w:szCs w:val="20"/>
                <w:color w:val="auto"/>
              </w:rPr>
            </w:pPr>
            <w:r>
              <w:rPr>
                <w:rFonts w:ascii="Arial" w:cs="Arial" w:eastAsia="Arial" w:hAnsi="Arial"/>
                <w:sz w:val="21"/>
                <w:szCs w:val="21"/>
                <w:color w:val="auto"/>
                <w:w w:val="98"/>
              </w:rPr>
              <w:t>people meet their evolving energy</w:t>
            </w:r>
          </w:p>
        </w:tc>
        <w:tc>
          <w:tcPr>
            <w:tcW w:w="4200" w:type="dxa"/>
            <w:vAlign w:val="bottom"/>
          </w:tcPr>
          <w:p>
            <w:pPr>
              <w:jc w:val="center"/>
              <w:ind w:left="809"/>
              <w:spacing w:after="0" w:line="234" w:lineRule="exact"/>
              <w:rPr>
                <w:sz w:val="20"/>
                <w:szCs w:val="20"/>
                <w:color w:val="auto"/>
              </w:rPr>
            </w:pPr>
            <w:r>
              <w:rPr>
                <w:rFonts w:ascii="Arial" w:cs="Arial" w:eastAsia="Arial" w:hAnsi="Arial"/>
                <w:sz w:val="21"/>
                <w:szCs w:val="21"/>
                <w:color w:val="auto"/>
                <w:w w:val="99"/>
              </w:rPr>
              <w:t>deliver energy for life and provide</w:t>
            </w:r>
          </w:p>
        </w:tc>
      </w:tr>
      <w:tr>
        <w:trPr>
          <w:trHeight w:val="234"/>
        </w:trPr>
        <w:tc>
          <w:tcPr>
            <w:tcW w:w="4040" w:type="dxa"/>
            <w:vAlign w:val="bottom"/>
          </w:tcPr>
          <w:p>
            <w:pPr>
              <w:jc w:val="center"/>
              <w:ind w:right="809"/>
              <w:spacing w:after="0" w:line="234" w:lineRule="exact"/>
              <w:rPr>
                <w:sz w:val="20"/>
                <w:szCs w:val="20"/>
                <w:color w:val="auto"/>
              </w:rPr>
            </w:pPr>
            <w:r>
              <w:rPr>
                <w:rFonts w:ascii="Arial" w:cs="Arial" w:eastAsia="Arial" w:hAnsi="Arial"/>
                <w:sz w:val="21"/>
                <w:szCs w:val="21"/>
                <w:color w:val="auto"/>
                <w:w w:val="98"/>
              </w:rPr>
              <w:t>needs to create a clean</w:t>
            </w:r>
          </w:p>
        </w:tc>
        <w:tc>
          <w:tcPr>
            <w:tcW w:w="4200" w:type="dxa"/>
            <w:vAlign w:val="bottom"/>
          </w:tcPr>
          <w:p>
            <w:pPr>
              <w:jc w:val="center"/>
              <w:ind w:left="809"/>
              <w:spacing w:after="0" w:line="234" w:lineRule="exact"/>
              <w:rPr>
                <w:sz w:val="20"/>
                <w:szCs w:val="20"/>
                <w:color w:val="auto"/>
              </w:rPr>
            </w:pPr>
            <w:r>
              <w:rPr>
                <w:rFonts w:ascii="Arial" w:cs="Arial" w:eastAsia="Arial" w:hAnsi="Arial"/>
                <w:sz w:val="21"/>
                <w:szCs w:val="21"/>
                <w:color w:val="auto"/>
                <w:w w:val="98"/>
              </w:rPr>
              <w:t>our customers with affordable and</w:t>
            </w:r>
          </w:p>
        </w:tc>
      </w:tr>
      <w:tr>
        <w:trPr>
          <w:trHeight w:val="274"/>
        </w:trPr>
        <w:tc>
          <w:tcPr>
            <w:tcW w:w="4040" w:type="dxa"/>
            <w:vAlign w:val="bottom"/>
          </w:tcPr>
          <w:p>
            <w:pPr>
              <w:jc w:val="center"/>
              <w:ind w:right="829"/>
              <w:spacing w:after="0"/>
              <w:rPr>
                <w:sz w:val="20"/>
                <w:szCs w:val="20"/>
                <w:color w:val="auto"/>
              </w:rPr>
            </w:pPr>
            <w:r>
              <w:rPr>
                <w:rFonts w:ascii="Arial" w:cs="Arial" w:eastAsia="Arial" w:hAnsi="Arial"/>
                <w:sz w:val="21"/>
                <w:szCs w:val="21"/>
                <w:color w:val="auto"/>
                <w:w w:val="98"/>
              </w:rPr>
              <w:t>and sustainable future.</w:t>
            </w:r>
          </w:p>
        </w:tc>
        <w:tc>
          <w:tcPr>
            <w:tcW w:w="4200" w:type="dxa"/>
            <w:vAlign w:val="bottom"/>
          </w:tcPr>
          <w:p>
            <w:pPr>
              <w:jc w:val="center"/>
              <w:ind w:left="809"/>
              <w:spacing w:after="0"/>
              <w:rPr>
                <w:sz w:val="20"/>
                <w:szCs w:val="20"/>
                <w:color w:val="auto"/>
              </w:rPr>
            </w:pPr>
            <w:r>
              <w:rPr>
                <w:rFonts w:ascii="Arial" w:cs="Arial" w:eastAsia="Arial" w:hAnsi="Arial"/>
                <w:sz w:val="21"/>
                <w:szCs w:val="21"/>
                <w:color w:val="auto"/>
                <w:w w:val="98"/>
              </w:rPr>
              <w:t>sustainable energy solutions.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156210</wp:posOffset>
            </wp:positionV>
            <wp:extent cx="206375" cy="1981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6375" cy="19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39"/>
        <w:spacing w:after="0"/>
        <w:rPr>
          <w:sz w:val="20"/>
          <w:szCs w:val="20"/>
          <w:color w:val="auto"/>
        </w:rPr>
      </w:pPr>
      <w:r>
        <w:rPr>
          <w:rFonts w:ascii="Arial" w:cs="Arial" w:eastAsia="Arial" w:hAnsi="Arial"/>
          <w:sz w:val="28"/>
          <w:szCs w:val="28"/>
          <w:b w:val="1"/>
          <w:bCs w:val="1"/>
          <w:color w:val="314A72"/>
        </w:rPr>
        <w:t>VALUES</w:t>
      </w:r>
    </w:p>
    <w:p>
      <w:pPr>
        <w:spacing w:after="0" w:line="203" w:lineRule="exact"/>
        <w:rPr>
          <w:sz w:val="20"/>
          <w:szCs w:val="20"/>
          <w:color w:val="auto"/>
        </w:rPr>
      </w:pPr>
    </w:p>
    <w:p>
      <w:pPr>
        <w:jc w:val="center"/>
        <w:ind w:left="940" w:right="20"/>
        <w:spacing w:after="0" w:line="267" w:lineRule="auto"/>
        <w:rPr>
          <w:sz w:val="20"/>
          <w:szCs w:val="20"/>
          <w:color w:val="auto"/>
        </w:rPr>
      </w:pPr>
      <w:r>
        <w:rPr>
          <w:rFonts w:ascii="Arial" w:cs="Arial" w:eastAsia="Arial" w:hAnsi="Arial"/>
          <w:sz w:val="20"/>
          <w:szCs w:val="20"/>
          <w:color w:val="auto"/>
        </w:rPr>
        <w:t xml:space="preserve">Our values are grouped into four important components: </w:t>
      </w:r>
      <w:r>
        <w:rPr>
          <w:rFonts w:ascii="Arial" w:cs="Arial" w:eastAsia="Arial" w:hAnsi="Arial"/>
          <w:sz w:val="20"/>
          <w:szCs w:val="20"/>
          <w:b w:val="1"/>
          <w:bCs w:val="1"/>
          <w:color w:val="auto"/>
        </w:rPr>
        <w:t>Respect, Integrity, Stewardship and Excellence</w:t>
      </w:r>
      <w:r>
        <w:rPr>
          <w:rFonts w:ascii="Arial" w:cs="Arial" w:eastAsia="Arial" w:hAnsi="Arial"/>
          <w:sz w:val="20"/>
          <w:szCs w:val="20"/>
          <w:color w:val="auto"/>
        </w:rPr>
        <w:t>, otherwise known as our “RISE” values. Together, these value categories are key to our corporate responsibilities to our employees, our customers and communities, the environment, and society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131445</wp:posOffset>
            </wp:positionV>
            <wp:extent cx="63373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86"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ACTING ON OUR VALUES</w:t>
      </w:r>
    </w:p>
    <w:p>
      <w:pPr>
        <w:spacing w:after="0" w:line="253" w:lineRule="exact"/>
        <w:rPr>
          <w:sz w:val="20"/>
          <w:szCs w:val="20"/>
          <w:color w:val="auto"/>
        </w:rPr>
      </w:pPr>
    </w:p>
    <w:p>
      <w:pPr>
        <w:ind w:left="640" w:right="220"/>
        <w:spacing w:after="0" w:line="243" w:lineRule="auto"/>
        <w:rPr>
          <w:sz w:val="20"/>
          <w:szCs w:val="20"/>
          <w:color w:val="auto"/>
        </w:rPr>
      </w:pPr>
      <w:r>
        <w:rPr>
          <w:rFonts w:ascii="Arial" w:cs="Arial" w:eastAsia="Arial" w:hAnsi="Arial"/>
          <w:sz w:val="21"/>
          <w:szCs w:val="21"/>
          <w:color w:val="auto"/>
        </w:rPr>
        <w:t>Our RISE values represent the principles that guide our actions, but they are only as effective as they are meaningful and measurable. Continued focus on the importance of these values will drive our commitment to deliver ‘energy for life’ and the achievement of a clean and sustainable energy future for all of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146685</wp:posOffset>
            </wp:positionV>
            <wp:extent cx="6337300" cy="825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20"/>
          </w:cols>
          <w:pgMar w:left="320" w:top="470" w:right="9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313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37300" cy="313690"/>
                    </a:xfrm>
                    <a:prstGeom prst="rect">
                      <a:avLst/>
                    </a:prstGeom>
                    <a:noFill/>
                  </pic:spPr>
                </pic:pic>
              </a:graphicData>
            </a:graphic>
          </wp:anchor>
        </w:drawing>
      </w:r>
    </w:p>
    <w:p>
      <w:pPr>
        <w:spacing w:after="0" w:line="348" w:lineRule="exact"/>
        <w:rPr>
          <w:sz w:val="20"/>
          <w:szCs w:val="20"/>
          <w:color w:val="auto"/>
        </w:rPr>
      </w:pPr>
    </w:p>
    <w:p>
      <w:pPr>
        <w:ind w:left="3120"/>
        <w:spacing w:after="0"/>
        <w:rPr>
          <w:sz w:val="20"/>
          <w:szCs w:val="20"/>
          <w:color w:val="auto"/>
        </w:rPr>
      </w:pPr>
      <w:r>
        <w:rPr>
          <w:rFonts w:ascii="Arial" w:cs="Arial" w:eastAsia="Arial" w:hAnsi="Arial"/>
          <w:sz w:val="31"/>
          <w:szCs w:val="31"/>
          <w:b w:val="1"/>
          <w:bCs w:val="1"/>
          <w:color w:val="auto"/>
        </w:rPr>
        <w:t>DESCRIPTION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64135</wp:posOffset>
            </wp:positionV>
            <wp:extent cx="63373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40" w:right="300"/>
        <w:spacing w:after="0" w:line="264" w:lineRule="auto"/>
        <w:rPr>
          <w:sz w:val="20"/>
          <w:szCs w:val="20"/>
          <w:color w:val="auto"/>
        </w:rPr>
      </w:pPr>
      <w:r>
        <w:rPr>
          <w:rFonts w:ascii="Arial" w:cs="Arial" w:eastAsia="Arial" w:hAnsi="Arial"/>
          <w:sz w:val="21"/>
          <w:szCs w:val="21"/>
          <w:color w:val="auto"/>
        </w:rPr>
        <w:t>The table below shows Executive Officers’ biographical information as of the date of this proxy statement, including the Named Executive Officers.</w:t>
      </w:r>
    </w:p>
    <w:p>
      <w:pPr>
        <w:spacing w:after="0" w:line="347"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MANAGEMENT INFORMATION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203835</wp:posOffset>
            </wp:positionV>
            <wp:extent cx="6337300" cy="56603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37300" cy="5660390"/>
                    </a:xfrm>
                    <a:prstGeom prst="rect">
                      <a:avLst/>
                    </a:prstGeom>
                    <a:noFill/>
                  </pic:spPr>
                </pic:pic>
              </a:graphicData>
            </a:graphic>
          </wp:anchor>
        </w:drawing>
      </w:r>
    </w:p>
    <w:p>
      <w:pPr>
        <w:spacing w:after="0" w:line="281" w:lineRule="exact"/>
        <w:rPr>
          <w:sz w:val="20"/>
          <w:szCs w:val="20"/>
          <w:color w:val="auto"/>
        </w:rPr>
      </w:pPr>
    </w:p>
    <w:tbl>
      <w:tblPr>
        <w:tblLayout w:type="fixed"/>
        <w:tblInd w:w="640" w:type="dxa"/>
        <w:tblCellMar>
          <w:top w:w="0" w:type="dxa"/>
          <w:left w:w="0" w:type="dxa"/>
          <w:bottom w:w="0" w:type="dxa"/>
          <w:right w:w="0" w:type="dxa"/>
        </w:tblCellMar>
      </w:tblPr>
      <w:tr>
        <w:trPr>
          <w:trHeight w:val="197"/>
        </w:trPr>
        <w:tc>
          <w:tcPr>
            <w:tcW w:w="2920" w:type="dxa"/>
            <w:vAlign w:val="bottom"/>
            <w:tcBorders>
              <w:top w:val="single" w:sz="8" w:color="auto"/>
            </w:tcBorders>
            <w:vMerge w:val="restart"/>
            <w:shd w:val="clear" w:color="auto" w:fill="314A72"/>
          </w:tcPr>
          <w:p>
            <w:pPr>
              <w:ind w:left="160"/>
              <w:spacing w:after="0"/>
              <w:rPr>
                <w:sz w:val="20"/>
                <w:szCs w:val="20"/>
                <w:color w:val="auto"/>
              </w:rPr>
            </w:pPr>
            <w:r>
              <w:rPr>
                <w:rFonts w:ascii="Arial" w:cs="Arial" w:eastAsia="Arial" w:hAnsi="Arial"/>
                <w:sz w:val="19"/>
                <w:szCs w:val="19"/>
                <w:b w:val="1"/>
                <w:bCs w:val="1"/>
                <w:color w:val="FFFFFF"/>
              </w:rPr>
              <w:t>Name and Principal Position</w:t>
            </w:r>
          </w:p>
        </w:tc>
        <w:tc>
          <w:tcPr>
            <w:tcW w:w="800" w:type="dxa"/>
            <w:vAlign w:val="bottom"/>
            <w:tcBorders>
              <w:top w:val="single" w:sz="8" w:color="auto"/>
            </w:tcBorders>
            <w:shd w:val="clear" w:color="auto" w:fill="314A72"/>
          </w:tcPr>
          <w:p>
            <w:pPr>
              <w:jc w:val="center"/>
              <w:ind w:left="9"/>
              <w:spacing w:after="0" w:line="197" w:lineRule="exact"/>
              <w:rPr>
                <w:sz w:val="20"/>
                <w:szCs w:val="20"/>
                <w:color w:val="auto"/>
              </w:rPr>
            </w:pPr>
            <w:r>
              <w:rPr>
                <w:rFonts w:ascii="Arial" w:cs="Arial" w:eastAsia="Arial" w:hAnsi="Arial"/>
                <w:sz w:val="19"/>
                <w:szCs w:val="19"/>
                <w:b w:val="1"/>
                <w:bCs w:val="1"/>
                <w:color w:val="FFFFFF"/>
              </w:rPr>
              <w:t xml:space="preserve">   </w:t>
            </w:r>
          </w:p>
        </w:tc>
        <w:tc>
          <w:tcPr>
            <w:tcW w:w="6260" w:type="dxa"/>
            <w:vAlign w:val="bottom"/>
            <w:tcBorders>
              <w:top w:val="single" w:sz="8" w:color="auto"/>
            </w:tcBorders>
            <w:vMerge w:val="restart"/>
            <w:shd w:val="clear" w:color="auto" w:fill="314A72"/>
          </w:tcPr>
          <w:p>
            <w:pPr>
              <w:ind w:left="140"/>
              <w:spacing w:after="0"/>
              <w:rPr>
                <w:sz w:val="20"/>
                <w:szCs w:val="20"/>
                <w:color w:val="auto"/>
              </w:rPr>
            </w:pPr>
            <w:r>
              <w:rPr>
                <w:rFonts w:ascii="Arial" w:cs="Arial" w:eastAsia="Arial" w:hAnsi="Arial"/>
                <w:sz w:val="19"/>
                <w:szCs w:val="19"/>
                <w:b w:val="1"/>
                <w:bCs w:val="1"/>
                <w:color w:val="FFFFFF"/>
              </w:rPr>
              <w:t>Description</w:t>
            </w:r>
          </w:p>
        </w:tc>
        <w:tc>
          <w:tcPr>
            <w:tcW w:w="0" w:type="dxa"/>
            <w:vAlign w:val="bottom"/>
          </w:tcPr>
          <w:p>
            <w:pPr>
              <w:spacing w:after="0"/>
              <w:rPr>
                <w:sz w:val="1"/>
                <w:szCs w:val="1"/>
                <w:color w:val="auto"/>
              </w:rPr>
            </w:pPr>
          </w:p>
        </w:tc>
      </w:tr>
      <w:tr>
        <w:trPr>
          <w:trHeight w:val="322"/>
        </w:trPr>
        <w:tc>
          <w:tcPr>
            <w:tcW w:w="2920" w:type="dxa"/>
            <w:vAlign w:val="bottom"/>
            <w:tcBorders>
              <w:bottom w:val="single" w:sz="8" w:color="314A72"/>
            </w:tcBorders>
            <w:vMerge w:val="continue"/>
            <w:shd w:val="clear" w:color="auto" w:fill="314A72"/>
          </w:tcPr>
          <w:p>
            <w:pPr>
              <w:spacing w:after="0"/>
              <w:rPr>
                <w:sz w:val="24"/>
                <w:szCs w:val="24"/>
                <w:color w:val="auto"/>
              </w:rPr>
            </w:pPr>
          </w:p>
        </w:tc>
        <w:tc>
          <w:tcPr>
            <w:tcW w:w="800" w:type="dxa"/>
            <w:vAlign w:val="bottom"/>
            <w:tcBorders>
              <w:bottom w:val="single" w:sz="8" w:color="314A72"/>
            </w:tcBorders>
            <w:shd w:val="clear" w:color="auto" w:fill="314A72"/>
          </w:tcPr>
          <w:p>
            <w:pPr>
              <w:ind w:left="200"/>
              <w:spacing w:after="0"/>
              <w:rPr>
                <w:sz w:val="20"/>
                <w:szCs w:val="20"/>
                <w:color w:val="auto"/>
              </w:rPr>
            </w:pPr>
            <w:r>
              <w:rPr>
                <w:rFonts w:ascii="Arial" w:cs="Arial" w:eastAsia="Arial" w:hAnsi="Arial"/>
                <w:sz w:val="19"/>
                <w:szCs w:val="19"/>
                <w:b w:val="1"/>
                <w:bCs w:val="1"/>
                <w:color w:val="FFFFFF"/>
              </w:rPr>
              <w:t>Age  </w:t>
            </w:r>
          </w:p>
        </w:tc>
        <w:tc>
          <w:tcPr>
            <w:tcW w:w="6260" w:type="dxa"/>
            <w:vAlign w:val="bottom"/>
            <w:tcBorders>
              <w:bottom w:val="single" w:sz="8" w:color="314A72"/>
            </w:tcBorders>
            <w:vMerge w:val="continue"/>
            <w:shd w:val="clear" w:color="auto" w:fill="314A72"/>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920" w:type="dxa"/>
            <w:vAlign w:val="bottom"/>
            <w:tcBorders>
              <w:top w:val="single" w:sz="8" w:color="auto"/>
            </w:tcBorders>
          </w:tcPr>
          <w:p>
            <w:pPr>
              <w:ind w:left="140"/>
              <w:spacing w:after="0" w:line="185" w:lineRule="exact"/>
              <w:rPr>
                <w:sz w:val="20"/>
                <w:szCs w:val="20"/>
                <w:color w:val="auto"/>
              </w:rPr>
            </w:pPr>
            <w:r>
              <w:rPr>
                <w:rFonts w:ascii="Arial" w:cs="Arial" w:eastAsia="Arial" w:hAnsi="Arial"/>
                <w:sz w:val="17"/>
                <w:szCs w:val="17"/>
                <w:b w:val="1"/>
                <w:bCs w:val="1"/>
                <w:color w:val="auto"/>
              </w:rPr>
              <w:t>Thomas P. Meissner, Jr.</w:t>
            </w:r>
          </w:p>
        </w:tc>
        <w:tc>
          <w:tcPr>
            <w:tcW w:w="800" w:type="dxa"/>
            <w:vAlign w:val="bottom"/>
            <w:tcBorders>
              <w:top w:val="single" w:sz="8" w:color="auto"/>
            </w:tcBorders>
            <w:vMerge w:val="restart"/>
          </w:tcPr>
          <w:p>
            <w:pPr>
              <w:jc w:val="center"/>
              <w:ind w:left="9"/>
              <w:spacing w:after="0"/>
              <w:rPr>
                <w:sz w:val="20"/>
                <w:szCs w:val="20"/>
                <w:color w:val="auto"/>
              </w:rPr>
            </w:pPr>
            <w:r>
              <w:rPr>
                <w:rFonts w:ascii="Arial" w:cs="Arial" w:eastAsia="Arial" w:hAnsi="Arial"/>
                <w:sz w:val="17"/>
                <w:szCs w:val="17"/>
                <w:color w:val="auto"/>
              </w:rPr>
              <w:t xml:space="preserve">   63   </w:t>
            </w:r>
          </w:p>
        </w:tc>
        <w:tc>
          <w:tcPr>
            <w:tcW w:w="6260" w:type="dxa"/>
            <w:vAlign w:val="bottom"/>
            <w:tcBorders>
              <w:top w:val="single" w:sz="8" w:color="auto"/>
            </w:tcBorders>
            <w:vMerge w:val="restart"/>
          </w:tcPr>
          <w:p>
            <w:pPr>
              <w:ind w:left="140"/>
              <w:spacing w:after="0"/>
              <w:rPr>
                <w:sz w:val="20"/>
                <w:szCs w:val="20"/>
                <w:color w:val="auto"/>
              </w:rPr>
            </w:pPr>
            <w:r>
              <w:rPr>
                <w:rFonts w:ascii="Arial" w:cs="Arial" w:eastAsia="Arial" w:hAnsi="Arial"/>
                <w:sz w:val="17"/>
                <w:szCs w:val="17"/>
                <w:color w:val="auto"/>
              </w:rPr>
              <w:t>Mr. Meissner has been Unitil’s chairman of the Board and chief executive officer</w:t>
            </w:r>
          </w:p>
        </w:tc>
        <w:tc>
          <w:tcPr>
            <w:tcW w:w="0" w:type="dxa"/>
            <w:vAlign w:val="bottom"/>
          </w:tcPr>
          <w:p>
            <w:pPr>
              <w:spacing w:after="0"/>
              <w:rPr>
                <w:sz w:val="1"/>
                <w:szCs w:val="1"/>
                <w:color w:val="auto"/>
              </w:rPr>
            </w:pPr>
          </w:p>
        </w:tc>
      </w:tr>
      <w:tr>
        <w:trPr>
          <w:trHeight w:val="78"/>
        </w:trPr>
        <w:tc>
          <w:tcPr>
            <w:tcW w:w="2920" w:type="dxa"/>
            <w:vAlign w:val="bottom"/>
            <w:vMerge w:val="restart"/>
          </w:tcPr>
          <w:p>
            <w:pPr>
              <w:ind w:left="140"/>
              <w:spacing w:after="0"/>
              <w:rPr>
                <w:sz w:val="20"/>
                <w:szCs w:val="20"/>
                <w:color w:val="auto"/>
              </w:rPr>
            </w:pPr>
            <w:r>
              <w:rPr>
                <w:rFonts w:ascii="Arial" w:cs="Arial" w:eastAsia="Arial" w:hAnsi="Arial"/>
                <w:sz w:val="17"/>
                <w:szCs w:val="17"/>
                <w:color w:val="auto"/>
              </w:rPr>
              <w:t>Chairman of the Board &amp; Chief</w:t>
            </w:r>
          </w:p>
        </w:tc>
        <w:tc>
          <w:tcPr>
            <w:tcW w:w="800" w:type="dxa"/>
            <w:vAlign w:val="bottom"/>
            <w:vMerge w:val="continue"/>
          </w:tcPr>
          <w:p>
            <w:pPr>
              <w:spacing w:after="0"/>
              <w:rPr>
                <w:sz w:val="6"/>
                <w:szCs w:val="6"/>
                <w:color w:val="auto"/>
              </w:rPr>
            </w:pPr>
          </w:p>
        </w:tc>
        <w:tc>
          <w:tcPr>
            <w:tcW w:w="6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9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6260" w:type="dxa"/>
            <w:vAlign w:val="bottom"/>
            <w:vMerge w:val="restart"/>
          </w:tcPr>
          <w:p>
            <w:pPr>
              <w:ind w:left="140"/>
              <w:spacing w:after="0"/>
              <w:rPr>
                <w:sz w:val="20"/>
                <w:szCs w:val="20"/>
                <w:color w:val="auto"/>
              </w:rPr>
            </w:pPr>
            <w:r>
              <w:rPr>
                <w:rFonts w:ascii="Arial" w:cs="Arial" w:eastAsia="Arial" w:hAnsi="Arial"/>
                <w:sz w:val="17"/>
                <w:szCs w:val="17"/>
                <w:color w:val="auto"/>
              </w:rPr>
              <w:t>since April 2018. Mr. Meissner also held the position of president of the</w:t>
            </w:r>
          </w:p>
        </w:tc>
        <w:tc>
          <w:tcPr>
            <w:tcW w:w="0" w:type="dxa"/>
            <w:vAlign w:val="bottom"/>
          </w:tcPr>
          <w:p>
            <w:pPr>
              <w:spacing w:after="0"/>
              <w:rPr>
                <w:sz w:val="1"/>
                <w:szCs w:val="1"/>
                <w:color w:val="auto"/>
              </w:rPr>
            </w:pPr>
          </w:p>
        </w:tc>
      </w:tr>
      <w:tr>
        <w:trPr>
          <w:trHeight w:val="78"/>
        </w:trPr>
        <w:tc>
          <w:tcPr>
            <w:tcW w:w="2920" w:type="dxa"/>
            <w:vAlign w:val="bottom"/>
            <w:vMerge w:val="restart"/>
          </w:tcPr>
          <w:p>
            <w:pPr>
              <w:ind w:left="140"/>
              <w:spacing w:after="0"/>
              <w:rPr>
                <w:sz w:val="20"/>
                <w:szCs w:val="20"/>
                <w:color w:val="auto"/>
              </w:rPr>
            </w:pPr>
            <w:r>
              <w:rPr>
                <w:rFonts w:ascii="Arial" w:cs="Arial" w:eastAsia="Arial" w:hAnsi="Arial"/>
                <w:sz w:val="17"/>
                <w:szCs w:val="17"/>
                <w:color w:val="auto"/>
              </w:rPr>
              <w:t>Executive Officer</w:t>
            </w:r>
          </w:p>
        </w:tc>
        <w:tc>
          <w:tcPr>
            <w:tcW w:w="800" w:type="dxa"/>
            <w:vAlign w:val="bottom"/>
          </w:tcPr>
          <w:p>
            <w:pPr>
              <w:spacing w:after="0"/>
              <w:rPr>
                <w:sz w:val="6"/>
                <w:szCs w:val="6"/>
                <w:color w:val="auto"/>
              </w:rPr>
            </w:pPr>
          </w:p>
        </w:tc>
        <w:tc>
          <w:tcPr>
            <w:tcW w:w="6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9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6260" w:type="dxa"/>
            <w:vAlign w:val="bottom"/>
            <w:vMerge w:val="restart"/>
          </w:tcPr>
          <w:p>
            <w:pPr>
              <w:ind w:left="140"/>
              <w:spacing w:after="0"/>
              <w:rPr>
                <w:sz w:val="20"/>
                <w:szCs w:val="20"/>
                <w:color w:val="auto"/>
              </w:rPr>
            </w:pPr>
            <w:r>
              <w:rPr>
                <w:rFonts w:ascii="Arial" w:cs="Arial" w:eastAsia="Arial" w:hAnsi="Arial"/>
                <w:sz w:val="17"/>
                <w:szCs w:val="17"/>
                <w:color w:val="auto"/>
              </w:rPr>
              <w:t>Company from April 2018 until May 2023. Mr. Meissner served as Unitil’s senior</w:t>
            </w:r>
          </w:p>
        </w:tc>
        <w:tc>
          <w:tcPr>
            <w:tcW w:w="0" w:type="dxa"/>
            <w:vAlign w:val="bottom"/>
          </w:tcPr>
          <w:p>
            <w:pPr>
              <w:spacing w:after="0"/>
              <w:rPr>
                <w:sz w:val="1"/>
                <w:szCs w:val="1"/>
                <w:color w:val="auto"/>
              </w:rPr>
            </w:pPr>
          </w:p>
        </w:tc>
      </w:tr>
      <w:tr>
        <w:trPr>
          <w:trHeight w:val="44"/>
        </w:trPr>
        <w:tc>
          <w:tcPr>
            <w:tcW w:w="2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vice president and chief operating officer from June 2005 until April 2018, and</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as senior vice president, operations, from February 2003 through June 2005.</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Mr. Meissner joined Unitil in 1994 and served as director of engineering from</w:t>
            </w:r>
          </w:p>
        </w:tc>
        <w:tc>
          <w:tcPr>
            <w:tcW w:w="0" w:type="dxa"/>
            <w:vAlign w:val="bottom"/>
          </w:tcPr>
          <w:p>
            <w:pPr>
              <w:spacing w:after="0"/>
              <w:rPr>
                <w:sz w:val="1"/>
                <w:szCs w:val="1"/>
                <w:color w:val="auto"/>
              </w:rPr>
            </w:pPr>
          </w:p>
        </w:tc>
      </w:tr>
      <w:tr>
        <w:trPr>
          <w:trHeight w:val="229"/>
        </w:trPr>
        <w:tc>
          <w:tcPr>
            <w:tcW w:w="2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1998 to 2003.</w:t>
            </w:r>
          </w:p>
        </w:tc>
        <w:tc>
          <w:tcPr>
            <w:tcW w:w="0" w:type="dxa"/>
            <w:vAlign w:val="bottom"/>
          </w:tcPr>
          <w:p>
            <w:pPr>
              <w:spacing w:after="0"/>
              <w:rPr>
                <w:sz w:val="1"/>
                <w:szCs w:val="1"/>
                <w:color w:val="auto"/>
              </w:rPr>
            </w:pPr>
          </w:p>
        </w:tc>
      </w:tr>
      <w:tr>
        <w:trPr>
          <w:trHeight w:val="74"/>
        </w:trPr>
        <w:tc>
          <w:tcPr>
            <w:tcW w:w="29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920" w:type="dxa"/>
            <w:vAlign w:val="bottom"/>
          </w:tcPr>
          <w:p>
            <w:pPr>
              <w:ind w:left="140"/>
              <w:spacing w:after="0" w:line="185" w:lineRule="exact"/>
              <w:rPr>
                <w:sz w:val="20"/>
                <w:szCs w:val="20"/>
                <w:color w:val="auto"/>
              </w:rPr>
            </w:pPr>
            <w:r>
              <w:rPr>
                <w:rFonts w:ascii="Arial" w:cs="Arial" w:eastAsia="Arial" w:hAnsi="Arial"/>
                <w:sz w:val="17"/>
                <w:szCs w:val="17"/>
                <w:b w:val="1"/>
                <w:bCs w:val="1"/>
                <w:color w:val="auto"/>
              </w:rPr>
              <w:t>Robert B. Hevert</w:t>
            </w:r>
          </w:p>
        </w:tc>
        <w:tc>
          <w:tcPr>
            <w:tcW w:w="800" w:type="dxa"/>
            <w:vAlign w:val="bottom"/>
            <w:vMerge w:val="restart"/>
          </w:tcPr>
          <w:p>
            <w:pPr>
              <w:jc w:val="center"/>
              <w:ind w:left="9"/>
              <w:spacing w:after="0"/>
              <w:rPr>
                <w:sz w:val="20"/>
                <w:szCs w:val="20"/>
                <w:color w:val="auto"/>
              </w:rPr>
            </w:pPr>
            <w:r>
              <w:rPr>
                <w:rFonts w:ascii="Arial" w:cs="Arial" w:eastAsia="Arial" w:hAnsi="Arial"/>
                <w:sz w:val="17"/>
                <w:szCs w:val="17"/>
                <w:color w:val="auto"/>
              </w:rPr>
              <w:t xml:space="preserve">   65   </w:t>
            </w:r>
          </w:p>
        </w:tc>
        <w:tc>
          <w:tcPr>
            <w:tcW w:w="6260" w:type="dxa"/>
            <w:vAlign w:val="bottom"/>
            <w:vMerge w:val="restart"/>
          </w:tcPr>
          <w:p>
            <w:pPr>
              <w:ind w:left="140"/>
              <w:spacing w:after="0"/>
              <w:rPr>
                <w:sz w:val="20"/>
                <w:szCs w:val="20"/>
                <w:color w:val="auto"/>
              </w:rPr>
            </w:pPr>
            <w:r>
              <w:rPr>
                <w:rFonts w:ascii="Arial" w:cs="Arial" w:eastAsia="Arial" w:hAnsi="Arial"/>
                <w:sz w:val="17"/>
                <w:szCs w:val="17"/>
                <w:color w:val="auto"/>
              </w:rPr>
              <w:t>Mr. Hevert has been Unitil’s president and chief administrative officer since May</w:t>
            </w:r>
          </w:p>
        </w:tc>
        <w:tc>
          <w:tcPr>
            <w:tcW w:w="0" w:type="dxa"/>
            <w:vAlign w:val="bottom"/>
          </w:tcPr>
          <w:p>
            <w:pPr>
              <w:spacing w:after="0"/>
              <w:rPr>
                <w:sz w:val="1"/>
                <w:szCs w:val="1"/>
                <w:color w:val="auto"/>
              </w:rPr>
            </w:pPr>
          </w:p>
        </w:tc>
      </w:tr>
      <w:tr>
        <w:trPr>
          <w:trHeight w:val="78"/>
        </w:trPr>
        <w:tc>
          <w:tcPr>
            <w:tcW w:w="2920" w:type="dxa"/>
            <w:vAlign w:val="bottom"/>
            <w:vMerge w:val="restart"/>
          </w:tcPr>
          <w:p>
            <w:pPr>
              <w:ind w:left="140"/>
              <w:spacing w:after="0"/>
              <w:rPr>
                <w:sz w:val="20"/>
                <w:szCs w:val="20"/>
                <w:color w:val="auto"/>
              </w:rPr>
            </w:pPr>
            <w:r>
              <w:rPr>
                <w:rFonts w:ascii="Arial" w:cs="Arial" w:eastAsia="Arial" w:hAnsi="Arial"/>
                <w:sz w:val="17"/>
                <w:szCs w:val="17"/>
                <w:color w:val="auto"/>
              </w:rPr>
              <w:t>President &amp; Chief Administrative</w:t>
            </w:r>
          </w:p>
        </w:tc>
        <w:tc>
          <w:tcPr>
            <w:tcW w:w="800" w:type="dxa"/>
            <w:vAlign w:val="bottom"/>
            <w:vMerge w:val="continue"/>
          </w:tcPr>
          <w:p>
            <w:pPr>
              <w:spacing w:after="0"/>
              <w:rPr>
                <w:sz w:val="6"/>
                <w:szCs w:val="6"/>
                <w:color w:val="auto"/>
              </w:rPr>
            </w:pPr>
          </w:p>
        </w:tc>
        <w:tc>
          <w:tcPr>
            <w:tcW w:w="6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9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6260" w:type="dxa"/>
            <w:vAlign w:val="bottom"/>
            <w:vMerge w:val="restart"/>
          </w:tcPr>
          <w:p>
            <w:pPr>
              <w:ind w:left="140"/>
              <w:spacing w:after="0"/>
              <w:rPr>
                <w:sz w:val="20"/>
                <w:szCs w:val="20"/>
                <w:color w:val="auto"/>
              </w:rPr>
            </w:pPr>
            <w:r>
              <w:rPr>
                <w:rFonts w:ascii="Arial" w:cs="Arial" w:eastAsia="Arial" w:hAnsi="Arial"/>
                <w:sz w:val="17"/>
                <w:szCs w:val="17"/>
                <w:color w:val="auto"/>
              </w:rPr>
              <w:t>2023. Mr. Hevert previously served as senior vice president, chief financial</w:t>
            </w:r>
          </w:p>
        </w:tc>
        <w:tc>
          <w:tcPr>
            <w:tcW w:w="0" w:type="dxa"/>
            <w:vAlign w:val="bottom"/>
          </w:tcPr>
          <w:p>
            <w:pPr>
              <w:spacing w:after="0"/>
              <w:rPr>
                <w:sz w:val="1"/>
                <w:szCs w:val="1"/>
                <w:color w:val="auto"/>
              </w:rPr>
            </w:pPr>
          </w:p>
        </w:tc>
      </w:tr>
      <w:tr>
        <w:trPr>
          <w:trHeight w:val="78"/>
        </w:trPr>
        <w:tc>
          <w:tcPr>
            <w:tcW w:w="2920" w:type="dxa"/>
            <w:vAlign w:val="bottom"/>
            <w:vMerge w:val="restart"/>
          </w:tcPr>
          <w:p>
            <w:pPr>
              <w:ind w:left="140"/>
              <w:spacing w:after="0"/>
              <w:rPr>
                <w:sz w:val="20"/>
                <w:szCs w:val="20"/>
                <w:color w:val="auto"/>
              </w:rPr>
            </w:pPr>
            <w:r>
              <w:rPr>
                <w:rFonts w:ascii="Arial" w:cs="Arial" w:eastAsia="Arial" w:hAnsi="Arial"/>
                <w:sz w:val="17"/>
                <w:szCs w:val="17"/>
                <w:color w:val="auto"/>
              </w:rPr>
              <w:t>Officer</w:t>
            </w:r>
          </w:p>
        </w:tc>
        <w:tc>
          <w:tcPr>
            <w:tcW w:w="800" w:type="dxa"/>
            <w:vAlign w:val="bottom"/>
          </w:tcPr>
          <w:p>
            <w:pPr>
              <w:spacing w:after="0"/>
              <w:rPr>
                <w:sz w:val="6"/>
                <w:szCs w:val="6"/>
                <w:color w:val="auto"/>
              </w:rPr>
            </w:pPr>
          </w:p>
        </w:tc>
        <w:tc>
          <w:tcPr>
            <w:tcW w:w="6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9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6260" w:type="dxa"/>
            <w:vAlign w:val="bottom"/>
            <w:vMerge w:val="restart"/>
          </w:tcPr>
          <w:p>
            <w:pPr>
              <w:ind w:left="140"/>
              <w:spacing w:after="0"/>
              <w:rPr>
                <w:sz w:val="20"/>
                <w:szCs w:val="20"/>
                <w:color w:val="auto"/>
              </w:rPr>
            </w:pPr>
            <w:r>
              <w:rPr>
                <w:rFonts w:ascii="Arial" w:cs="Arial" w:eastAsia="Arial" w:hAnsi="Arial"/>
                <w:sz w:val="17"/>
                <w:szCs w:val="17"/>
                <w:color w:val="auto"/>
              </w:rPr>
              <w:t>officer and treasurer from July 2020 until May 2023. Prior to joining Unitil,</w:t>
            </w:r>
          </w:p>
        </w:tc>
        <w:tc>
          <w:tcPr>
            <w:tcW w:w="0" w:type="dxa"/>
            <w:vAlign w:val="bottom"/>
          </w:tcPr>
          <w:p>
            <w:pPr>
              <w:spacing w:after="0"/>
              <w:rPr>
                <w:sz w:val="1"/>
                <w:szCs w:val="1"/>
                <w:color w:val="auto"/>
              </w:rPr>
            </w:pPr>
          </w:p>
        </w:tc>
      </w:tr>
      <w:tr>
        <w:trPr>
          <w:trHeight w:val="44"/>
        </w:trPr>
        <w:tc>
          <w:tcPr>
            <w:tcW w:w="2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Mr. Hevert most recently served as partner and practice area leader of rates,</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regulation and planning at ScottMadden, Inc. (“ScottMadden”) where he</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practiced since June 2016. Prior to ScottMadden, Mr. Hevert was founder and</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managing partner of Sussex Economic Advisors, LLC from 2012 until it was</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acquired by ScottMadden in June 2016, and also president of Concentric</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Energy Advisors, Inc. from 2002 until 2012. Mr. Hevert also served in several</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senior consulting and management positions prior to 2002. Mr. Hevert is a</w:t>
            </w:r>
          </w:p>
        </w:tc>
        <w:tc>
          <w:tcPr>
            <w:tcW w:w="0" w:type="dxa"/>
            <w:vAlign w:val="bottom"/>
          </w:tcPr>
          <w:p>
            <w:pPr>
              <w:spacing w:after="0"/>
              <w:rPr>
                <w:sz w:val="1"/>
                <w:szCs w:val="1"/>
                <w:color w:val="auto"/>
              </w:rPr>
            </w:pPr>
          </w:p>
        </w:tc>
      </w:tr>
      <w:tr>
        <w:trPr>
          <w:trHeight w:val="328"/>
        </w:trPr>
        <w:tc>
          <w:tcPr>
            <w:tcW w:w="2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Arial" w:cs="Arial" w:eastAsia="Arial" w:hAnsi="Arial"/>
                <w:sz w:val="17"/>
                <w:szCs w:val="17"/>
                <w:color w:val="auto"/>
              </w:rPr>
              <w:t>CFA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Charterholder.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620"/>
          </w:cols>
          <w:pgMar w:left="320" w:top="470" w:right="959" w:bottom="1440" w:gutter="0" w:footer="0" w:header="0"/>
        </w:sectPr>
      </w:pPr>
    </w:p>
    <w:p>
      <w:pPr>
        <w:ind w:left="780"/>
        <w:spacing w:after="0"/>
        <w:rPr>
          <w:sz w:val="20"/>
          <w:szCs w:val="20"/>
          <w:color w:val="auto"/>
        </w:rPr>
      </w:pPr>
      <w:r>
        <w:rPr>
          <w:rFonts w:ascii="Arial" w:cs="Arial" w:eastAsia="Arial" w:hAnsi="Arial"/>
          <w:sz w:val="17"/>
          <w:szCs w:val="17"/>
          <w:b w:val="1"/>
          <w:bCs w:val="1"/>
          <w:color w:val="auto"/>
        </w:rPr>
        <w:t>Daniel J. Hurstak</w:t>
      </w:r>
    </w:p>
    <w:p>
      <w:pPr>
        <w:ind w:left="780"/>
        <w:spacing w:after="0"/>
        <w:rPr>
          <w:sz w:val="20"/>
          <w:szCs w:val="20"/>
          <w:color w:val="auto"/>
        </w:rPr>
      </w:pPr>
      <w:r>
        <w:rPr>
          <w:rFonts w:ascii="Arial" w:cs="Arial" w:eastAsia="Arial" w:hAnsi="Arial"/>
          <w:sz w:val="17"/>
          <w:szCs w:val="17"/>
          <w:color w:val="auto"/>
        </w:rPr>
        <w:t>Senior Vice President,</w:t>
      </w:r>
    </w:p>
    <w:p>
      <w:pPr>
        <w:ind w:left="780"/>
        <w:spacing w:after="0"/>
        <w:rPr>
          <w:sz w:val="20"/>
          <w:szCs w:val="20"/>
          <w:color w:val="auto"/>
        </w:rPr>
      </w:pPr>
      <w:r>
        <w:rPr>
          <w:rFonts w:ascii="Arial" w:cs="Arial" w:eastAsia="Arial" w:hAnsi="Arial"/>
          <w:sz w:val="17"/>
          <w:szCs w:val="17"/>
          <w:color w:val="auto"/>
        </w:rPr>
        <w:t>Chief Financial Officer &amp;</w:t>
      </w:r>
    </w:p>
    <w:p>
      <w:pPr>
        <w:ind w:left="780"/>
        <w:spacing w:after="0"/>
        <w:rPr>
          <w:sz w:val="20"/>
          <w:szCs w:val="20"/>
          <w:color w:val="auto"/>
        </w:rPr>
      </w:pPr>
      <w:r>
        <w:rPr>
          <w:rFonts w:ascii="Arial" w:cs="Arial" w:eastAsia="Arial" w:hAnsi="Arial"/>
          <w:sz w:val="17"/>
          <w:szCs w:val="17"/>
          <w:color w:val="auto"/>
        </w:rPr>
        <w:t>Treasurer</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18" w:right="260" w:hanging="718"/>
        <w:spacing w:after="0" w:line="244" w:lineRule="auto"/>
        <w:tabs>
          <w:tab w:leader="none" w:pos="93" w:val="left"/>
        </w:tabs>
        <w:numPr>
          <w:ilvl w:val="0"/>
          <w:numId w:val="12"/>
        </w:numPr>
        <w:rPr>
          <w:rFonts w:ascii="Arial" w:cs="Arial" w:eastAsia="Arial" w:hAnsi="Arial"/>
          <w:sz w:val="17"/>
          <w:szCs w:val="17"/>
          <w:color w:val="auto"/>
        </w:rPr>
      </w:pPr>
      <w:r>
        <w:rPr>
          <w:rFonts w:ascii="Arial" w:cs="Arial" w:eastAsia="Arial" w:hAnsi="Arial"/>
          <w:sz w:val="17"/>
          <w:szCs w:val="17"/>
          <w:color w:val="auto"/>
        </w:rPr>
        <w:t> 45    Mr. Hurstak has been Unitil’s senior vice president, chief financial officer and treasurer since May 2023. Mr. Hurstak previously served as chief accounting officer and controller from March 2020 until May 2023. Prior to joining Unitil, Mr. Hurstak served as vice president, corporate accounting, at Fidelity Investments (“Fidelity”) from June 2016 until February 2020. Prior to Fidelity, Mr. Hurstak was a senior manager at PricewaterhouseCoopers LLP (“PwC”) from September 2009 until May 2016, and also began his career at PwC in September 2001. Mr. Hurstak is a Certified Public Accountant in the Commonwealth of Massachusetts.</w:t>
      </w:r>
    </w:p>
    <w:p>
      <w:pPr>
        <w:spacing w:after="0" w:line="81" w:lineRule="exact"/>
        <w:rPr>
          <w:sz w:val="20"/>
          <w:szCs w:val="20"/>
          <w:color w:val="auto"/>
        </w:rPr>
      </w:pPr>
    </w:p>
    <w:p>
      <w:pPr>
        <w:sectPr>
          <w:pgSz w:w="11900" w:h="16838" w:orient="portrait"/>
          <w:cols w:equalWidth="0" w:num="2">
            <w:col w:w="3062" w:space="720"/>
            <w:col w:w="6838"/>
          </w:cols>
          <w:pgMar w:left="320" w:top="470" w:right="959" w:bottom="1440" w:gutter="0" w:footer="0" w:header="0"/>
          <w:type w:val="continuous"/>
        </w:sectPr>
      </w:pPr>
    </w:p>
    <w:tbl>
      <w:tblPr>
        <w:tblLayout w:type="fixed"/>
        <w:tblInd w:w="640" w:type="dxa"/>
        <w:tblCellMar>
          <w:top w:w="0" w:type="dxa"/>
          <w:left w:w="0" w:type="dxa"/>
          <w:bottom w:w="0" w:type="dxa"/>
          <w:right w:w="0" w:type="dxa"/>
        </w:tblCellMar>
      </w:tblPr>
      <w:tr>
        <w:trPr>
          <w:trHeight w:val="197"/>
        </w:trPr>
        <w:tc>
          <w:tcPr>
            <w:tcW w:w="2840" w:type="dxa"/>
            <w:vAlign w:val="bottom"/>
          </w:tcPr>
          <w:p>
            <w:pPr>
              <w:ind w:left="140"/>
              <w:spacing w:after="0"/>
              <w:rPr>
                <w:sz w:val="20"/>
                <w:szCs w:val="20"/>
                <w:color w:val="auto"/>
              </w:rPr>
            </w:pPr>
            <w:r>
              <w:rPr>
                <w:rFonts w:ascii="Arial" w:cs="Arial" w:eastAsia="Arial" w:hAnsi="Arial"/>
                <w:sz w:val="17"/>
                <w:szCs w:val="17"/>
                <w:b w:val="1"/>
                <w:bCs w:val="1"/>
                <w:color w:val="auto"/>
              </w:rPr>
              <w:t>Carleton B. Simpson</w:t>
            </w:r>
          </w:p>
        </w:tc>
        <w:tc>
          <w:tcPr>
            <w:tcW w:w="7140" w:type="dxa"/>
            <w:vAlign w:val="bottom"/>
            <w:gridSpan w:val="3"/>
            <w:vMerge w:val="restart"/>
          </w:tcPr>
          <w:p>
            <w:pPr>
              <w:ind w:left="300"/>
              <w:spacing w:after="0"/>
              <w:rPr>
                <w:sz w:val="20"/>
                <w:szCs w:val="20"/>
                <w:color w:val="auto"/>
              </w:rPr>
            </w:pPr>
            <w:r>
              <w:rPr>
                <w:rFonts w:ascii="Arial" w:cs="Arial" w:eastAsia="Arial" w:hAnsi="Arial"/>
                <w:sz w:val="17"/>
                <w:szCs w:val="17"/>
                <w:color w:val="auto"/>
              </w:rPr>
              <w:t>   36      Mr. Simpson has been Unitil’s senior vice president, general counsel and</w:t>
            </w:r>
          </w:p>
        </w:tc>
        <w:tc>
          <w:tcPr>
            <w:tcW w:w="0" w:type="dxa"/>
            <w:vAlign w:val="bottom"/>
          </w:tcPr>
          <w:p>
            <w:pPr>
              <w:spacing w:after="0"/>
              <w:rPr>
                <w:sz w:val="1"/>
                <w:szCs w:val="1"/>
                <w:color w:val="auto"/>
              </w:rPr>
            </w:pPr>
          </w:p>
        </w:tc>
      </w:tr>
      <w:tr>
        <w:trPr>
          <w:trHeight w:val="78"/>
        </w:trPr>
        <w:tc>
          <w:tcPr>
            <w:tcW w:w="2840" w:type="dxa"/>
            <w:vAlign w:val="bottom"/>
            <w:vMerge w:val="restart"/>
          </w:tcPr>
          <w:p>
            <w:pPr>
              <w:ind w:left="140"/>
              <w:spacing w:after="0"/>
              <w:rPr>
                <w:sz w:val="20"/>
                <w:szCs w:val="20"/>
                <w:color w:val="auto"/>
              </w:rPr>
            </w:pPr>
            <w:r>
              <w:rPr>
                <w:rFonts w:ascii="Arial" w:cs="Arial" w:eastAsia="Arial" w:hAnsi="Arial"/>
                <w:sz w:val="17"/>
                <w:szCs w:val="17"/>
                <w:color w:val="auto"/>
              </w:rPr>
              <w:t>Senior Vice President, General</w:t>
            </w:r>
          </w:p>
        </w:tc>
        <w:tc>
          <w:tcPr>
            <w:tcW w:w="7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840" w:type="dxa"/>
            <w:vAlign w:val="bottom"/>
            <w:vMerge w:val="continue"/>
          </w:tcPr>
          <w:p>
            <w:pPr>
              <w:spacing w:after="0"/>
              <w:rPr>
                <w:sz w:val="10"/>
                <w:szCs w:val="10"/>
                <w:color w:val="auto"/>
              </w:rPr>
            </w:pPr>
          </w:p>
        </w:tc>
        <w:tc>
          <w:tcPr>
            <w:tcW w:w="7140" w:type="dxa"/>
            <w:vAlign w:val="bottom"/>
            <w:gridSpan w:val="3"/>
            <w:vMerge w:val="restart"/>
          </w:tcPr>
          <w:p>
            <w:pPr>
              <w:ind w:left="1020"/>
              <w:spacing w:after="0"/>
              <w:rPr>
                <w:sz w:val="20"/>
                <w:szCs w:val="20"/>
                <w:color w:val="auto"/>
              </w:rPr>
            </w:pPr>
            <w:r>
              <w:rPr>
                <w:rFonts w:ascii="Arial" w:cs="Arial" w:eastAsia="Arial" w:hAnsi="Arial"/>
                <w:sz w:val="17"/>
                <w:szCs w:val="17"/>
                <w:color w:val="auto"/>
              </w:rPr>
              <w:t>corporate secretary since January 2026. Mr. Simpson previously served as</w:t>
            </w:r>
          </w:p>
        </w:tc>
        <w:tc>
          <w:tcPr>
            <w:tcW w:w="0" w:type="dxa"/>
            <w:vAlign w:val="bottom"/>
          </w:tcPr>
          <w:p>
            <w:pPr>
              <w:spacing w:after="0"/>
              <w:rPr>
                <w:sz w:val="1"/>
                <w:szCs w:val="1"/>
                <w:color w:val="auto"/>
              </w:rPr>
            </w:pPr>
          </w:p>
        </w:tc>
      </w:tr>
      <w:tr>
        <w:trPr>
          <w:trHeight w:val="78"/>
        </w:trPr>
        <w:tc>
          <w:tcPr>
            <w:tcW w:w="2840" w:type="dxa"/>
            <w:vAlign w:val="bottom"/>
            <w:vMerge w:val="restart"/>
          </w:tcPr>
          <w:p>
            <w:pPr>
              <w:ind w:left="140"/>
              <w:spacing w:after="0"/>
              <w:rPr>
                <w:sz w:val="20"/>
                <w:szCs w:val="20"/>
                <w:color w:val="auto"/>
              </w:rPr>
            </w:pPr>
            <w:r>
              <w:rPr>
                <w:rFonts w:ascii="Arial" w:cs="Arial" w:eastAsia="Arial" w:hAnsi="Arial"/>
                <w:sz w:val="17"/>
                <w:szCs w:val="17"/>
                <w:color w:val="auto"/>
              </w:rPr>
              <w:t>Counsel &amp; Corporate Secretary</w:t>
            </w:r>
          </w:p>
        </w:tc>
        <w:tc>
          <w:tcPr>
            <w:tcW w:w="7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840" w:type="dxa"/>
            <w:vAlign w:val="bottom"/>
            <w:vMerge w:val="continue"/>
          </w:tcPr>
          <w:p>
            <w:pPr>
              <w:spacing w:after="0"/>
              <w:rPr>
                <w:sz w:val="13"/>
                <w:szCs w:val="13"/>
                <w:color w:val="auto"/>
              </w:rPr>
            </w:pPr>
          </w:p>
        </w:tc>
        <w:tc>
          <w:tcPr>
            <w:tcW w:w="7140" w:type="dxa"/>
            <w:vAlign w:val="bottom"/>
            <w:gridSpan w:val="3"/>
            <w:vMerge w:val="restart"/>
          </w:tcPr>
          <w:p>
            <w:pPr>
              <w:ind w:left="1020"/>
              <w:spacing w:after="0"/>
              <w:rPr>
                <w:sz w:val="20"/>
                <w:szCs w:val="20"/>
                <w:color w:val="auto"/>
              </w:rPr>
            </w:pPr>
            <w:r>
              <w:rPr>
                <w:rFonts w:ascii="Arial" w:cs="Arial" w:eastAsia="Arial" w:hAnsi="Arial"/>
                <w:sz w:val="17"/>
                <w:szCs w:val="17"/>
                <w:color w:val="auto"/>
              </w:rPr>
              <w:t>senior vice president, general counsel from September 2025 until December</w:t>
            </w:r>
          </w:p>
        </w:tc>
        <w:tc>
          <w:tcPr>
            <w:tcW w:w="0" w:type="dxa"/>
            <w:vAlign w:val="bottom"/>
          </w:tcPr>
          <w:p>
            <w:pPr>
              <w:spacing w:after="0"/>
              <w:rPr>
                <w:sz w:val="1"/>
                <w:szCs w:val="1"/>
                <w:color w:val="auto"/>
              </w:rPr>
            </w:pPr>
          </w:p>
        </w:tc>
      </w:tr>
      <w:tr>
        <w:trPr>
          <w:trHeight w:val="44"/>
        </w:trPr>
        <w:tc>
          <w:tcPr>
            <w:tcW w:w="2840" w:type="dxa"/>
            <w:vAlign w:val="bottom"/>
          </w:tcPr>
          <w:p>
            <w:pPr>
              <w:spacing w:after="0"/>
              <w:rPr>
                <w:sz w:val="3"/>
                <w:szCs w:val="3"/>
                <w:color w:val="auto"/>
              </w:rPr>
            </w:pPr>
          </w:p>
        </w:tc>
        <w:tc>
          <w:tcPr>
            <w:tcW w:w="71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6"/>
                <w:szCs w:val="16"/>
                <w:color w:val="auto"/>
              </w:rPr>
            </w:pPr>
          </w:p>
        </w:tc>
        <w:tc>
          <w:tcPr>
            <w:tcW w:w="7140" w:type="dxa"/>
            <w:vAlign w:val="bottom"/>
            <w:gridSpan w:val="3"/>
          </w:tcPr>
          <w:p>
            <w:pPr>
              <w:ind w:left="1020"/>
              <w:spacing w:after="0"/>
              <w:rPr>
                <w:sz w:val="20"/>
                <w:szCs w:val="20"/>
                <w:color w:val="auto"/>
              </w:rPr>
            </w:pPr>
            <w:r>
              <w:rPr>
                <w:rFonts w:ascii="Arial" w:cs="Arial" w:eastAsia="Arial" w:hAnsi="Arial"/>
                <w:sz w:val="17"/>
                <w:szCs w:val="17"/>
                <w:color w:val="auto"/>
              </w:rPr>
              <w:t>2025 and vice president, energy transformation at the Company’s</w:t>
            </w: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6"/>
                <w:szCs w:val="16"/>
                <w:color w:val="auto"/>
              </w:rPr>
            </w:pPr>
          </w:p>
        </w:tc>
        <w:tc>
          <w:tcPr>
            <w:tcW w:w="7140" w:type="dxa"/>
            <w:vAlign w:val="bottom"/>
            <w:gridSpan w:val="3"/>
          </w:tcPr>
          <w:p>
            <w:pPr>
              <w:ind w:left="1020"/>
              <w:spacing w:after="0"/>
              <w:rPr>
                <w:sz w:val="20"/>
                <w:szCs w:val="20"/>
                <w:color w:val="auto"/>
              </w:rPr>
            </w:pPr>
            <w:r>
              <w:rPr>
                <w:rFonts w:ascii="Arial" w:cs="Arial" w:eastAsia="Arial" w:hAnsi="Arial"/>
                <w:sz w:val="17"/>
                <w:szCs w:val="17"/>
                <w:color w:val="auto"/>
              </w:rPr>
              <w:t>Massachusetts subsidiary, Fitchburg Gas and Electric Light Company, from</w:t>
            </w: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6"/>
                <w:szCs w:val="16"/>
                <w:color w:val="auto"/>
              </w:rPr>
            </w:pPr>
          </w:p>
        </w:tc>
        <w:tc>
          <w:tcPr>
            <w:tcW w:w="7140" w:type="dxa"/>
            <w:vAlign w:val="bottom"/>
            <w:gridSpan w:val="3"/>
          </w:tcPr>
          <w:p>
            <w:pPr>
              <w:ind w:left="1020"/>
              <w:spacing w:after="0"/>
              <w:rPr>
                <w:sz w:val="20"/>
                <w:szCs w:val="20"/>
                <w:color w:val="auto"/>
              </w:rPr>
            </w:pPr>
            <w:r>
              <w:rPr>
                <w:rFonts w:ascii="Arial" w:cs="Arial" w:eastAsia="Arial" w:hAnsi="Arial"/>
                <w:sz w:val="17"/>
                <w:szCs w:val="17"/>
                <w:color w:val="auto"/>
              </w:rPr>
              <w:t>January 2025 until August 2025. Mr. Simpson previously worked for the</w:t>
            </w: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6"/>
                <w:szCs w:val="16"/>
                <w:color w:val="auto"/>
              </w:rPr>
            </w:pPr>
          </w:p>
        </w:tc>
        <w:tc>
          <w:tcPr>
            <w:tcW w:w="7140" w:type="dxa"/>
            <w:vAlign w:val="bottom"/>
            <w:gridSpan w:val="3"/>
          </w:tcPr>
          <w:p>
            <w:pPr>
              <w:ind w:left="1020"/>
              <w:spacing w:after="0"/>
              <w:rPr>
                <w:sz w:val="20"/>
                <w:szCs w:val="20"/>
                <w:color w:val="auto"/>
              </w:rPr>
            </w:pPr>
            <w:r>
              <w:rPr>
                <w:rFonts w:ascii="Arial" w:cs="Arial" w:eastAsia="Arial" w:hAnsi="Arial"/>
                <w:sz w:val="17"/>
                <w:szCs w:val="17"/>
                <w:color w:val="auto"/>
              </w:rPr>
              <w:t>Company from June 2013 through November 2021 in a variety of roles</w:t>
            </w: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6"/>
                <w:szCs w:val="16"/>
                <w:color w:val="auto"/>
              </w:rPr>
            </w:pPr>
          </w:p>
        </w:tc>
        <w:tc>
          <w:tcPr>
            <w:tcW w:w="7140" w:type="dxa"/>
            <w:vAlign w:val="bottom"/>
            <w:gridSpan w:val="3"/>
          </w:tcPr>
          <w:p>
            <w:pPr>
              <w:ind w:left="1020"/>
              <w:spacing w:after="0"/>
              <w:rPr>
                <w:sz w:val="20"/>
                <w:szCs w:val="20"/>
                <w:color w:val="auto"/>
              </w:rPr>
            </w:pPr>
            <w:r>
              <w:rPr>
                <w:rFonts w:ascii="Arial" w:cs="Arial" w:eastAsia="Arial" w:hAnsi="Arial"/>
                <w:sz w:val="17"/>
                <w:szCs w:val="17"/>
                <w:color w:val="auto"/>
              </w:rPr>
              <w:t>including engineering, regulatory, external and government affairs, and legal.</w:t>
            </w: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6"/>
                <w:szCs w:val="16"/>
                <w:color w:val="auto"/>
              </w:rPr>
            </w:pPr>
          </w:p>
        </w:tc>
        <w:tc>
          <w:tcPr>
            <w:tcW w:w="7140" w:type="dxa"/>
            <w:vAlign w:val="bottom"/>
            <w:gridSpan w:val="3"/>
          </w:tcPr>
          <w:p>
            <w:pPr>
              <w:ind w:left="1020"/>
              <w:spacing w:after="0"/>
              <w:rPr>
                <w:sz w:val="20"/>
                <w:szCs w:val="20"/>
                <w:color w:val="auto"/>
              </w:rPr>
            </w:pPr>
            <w:r>
              <w:rPr>
                <w:rFonts w:ascii="Arial" w:cs="Arial" w:eastAsia="Arial" w:hAnsi="Arial"/>
                <w:sz w:val="17"/>
                <w:szCs w:val="17"/>
                <w:color w:val="auto"/>
              </w:rPr>
              <w:t>From December 2021 until August 2024, Mr. Simpson served as Commissioner</w:t>
            </w: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6"/>
                <w:szCs w:val="16"/>
                <w:color w:val="auto"/>
              </w:rPr>
            </w:pPr>
          </w:p>
        </w:tc>
        <w:tc>
          <w:tcPr>
            <w:tcW w:w="7140" w:type="dxa"/>
            <w:vAlign w:val="bottom"/>
            <w:gridSpan w:val="3"/>
          </w:tcPr>
          <w:p>
            <w:pPr>
              <w:ind w:left="1020"/>
              <w:spacing w:after="0"/>
              <w:rPr>
                <w:sz w:val="20"/>
                <w:szCs w:val="20"/>
                <w:color w:val="auto"/>
              </w:rPr>
            </w:pPr>
            <w:r>
              <w:rPr>
                <w:rFonts w:ascii="Arial" w:cs="Arial" w:eastAsia="Arial" w:hAnsi="Arial"/>
                <w:sz w:val="17"/>
                <w:szCs w:val="17"/>
                <w:color w:val="auto"/>
              </w:rPr>
              <w:t>of the New Hampshire Public Utilities Commission. Mr. Simpson is a member in</w:t>
            </w: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6"/>
                <w:szCs w:val="16"/>
                <w:color w:val="auto"/>
              </w:rPr>
            </w:pPr>
          </w:p>
        </w:tc>
        <w:tc>
          <w:tcPr>
            <w:tcW w:w="7140" w:type="dxa"/>
            <w:vAlign w:val="bottom"/>
            <w:gridSpan w:val="3"/>
          </w:tcPr>
          <w:p>
            <w:pPr>
              <w:ind w:left="1020"/>
              <w:spacing w:after="0"/>
              <w:rPr>
                <w:sz w:val="20"/>
                <w:szCs w:val="20"/>
                <w:color w:val="auto"/>
              </w:rPr>
            </w:pPr>
            <w:r>
              <w:rPr>
                <w:rFonts w:ascii="Arial" w:cs="Arial" w:eastAsia="Arial" w:hAnsi="Arial"/>
                <w:sz w:val="17"/>
                <w:szCs w:val="17"/>
                <w:color w:val="auto"/>
              </w:rPr>
              <w:t>good standing in the New Hampshire Bar and the bar for the Federal District of</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7140" w:type="dxa"/>
            <w:vAlign w:val="bottom"/>
            <w:gridSpan w:val="3"/>
          </w:tcPr>
          <w:p>
            <w:pPr>
              <w:ind w:left="1020"/>
              <w:spacing w:after="0"/>
              <w:rPr>
                <w:sz w:val="20"/>
                <w:szCs w:val="20"/>
                <w:color w:val="auto"/>
              </w:rPr>
            </w:pPr>
            <w:r>
              <w:rPr>
                <w:rFonts w:ascii="Arial" w:cs="Arial" w:eastAsia="Arial" w:hAnsi="Arial"/>
                <w:sz w:val="17"/>
                <w:szCs w:val="17"/>
                <w:color w:val="auto"/>
              </w:rPr>
              <w:t>New Hampshire.</w:t>
            </w:r>
          </w:p>
        </w:tc>
        <w:tc>
          <w:tcPr>
            <w:tcW w:w="0" w:type="dxa"/>
            <w:vAlign w:val="bottom"/>
          </w:tcPr>
          <w:p>
            <w:pPr>
              <w:spacing w:after="0"/>
              <w:rPr>
                <w:sz w:val="1"/>
                <w:szCs w:val="1"/>
                <w:color w:val="auto"/>
              </w:rPr>
            </w:pPr>
          </w:p>
        </w:tc>
      </w:tr>
      <w:tr>
        <w:trPr>
          <w:trHeight w:val="74"/>
        </w:trPr>
        <w:tc>
          <w:tcPr>
            <w:tcW w:w="284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31"/>
        </w:trPr>
        <w:tc>
          <w:tcPr>
            <w:tcW w:w="2840" w:type="dxa"/>
            <w:vAlign w:val="bottom"/>
            <w:tcBorders>
              <w:bottom w:val="single" w:sz="8" w:color="BFCCCC"/>
            </w:tcBorders>
          </w:tcPr>
          <w:p>
            <w:pPr>
              <w:spacing w:after="0"/>
              <w:rPr>
                <w:sz w:val="24"/>
                <w:szCs w:val="24"/>
                <w:color w:val="auto"/>
              </w:rPr>
            </w:pPr>
          </w:p>
        </w:tc>
        <w:tc>
          <w:tcPr>
            <w:tcW w:w="1760" w:type="dxa"/>
            <w:vAlign w:val="bottom"/>
            <w:tcBorders>
              <w:bottom w:val="single" w:sz="8" w:color="BFCCCC"/>
            </w:tcBorders>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tcBorders>
              <w:bottom w:val="single" w:sz="8" w:color="BFCCCC"/>
            </w:tcBorders>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840" w:type="dxa"/>
            <w:vAlign w:val="bottom"/>
          </w:tcPr>
          <w:p>
            <w:pPr>
              <w:spacing w:after="0"/>
              <w:rPr>
                <w:sz w:val="24"/>
                <w:szCs w:val="24"/>
                <w:color w:val="auto"/>
              </w:rPr>
            </w:pPr>
          </w:p>
        </w:tc>
        <w:tc>
          <w:tcPr>
            <w:tcW w:w="7140" w:type="dxa"/>
            <w:vAlign w:val="bottom"/>
            <w:gridSpan w:val="3"/>
          </w:tcPr>
          <w:p>
            <w:pPr>
              <w:ind w:left="7040"/>
              <w:spacing w:after="0"/>
              <w:rPr>
                <w:sz w:val="20"/>
                <w:szCs w:val="20"/>
                <w:color w:val="auto"/>
              </w:rPr>
            </w:pPr>
            <w:r>
              <w:rPr>
                <w:rFonts w:ascii="Arial" w:cs="Arial" w:eastAsia="Arial" w:hAnsi="Arial"/>
                <w:sz w:val="17"/>
                <w:szCs w:val="17"/>
                <w:color w:val="auto"/>
                <w:w w:val="84"/>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3418840</wp:posOffset>
            </wp:positionH>
            <wp:positionV relativeFrom="paragraph">
              <wp:posOffset>-282575</wp:posOffset>
            </wp:positionV>
            <wp:extent cx="321945" cy="908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1945" cy="90805"/>
                    </a:xfrm>
                    <a:prstGeom prst="rect">
                      <a:avLst/>
                    </a:prstGeom>
                    <a:noFill/>
                  </pic:spPr>
                </pic:pic>
              </a:graphicData>
            </a:graphic>
          </wp:anchor>
        </w:drawing>
      </w:r>
    </w:p>
    <w:p>
      <w:pPr>
        <w:sectPr>
          <w:pgSz w:w="11900" w:h="16838" w:orient="portrait"/>
          <w:cols w:equalWidth="0" w:num="1">
            <w:col w:w="10620"/>
          </w:cols>
          <w:pgMar w:left="320" w:top="470" w:right="9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3086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37300" cy="3086100"/>
                    </a:xfrm>
                    <a:prstGeom prst="rect">
                      <a:avLst/>
                    </a:prstGeom>
                    <a:noFill/>
                  </pic:spPr>
                </pic:pic>
              </a:graphicData>
            </a:graphic>
          </wp:anchor>
        </w:drawing>
      </w:r>
    </w:p>
    <w:p>
      <w:pPr>
        <w:spacing w:after="0" w:line="292" w:lineRule="exact"/>
        <w:rPr>
          <w:sz w:val="20"/>
          <w:szCs w:val="20"/>
          <w:color w:val="auto"/>
        </w:rPr>
      </w:pPr>
    </w:p>
    <w:tbl>
      <w:tblPr>
        <w:tblLayout w:type="fixed"/>
        <w:tblInd w:w="640" w:type="dxa"/>
        <w:tblCellMar>
          <w:top w:w="0" w:type="dxa"/>
          <w:left w:w="0" w:type="dxa"/>
          <w:bottom w:w="0" w:type="dxa"/>
          <w:right w:w="0" w:type="dxa"/>
        </w:tblCellMar>
      </w:tblPr>
      <w:tr>
        <w:trPr>
          <w:trHeight w:val="236"/>
        </w:trPr>
        <w:tc>
          <w:tcPr>
            <w:tcW w:w="2920" w:type="dxa"/>
            <w:vAlign w:val="bottom"/>
            <w:tcBorders>
              <w:top w:val="single" w:sz="8" w:color="auto"/>
            </w:tcBorders>
            <w:vMerge w:val="restart"/>
            <w:shd w:val="clear" w:color="auto" w:fill="314A72"/>
          </w:tcPr>
          <w:p>
            <w:pPr>
              <w:ind w:left="160"/>
              <w:spacing w:after="0"/>
              <w:rPr>
                <w:sz w:val="20"/>
                <w:szCs w:val="20"/>
                <w:color w:val="auto"/>
              </w:rPr>
            </w:pPr>
            <w:r>
              <w:rPr>
                <w:rFonts w:ascii="Arial" w:cs="Arial" w:eastAsia="Arial" w:hAnsi="Arial"/>
                <w:sz w:val="19"/>
                <w:szCs w:val="19"/>
                <w:b w:val="1"/>
                <w:bCs w:val="1"/>
                <w:color w:val="FFFFFF"/>
              </w:rPr>
              <w:t>Name and Principal Position</w:t>
            </w:r>
          </w:p>
        </w:tc>
        <w:tc>
          <w:tcPr>
            <w:tcW w:w="800" w:type="dxa"/>
            <w:vAlign w:val="bottom"/>
            <w:tcBorders>
              <w:top w:val="single" w:sz="8" w:color="auto"/>
            </w:tcBorders>
            <w:shd w:val="clear" w:color="auto" w:fill="314A72"/>
          </w:tcPr>
          <w:p>
            <w:pPr>
              <w:jc w:val="center"/>
              <w:ind w:left="8"/>
              <w:spacing w:after="0"/>
              <w:rPr>
                <w:sz w:val="20"/>
                <w:szCs w:val="20"/>
                <w:color w:val="auto"/>
              </w:rPr>
            </w:pPr>
            <w:r>
              <w:rPr>
                <w:rFonts w:ascii="Arial" w:cs="Arial" w:eastAsia="Arial" w:hAnsi="Arial"/>
                <w:sz w:val="19"/>
                <w:szCs w:val="19"/>
                <w:b w:val="1"/>
                <w:bCs w:val="1"/>
                <w:color w:val="FFFFFF"/>
              </w:rPr>
              <w:t xml:space="preserve">   </w:t>
            </w:r>
          </w:p>
        </w:tc>
        <w:tc>
          <w:tcPr>
            <w:tcW w:w="6260" w:type="dxa"/>
            <w:vAlign w:val="bottom"/>
            <w:tcBorders>
              <w:top w:val="single" w:sz="8" w:color="auto"/>
            </w:tcBorders>
            <w:vMerge w:val="restart"/>
            <w:shd w:val="clear" w:color="auto" w:fill="314A72"/>
          </w:tcPr>
          <w:p>
            <w:pPr>
              <w:ind w:left="140"/>
              <w:spacing w:after="0"/>
              <w:rPr>
                <w:sz w:val="20"/>
                <w:szCs w:val="20"/>
                <w:color w:val="auto"/>
              </w:rPr>
            </w:pPr>
            <w:r>
              <w:rPr>
                <w:rFonts w:ascii="Arial" w:cs="Arial" w:eastAsia="Arial" w:hAnsi="Arial"/>
                <w:sz w:val="19"/>
                <w:szCs w:val="19"/>
                <w:b w:val="1"/>
                <w:bCs w:val="1"/>
                <w:color w:val="FFFFFF"/>
              </w:rPr>
              <w:t>Description</w:t>
            </w:r>
          </w:p>
        </w:tc>
        <w:tc>
          <w:tcPr>
            <w:tcW w:w="0" w:type="dxa"/>
            <w:vAlign w:val="bottom"/>
          </w:tcPr>
          <w:p>
            <w:pPr>
              <w:spacing w:after="0"/>
              <w:rPr>
                <w:sz w:val="1"/>
                <w:szCs w:val="1"/>
                <w:color w:val="auto"/>
              </w:rPr>
            </w:pPr>
          </w:p>
        </w:tc>
      </w:tr>
      <w:tr>
        <w:trPr>
          <w:trHeight w:val="322"/>
        </w:trPr>
        <w:tc>
          <w:tcPr>
            <w:tcW w:w="2920" w:type="dxa"/>
            <w:vAlign w:val="bottom"/>
            <w:tcBorders>
              <w:bottom w:val="single" w:sz="8" w:color="314A72"/>
            </w:tcBorders>
            <w:vMerge w:val="continue"/>
            <w:shd w:val="clear" w:color="auto" w:fill="314A72"/>
          </w:tcPr>
          <w:p>
            <w:pPr>
              <w:spacing w:after="0"/>
              <w:rPr>
                <w:sz w:val="24"/>
                <w:szCs w:val="24"/>
                <w:color w:val="auto"/>
              </w:rPr>
            </w:pPr>
          </w:p>
        </w:tc>
        <w:tc>
          <w:tcPr>
            <w:tcW w:w="800" w:type="dxa"/>
            <w:vAlign w:val="bottom"/>
            <w:tcBorders>
              <w:bottom w:val="single" w:sz="8" w:color="314A72"/>
            </w:tcBorders>
            <w:shd w:val="clear" w:color="auto" w:fill="314A72"/>
          </w:tcPr>
          <w:p>
            <w:pPr>
              <w:ind w:left="200"/>
              <w:spacing w:after="0"/>
              <w:rPr>
                <w:sz w:val="20"/>
                <w:szCs w:val="20"/>
                <w:color w:val="auto"/>
              </w:rPr>
            </w:pPr>
            <w:r>
              <w:rPr>
                <w:rFonts w:ascii="Arial" w:cs="Arial" w:eastAsia="Arial" w:hAnsi="Arial"/>
                <w:sz w:val="19"/>
                <w:szCs w:val="19"/>
                <w:b w:val="1"/>
                <w:bCs w:val="1"/>
                <w:color w:val="FFFFFF"/>
              </w:rPr>
              <w:t>Age  </w:t>
            </w:r>
          </w:p>
        </w:tc>
        <w:tc>
          <w:tcPr>
            <w:tcW w:w="6260" w:type="dxa"/>
            <w:vAlign w:val="bottom"/>
            <w:tcBorders>
              <w:bottom w:val="single" w:sz="8" w:color="314A72"/>
            </w:tcBorders>
            <w:vMerge w:val="continue"/>
            <w:shd w:val="clear" w:color="auto" w:fill="314A72"/>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920" w:type="dxa"/>
            <w:vAlign w:val="bottom"/>
            <w:tcBorders>
              <w:top w:val="single" w:sz="8" w:color="auto"/>
            </w:tcBorders>
          </w:tcPr>
          <w:p>
            <w:pPr>
              <w:ind w:left="140"/>
              <w:spacing w:after="0" w:line="185" w:lineRule="exact"/>
              <w:rPr>
                <w:sz w:val="20"/>
                <w:szCs w:val="20"/>
                <w:color w:val="auto"/>
              </w:rPr>
            </w:pPr>
            <w:r>
              <w:rPr>
                <w:rFonts w:ascii="Arial" w:cs="Arial" w:eastAsia="Arial" w:hAnsi="Arial"/>
                <w:sz w:val="17"/>
                <w:szCs w:val="17"/>
                <w:b w:val="1"/>
                <w:bCs w:val="1"/>
                <w:color w:val="auto"/>
              </w:rPr>
              <w:t>Todd R. Diggins</w:t>
            </w:r>
          </w:p>
        </w:tc>
        <w:tc>
          <w:tcPr>
            <w:tcW w:w="800" w:type="dxa"/>
            <w:vAlign w:val="bottom"/>
            <w:tcBorders>
              <w:top w:val="single" w:sz="8" w:color="auto"/>
            </w:tcBorders>
            <w:vMerge w:val="restart"/>
          </w:tcPr>
          <w:p>
            <w:pPr>
              <w:jc w:val="center"/>
              <w:ind w:left="8"/>
              <w:spacing w:after="0"/>
              <w:rPr>
                <w:sz w:val="20"/>
                <w:szCs w:val="20"/>
                <w:color w:val="auto"/>
              </w:rPr>
            </w:pPr>
            <w:r>
              <w:rPr>
                <w:rFonts w:ascii="Arial" w:cs="Arial" w:eastAsia="Arial" w:hAnsi="Arial"/>
                <w:sz w:val="17"/>
                <w:szCs w:val="17"/>
                <w:color w:val="auto"/>
              </w:rPr>
              <w:t xml:space="preserve">   51   </w:t>
            </w:r>
          </w:p>
        </w:tc>
        <w:tc>
          <w:tcPr>
            <w:tcW w:w="6260" w:type="dxa"/>
            <w:vAlign w:val="bottom"/>
            <w:tcBorders>
              <w:top w:val="single" w:sz="8" w:color="auto"/>
            </w:tcBorders>
            <w:vMerge w:val="restart"/>
          </w:tcPr>
          <w:p>
            <w:pPr>
              <w:ind w:left="140"/>
              <w:spacing w:after="0"/>
              <w:rPr>
                <w:sz w:val="20"/>
                <w:szCs w:val="20"/>
                <w:color w:val="auto"/>
              </w:rPr>
            </w:pPr>
            <w:r>
              <w:rPr>
                <w:rFonts w:ascii="Arial" w:cs="Arial" w:eastAsia="Arial" w:hAnsi="Arial"/>
                <w:sz w:val="17"/>
                <w:szCs w:val="17"/>
                <w:color w:val="auto"/>
              </w:rPr>
              <w:t>Mr. Diggins has been Unitil’s chief accounting officer and controller since May</w:t>
            </w:r>
          </w:p>
        </w:tc>
        <w:tc>
          <w:tcPr>
            <w:tcW w:w="0" w:type="dxa"/>
            <w:vAlign w:val="bottom"/>
          </w:tcPr>
          <w:p>
            <w:pPr>
              <w:spacing w:after="0"/>
              <w:rPr>
                <w:sz w:val="1"/>
                <w:szCs w:val="1"/>
                <w:color w:val="auto"/>
              </w:rPr>
            </w:pPr>
          </w:p>
        </w:tc>
      </w:tr>
      <w:tr>
        <w:trPr>
          <w:trHeight w:val="78"/>
        </w:trPr>
        <w:tc>
          <w:tcPr>
            <w:tcW w:w="2920" w:type="dxa"/>
            <w:vAlign w:val="bottom"/>
            <w:vMerge w:val="restart"/>
          </w:tcPr>
          <w:p>
            <w:pPr>
              <w:ind w:left="140"/>
              <w:spacing w:after="0"/>
              <w:rPr>
                <w:sz w:val="20"/>
                <w:szCs w:val="20"/>
                <w:color w:val="auto"/>
              </w:rPr>
            </w:pPr>
            <w:r>
              <w:rPr>
                <w:rFonts w:ascii="Arial" w:cs="Arial" w:eastAsia="Arial" w:hAnsi="Arial"/>
                <w:sz w:val="17"/>
                <w:szCs w:val="17"/>
                <w:color w:val="auto"/>
              </w:rPr>
              <w:t>Chief Accounting Officer &amp;</w:t>
            </w:r>
          </w:p>
        </w:tc>
        <w:tc>
          <w:tcPr>
            <w:tcW w:w="800" w:type="dxa"/>
            <w:vAlign w:val="bottom"/>
            <w:vMerge w:val="continue"/>
          </w:tcPr>
          <w:p>
            <w:pPr>
              <w:spacing w:after="0"/>
              <w:rPr>
                <w:sz w:val="6"/>
                <w:szCs w:val="6"/>
                <w:color w:val="auto"/>
              </w:rPr>
            </w:pPr>
          </w:p>
        </w:tc>
        <w:tc>
          <w:tcPr>
            <w:tcW w:w="6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9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6260" w:type="dxa"/>
            <w:vAlign w:val="bottom"/>
          </w:tcPr>
          <w:p>
            <w:pPr>
              <w:ind w:left="140"/>
              <w:spacing w:after="0" w:line="133" w:lineRule="exact"/>
              <w:rPr>
                <w:sz w:val="20"/>
                <w:szCs w:val="20"/>
                <w:color w:val="auto"/>
              </w:rPr>
            </w:pPr>
            <w:r>
              <w:rPr>
                <w:rFonts w:ascii="Arial" w:cs="Arial" w:eastAsia="Arial" w:hAnsi="Arial"/>
                <w:sz w:val="15"/>
                <w:szCs w:val="15"/>
                <w:color w:val="auto"/>
              </w:rPr>
              <w:t>2023. Mr. Diggins also served as director of finance from July 2018 until May</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235"/>
        </w:trPr>
        <w:tc>
          <w:tcPr>
            <w:tcW w:w="2240" w:type="dxa"/>
            <w:vAlign w:val="bottom"/>
          </w:tcPr>
          <w:p>
            <w:pPr>
              <w:spacing w:after="0"/>
              <w:rPr>
                <w:sz w:val="20"/>
                <w:szCs w:val="20"/>
                <w:color w:val="auto"/>
              </w:rPr>
            </w:pPr>
            <w:r>
              <w:rPr>
                <w:rFonts w:ascii="Arial" w:cs="Arial" w:eastAsia="Arial" w:hAnsi="Arial"/>
                <w:sz w:val="17"/>
                <w:szCs w:val="17"/>
                <w:color w:val="auto"/>
              </w:rPr>
              <w:t>Controller</w:t>
            </w:r>
          </w:p>
        </w:tc>
        <w:tc>
          <w:tcPr>
            <w:tcW w:w="7580" w:type="dxa"/>
            <w:vAlign w:val="bottom"/>
            <w:vMerge w:val="restart"/>
          </w:tcPr>
          <w:p>
            <w:pPr>
              <w:ind w:left="1480"/>
              <w:spacing w:after="0"/>
              <w:rPr>
                <w:sz w:val="20"/>
                <w:szCs w:val="20"/>
                <w:color w:val="auto"/>
              </w:rPr>
            </w:pPr>
            <w:r>
              <w:rPr>
                <w:rFonts w:ascii="Arial" w:cs="Arial" w:eastAsia="Arial" w:hAnsi="Arial"/>
                <w:sz w:val="17"/>
                <w:szCs w:val="17"/>
                <w:color w:val="auto"/>
              </w:rPr>
              <w:t>2023, and treasurer of Unitil’s subsidiary companies from April 2020 through</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7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240" w:type="dxa"/>
            <w:vAlign w:val="bottom"/>
          </w:tcPr>
          <w:p>
            <w:pPr>
              <w:spacing w:after="0"/>
              <w:rPr>
                <w:sz w:val="16"/>
                <w:szCs w:val="16"/>
                <w:color w:val="auto"/>
              </w:rPr>
            </w:pPr>
          </w:p>
        </w:tc>
        <w:tc>
          <w:tcPr>
            <w:tcW w:w="7580" w:type="dxa"/>
            <w:vAlign w:val="bottom"/>
          </w:tcPr>
          <w:p>
            <w:pPr>
              <w:ind w:left="1480"/>
              <w:spacing w:after="0"/>
              <w:rPr>
                <w:sz w:val="20"/>
                <w:szCs w:val="20"/>
                <w:color w:val="auto"/>
              </w:rPr>
            </w:pPr>
            <w:r>
              <w:rPr>
                <w:rFonts w:ascii="Arial" w:cs="Arial" w:eastAsia="Arial" w:hAnsi="Arial"/>
                <w:sz w:val="17"/>
                <w:szCs w:val="17"/>
                <w:color w:val="auto"/>
              </w:rPr>
              <w:t>May 2023. Mr. Diggins also held the positions of corporate accounting manager,</w:t>
            </w: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7580" w:type="dxa"/>
            <w:vAlign w:val="bottom"/>
          </w:tcPr>
          <w:p>
            <w:pPr>
              <w:ind w:left="1480"/>
              <w:spacing w:after="0"/>
              <w:rPr>
                <w:sz w:val="20"/>
                <w:szCs w:val="20"/>
                <w:color w:val="auto"/>
              </w:rPr>
            </w:pPr>
            <w:r>
              <w:rPr>
                <w:rFonts w:ascii="Arial" w:cs="Arial" w:eastAsia="Arial" w:hAnsi="Arial"/>
                <w:sz w:val="17"/>
                <w:szCs w:val="17"/>
                <w:color w:val="auto"/>
              </w:rPr>
              <w:t>senior accountant, and several other positions within the accounting group</w:t>
            </w: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7580" w:type="dxa"/>
            <w:vAlign w:val="bottom"/>
          </w:tcPr>
          <w:p>
            <w:pPr>
              <w:ind w:left="1480"/>
              <w:spacing w:after="0"/>
              <w:rPr>
                <w:sz w:val="20"/>
                <w:szCs w:val="20"/>
                <w:color w:val="auto"/>
              </w:rPr>
            </w:pPr>
            <w:r>
              <w:rPr>
                <w:rFonts w:ascii="Arial" w:cs="Arial" w:eastAsia="Arial" w:hAnsi="Arial"/>
                <w:sz w:val="17"/>
                <w:szCs w:val="17"/>
                <w:color w:val="auto"/>
              </w:rPr>
              <w:t>since joining Unitil in May of 1998. Mr. Diggins is a Certified Public Accountant</w:t>
            </w: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7580" w:type="dxa"/>
            <w:vAlign w:val="bottom"/>
          </w:tcPr>
          <w:p>
            <w:pPr>
              <w:ind w:left="1480"/>
              <w:spacing w:after="0"/>
              <w:rPr>
                <w:sz w:val="20"/>
                <w:szCs w:val="20"/>
                <w:color w:val="auto"/>
              </w:rPr>
            </w:pPr>
            <w:r>
              <w:rPr>
                <w:rFonts w:ascii="Arial" w:cs="Arial" w:eastAsia="Arial" w:hAnsi="Arial"/>
                <w:sz w:val="17"/>
                <w:szCs w:val="17"/>
                <w:color w:val="auto"/>
              </w:rPr>
              <w:t>in the State of New Hampshire.</w:t>
            </w:r>
          </w:p>
        </w:tc>
        <w:tc>
          <w:tcPr>
            <w:tcW w:w="0" w:type="dxa"/>
            <w:vAlign w:val="bottom"/>
          </w:tcPr>
          <w:p>
            <w:pPr>
              <w:spacing w:after="0"/>
              <w:rPr>
                <w:sz w:val="1"/>
                <w:szCs w:val="1"/>
                <w:color w:val="auto"/>
              </w:rPr>
            </w:pPr>
          </w:p>
        </w:tc>
      </w:tr>
    </w:tbl>
    <w:p>
      <w:pPr>
        <w:spacing w:after="0" w:line="81" w:lineRule="exact"/>
        <w:rPr>
          <w:sz w:val="20"/>
          <w:szCs w:val="20"/>
          <w:color w:val="auto"/>
        </w:rPr>
      </w:pPr>
    </w:p>
    <w:p>
      <w:pPr>
        <w:sectPr>
          <w:pgSz w:w="11900" w:h="16838" w:orient="portrait"/>
          <w:cols w:equalWidth="0" w:num="1">
            <w:col w:w="10620"/>
          </w:cols>
          <w:pgMar w:left="320" w:top="470" w:right="959" w:bottom="1440" w:gutter="0" w:footer="0" w:header="0"/>
        </w:sectPr>
      </w:pPr>
    </w:p>
    <w:p>
      <w:pPr>
        <w:ind w:left="780"/>
        <w:spacing w:after="0"/>
        <w:rPr>
          <w:sz w:val="20"/>
          <w:szCs w:val="20"/>
          <w:color w:val="auto"/>
        </w:rPr>
      </w:pPr>
      <w:r>
        <w:rPr>
          <w:rFonts w:ascii="Arial" w:cs="Arial" w:eastAsia="Arial" w:hAnsi="Arial"/>
          <w:sz w:val="17"/>
          <w:szCs w:val="17"/>
          <w:b w:val="1"/>
          <w:bCs w:val="1"/>
          <w:color w:val="auto"/>
        </w:rPr>
        <w:t>Justin Eisfeller</w:t>
      </w:r>
    </w:p>
    <w:p>
      <w:pPr>
        <w:spacing w:after="0" w:line="1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Vice President &amp; Chief</w:t>
      </w:r>
    </w:p>
    <w:p>
      <w:pPr>
        <w:ind w:left="780"/>
        <w:spacing w:after="0"/>
        <w:rPr>
          <w:sz w:val="20"/>
          <w:szCs w:val="20"/>
          <w:color w:val="auto"/>
        </w:rPr>
      </w:pPr>
      <w:r>
        <w:rPr>
          <w:rFonts w:ascii="Arial" w:cs="Arial" w:eastAsia="Arial" w:hAnsi="Arial"/>
          <w:sz w:val="17"/>
          <w:szCs w:val="17"/>
          <w:color w:val="auto"/>
        </w:rPr>
        <w:t>Transformation Officer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718" w:right="20" w:hanging="718"/>
        <w:spacing w:after="0" w:line="246" w:lineRule="auto"/>
        <w:tabs>
          <w:tab w:leader="none" w:pos="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 59    Mr. Eisfeller has been Unitil’s Vice President and Chief Transformation Officer since November 2025. Mr. Eisfeller joined Unitil in 2002 and served as director of engineering from 2003 through 2008, as director of energy measurement and control from 2009 through 2016, and as vice president and chief technology officer from 2017 through October 2025. Prior to joining Unitil, Mr. Eisfeller had 15 years’ experience as an engineer and manager. Mr. Eisfeller is a registered professional engineer in New Hampshire.</w:t>
      </w:r>
    </w:p>
    <w:p>
      <w:pPr>
        <w:spacing w:after="0" w:line="77" w:lineRule="exact"/>
        <w:rPr>
          <w:sz w:val="20"/>
          <w:szCs w:val="20"/>
          <w:color w:val="auto"/>
        </w:rPr>
      </w:pPr>
    </w:p>
    <w:p>
      <w:pPr>
        <w:sectPr>
          <w:pgSz w:w="11900" w:h="16838" w:orient="portrait"/>
          <w:cols w:equalWidth="0" w:num="2">
            <w:col w:w="3062" w:space="720"/>
            <w:col w:w="6838"/>
          </w:cols>
          <w:pgMar w:left="320" w:top="470" w:right="959" w:bottom="1440" w:gutter="0" w:footer="0" w:header="0"/>
          <w:type w:val="continuous"/>
        </w:sectPr>
      </w:pPr>
    </w:p>
    <w:p>
      <w:pPr>
        <w:ind w:left="780" w:right="382"/>
        <w:spacing w:after="0" w:line="260" w:lineRule="auto"/>
        <w:rPr>
          <w:sz w:val="20"/>
          <w:szCs w:val="20"/>
          <w:color w:val="auto"/>
        </w:rPr>
      </w:pPr>
      <w:r>
        <w:rPr>
          <w:rFonts w:ascii="Arial" w:cs="Arial" w:eastAsia="Arial" w:hAnsi="Arial"/>
          <w:sz w:val="17"/>
          <w:szCs w:val="17"/>
          <w:b w:val="1"/>
          <w:bCs w:val="1"/>
          <w:color w:val="auto"/>
        </w:rPr>
        <w:t xml:space="preserve">Christopher J. LeBlanc </w:t>
      </w:r>
      <w:r>
        <w:rPr>
          <w:rFonts w:ascii="Arial" w:cs="Arial" w:eastAsia="Arial" w:hAnsi="Arial"/>
          <w:sz w:val="17"/>
          <w:szCs w:val="17"/>
          <w:color w:val="auto"/>
        </w:rPr>
        <w:t>Senior Vice President, Gas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557530</wp:posOffset>
            </wp:positionV>
            <wp:extent cx="29210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21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718" w:right="80" w:hanging="718"/>
        <w:spacing w:after="0" w:line="249" w:lineRule="auto"/>
        <w:tabs>
          <w:tab w:leader="none" w:pos="93" w:val="left"/>
        </w:tabs>
        <w:numPr>
          <w:ilvl w:val="0"/>
          <w:numId w:val="14"/>
        </w:numPr>
        <w:rPr>
          <w:rFonts w:ascii="Arial" w:cs="Arial" w:eastAsia="Arial" w:hAnsi="Arial"/>
          <w:sz w:val="17"/>
          <w:szCs w:val="17"/>
          <w:color w:val="auto"/>
        </w:rPr>
      </w:pPr>
      <w:r>
        <w:rPr>
          <w:rFonts w:ascii="Arial" w:cs="Arial" w:eastAsia="Arial" w:hAnsi="Arial"/>
          <w:sz w:val="17"/>
          <w:szCs w:val="17"/>
          <w:color w:val="auto"/>
        </w:rPr>
        <w:t> 59    Mr. LeBlanc has been Unitil’s senior vice president of gas operations since July 2024, and also served as vice president from January 2017 until July 2024. Mr. LeBlanc joined Unitil in 2000 and served as director of gas operations from 2008 until January 2017, and in several other gas operations management positions from 2000 until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208280</wp:posOffset>
            </wp:positionV>
            <wp:extent cx="3325495" cy="825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25495" cy="825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2" w:space="720"/>
            <w:col w:w="6838"/>
          </w:cols>
          <w:pgMar w:left="320" w:top="470" w:right="959" w:bottom="1440" w:gutter="0" w:footer="0" w:header="0"/>
          <w:type w:val="continuous"/>
        </w:sectPr>
      </w:pPr>
    </w:p>
    <w:p>
      <w:pPr>
        <w:spacing w:after="0" w:line="345" w:lineRule="exact"/>
        <w:rPr>
          <w:sz w:val="20"/>
          <w:szCs w:val="20"/>
          <w:color w:val="auto"/>
        </w:rPr>
      </w:pPr>
    </w:p>
    <w:p>
      <w:pPr>
        <w:ind w:left="105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20"/>
          </w:cols>
          <w:pgMar w:left="320" w:top="470" w:right="9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272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37300" cy="272415"/>
                    </a:xfrm>
                    <a:prstGeom prst="rect">
                      <a:avLst/>
                    </a:prstGeom>
                    <a:noFill/>
                  </pic:spPr>
                </pic:pic>
              </a:graphicData>
            </a:graphic>
          </wp:anchor>
        </w:drawing>
      </w:r>
    </w:p>
    <w:p>
      <w:pPr>
        <w:spacing w:after="0" w:line="348" w:lineRule="exact"/>
        <w:rPr>
          <w:sz w:val="20"/>
          <w:szCs w:val="20"/>
          <w:color w:val="auto"/>
        </w:rPr>
      </w:pPr>
    </w:p>
    <w:p>
      <w:pPr>
        <w:ind w:left="4080"/>
        <w:spacing w:after="0"/>
        <w:rPr>
          <w:sz w:val="20"/>
          <w:szCs w:val="20"/>
          <w:color w:val="auto"/>
        </w:rPr>
      </w:pPr>
      <w:r>
        <w:rPr>
          <w:rFonts w:ascii="Arial" w:cs="Arial" w:eastAsia="Arial" w:hAnsi="Arial"/>
          <w:sz w:val="31"/>
          <w:szCs w:val="31"/>
          <w:b w:val="1"/>
          <w:bCs w:val="1"/>
          <w:color w:val="auto"/>
        </w:rPr>
        <w:t>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22860</wp:posOffset>
            </wp:positionV>
            <wp:extent cx="63373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40" w:lineRule="exact"/>
        <w:rPr>
          <w:sz w:val="20"/>
          <w:szCs w:val="20"/>
          <w:color w:val="auto"/>
        </w:rPr>
      </w:pPr>
    </w:p>
    <w:p>
      <w:pPr>
        <w:ind w:left="640" w:right="40"/>
        <w:spacing w:after="0" w:line="250" w:lineRule="auto"/>
        <w:rPr>
          <w:sz w:val="20"/>
          <w:szCs w:val="20"/>
          <w:color w:val="auto"/>
        </w:rPr>
      </w:pPr>
      <w:r>
        <w:rPr>
          <w:rFonts w:ascii="Arial" w:cs="Arial" w:eastAsia="Arial" w:hAnsi="Arial"/>
          <w:sz w:val="20"/>
          <w:szCs w:val="20"/>
          <w:color w:val="auto"/>
        </w:rPr>
        <w:t xml:space="preserve">The following table sets forth information on the beneficial ownership of our common stock as of the Record Date, by (i) each person known to us to be the beneficial owner of more than five percent of our common stock, (ii) each Director and nominee for Director, (iii) each executive officer named in the Summary Compensation Table in the section entitled </w:t>
      </w:r>
      <w:r>
        <w:rPr>
          <w:rFonts w:ascii="Arial" w:cs="Arial" w:eastAsia="Arial" w:hAnsi="Arial"/>
          <w:sz w:val="20"/>
          <w:szCs w:val="20"/>
          <w:i w:val="1"/>
          <w:iCs w:val="1"/>
          <w:color w:val="auto"/>
        </w:rPr>
        <w:t>Compensation - Compensation of Named Executive Officers</w:t>
      </w:r>
      <w:r>
        <w:rPr>
          <w:rFonts w:ascii="Arial" w:cs="Arial" w:eastAsia="Arial" w:hAnsi="Arial"/>
          <w:sz w:val="20"/>
          <w:szCs w:val="20"/>
          <w:color w:val="auto"/>
        </w:rPr>
        <w:t xml:space="preserve"> (the “Named Executive Officers”) and (iv) all Directors and executive officers of Unitil as a group. Except as otherwise indicated, to our knowledge, the beneficial owners listed have sole voting and sole dispositive power with respect to the shares beneficially owned by them. The address of each of Unitil’s Directors and executive officers is c/o Unitil Corporation, 6 Liberty Lane West, Hampton, New Hampshire 03842-1720.</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BENEFICIAL OWNERSHIP</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241"/>
        </w:trPr>
        <w:tc>
          <w:tcPr>
            <w:tcW w:w="3660" w:type="dxa"/>
            <w:vAlign w:val="bottom"/>
            <w:vMerge w:val="restart"/>
            <w:shd w:val="clear" w:color="auto" w:fill="314A72"/>
          </w:tcPr>
          <w:p>
            <w:pPr>
              <w:spacing w:after="0"/>
              <w:rPr>
                <w:sz w:val="20"/>
                <w:szCs w:val="20"/>
                <w:color w:val="auto"/>
              </w:rPr>
            </w:pPr>
            <w:r>
              <w:rPr>
                <w:rFonts w:ascii="Arial" w:cs="Arial" w:eastAsia="Arial" w:hAnsi="Arial"/>
                <w:sz w:val="21"/>
                <w:szCs w:val="21"/>
                <w:b w:val="1"/>
                <w:bCs w:val="1"/>
                <w:color w:val="FFFFFF"/>
              </w:rPr>
              <w:t>   Name of Beneficial Owner</w:t>
            </w:r>
          </w:p>
        </w:tc>
        <w:tc>
          <w:tcPr>
            <w:tcW w:w="540" w:type="dxa"/>
            <w:vAlign w:val="bottom"/>
            <w:shd w:val="clear" w:color="auto" w:fill="314A72"/>
          </w:tcPr>
          <w:p>
            <w:pPr>
              <w:ind w:left="400"/>
              <w:spacing w:after="0"/>
              <w:rPr>
                <w:sz w:val="20"/>
                <w:szCs w:val="20"/>
                <w:color w:val="auto"/>
              </w:rPr>
            </w:pPr>
            <w:r>
              <w:rPr>
                <w:rFonts w:ascii="Arial" w:cs="Arial" w:eastAsia="Arial" w:hAnsi="Arial"/>
                <w:sz w:val="17"/>
                <w:szCs w:val="17"/>
                <w:b w:val="1"/>
                <w:bCs w:val="1"/>
                <w:color w:val="FFFFFF"/>
                <w:w w:val="70"/>
              </w:rPr>
              <w:t> </w:t>
            </w:r>
          </w:p>
        </w:tc>
        <w:tc>
          <w:tcPr>
            <w:tcW w:w="1480" w:type="dxa"/>
            <w:vAlign w:val="bottom"/>
            <w:shd w:val="clear" w:color="auto" w:fill="314A72"/>
          </w:tcPr>
          <w:p>
            <w:pPr>
              <w:jc w:val="right"/>
              <w:ind w:right="431"/>
              <w:spacing w:after="0"/>
              <w:rPr>
                <w:sz w:val="20"/>
                <w:szCs w:val="20"/>
                <w:color w:val="auto"/>
              </w:rPr>
            </w:pPr>
            <w:r>
              <w:rPr>
                <w:rFonts w:ascii="Arial" w:cs="Arial" w:eastAsia="Arial" w:hAnsi="Arial"/>
                <w:sz w:val="21"/>
                <w:szCs w:val="21"/>
                <w:b w:val="1"/>
                <w:bCs w:val="1"/>
                <w:color w:val="FFFFFF"/>
              </w:rPr>
              <w:t>Common</w:t>
            </w:r>
          </w:p>
        </w:tc>
        <w:tc>
          <w:tcPr>
            <w:tcW w:w="2380" w:type="dxa"/>
            <w:vAlign w:val="bottom"/>
            <w:shd w:val="clear" w:color="auto" w:fill="314A72"/>
          </w:tcPr>
          <w:p>
            <w:pPr>
              <w:jc w:val="right"/>
              <w:ind w:right="471"/>
              <w:spacing w:after="0"/>
              <w:rPr>
                <w:sz w:val="20"/>
                <w:szCs w:val="20"/>
                <w:color w:val="auto"/>
              </w:rPr>
            </w:pPr>
            <w:r>
              <w:rPr>
                <w:rFonts w:ascii="Arial" w:cs="Arial" w:eastAsia="Arial" w:hAnsi="Arial"/>
                <w:sz w:val="21"/>
                <w:szCs w:val="21"/>
                <w:b w:val="1"/>
                <w:bCs w:val="1"/>
                <w:color w:val="FFFFFF"/>
              </w:rPr>
              <w:t>Restricted</w:t>
            </w:r>
          </w:p>
        </w:tc>
        <w:tc>
          <w:tcPr>
            <w:tcW w:w="1920" w:type="dxa"/>
            <w:vAlign w:val="bottom"/>
            <w:shd w:val="clear" w:color="auto" w:fill="314A72"/>
          </w:tcPr>
          <w:p>
            <w:pPr>
              <w:ind w:left="460"/>
              <w:spacing w:after="0"/>
              <w:rPr>
                <w:sz w:val="20"/>
                <w:szCs w:val="20"/>
                <w:color w:val="auto"/>
              </w:rPr>
            </w:pPr>
            <w:r>
              <w:rPr>
                <w:rFonts w:ascii="Arial" w:cs="Arial" w:eastAsia="Arial" w:hAnsi="Arial"/>
                <w:sz w:val="21"/>
                <w:szCs w:val="21"/>
                <w:b w:val="1"/>
                <w:bCs w:val="1"/>
                <w:color w:val="FFFFFF"/>
              </w:rPr>
              <w:t>   Percent</w:t>
            </w:r>
          </w:p>
        </w:tc>
        <w:tc>
          <w:tcPr>
            <w:tcW w:w="0" w:type="dxa"/>
            <w:vAlign w:val="bottom"/>
          </w:tcPr>
          <w:p>
            <w:pPr>
              <w:spacing w:after="0"/>
              <w:rPr>
                <w:sz w:val="1"/>
                <w:szCs w:val="1"/>
                <w:color w:val="auto"/>
              </w:rPr>
            </w:pPr>
          </w:p>
        </w:tc>
      </w:tr>
      <w:tr>
        <w:trPr>
          <w:trHeight w:val="167"/>
        </w:trPr>
        <w:tc>
          <w:tcPr>
            <w:tcW w:w="3660" w:type="dxa"/>
            <w:vAlign w:val="bottom"/>
            <w:vMerge w:val="continue"/>
            <w:shd w:val="clear" w:color="auto" w:fill="314A72"/>
          </w:tcPr>
          <w:p>
            <w:pPr>
              <w:spacing w:after="0"/>
              <w:rPr>
                <w:sz w:val="14"/>
                <w:szCs w:val="14"/>
                <w:color w:val="auto"/>
              </w:rPr>
            </w:pPr>
          </w:p>
        </w:tc>
        <w:tc>
          <w:tcPr>
            <w:tcW w:w="540" w:type="dxa"/>
            <w:vAlign w:val="bottom"/>
            <w:shd w:val="clear" w:color="auto" w:fill="314A72"/>
          </w:tcPr>
          <w:p>
            <w:pPr>
              <w:spacing w:after="0"/>
              <w:rPr>
                <w:sz w:val="14"/>
                <w:szCs w:val="14"/>
                <w:color w:val="auto"/>
              </w:rPr>
            </w:pPr>
          </w:p>
        </w:tc>
        <w:tc>
          <w:tcPr>
            <w:tcW w:w="1480" w:type="dxa"/>
            <w:vAlign w:val="bottom"/>
            <w:vMerge w:val="restart"/>
            <w:shd w:val="clear" w:color="auto" w:fill="314A72"/>
          </w:tcPr>
          <w:p>
            <w:pPr>
              <w:jc w:val="right"/>
              <w:ind w:right="591"/>
              <w:spacing w:after="0"/>
              <w:rPr>
                <w:sz w:val="20"/>
                <w:szCs w:val="20"/>
                <w:color w:val="auto"/>
              </w:rPr>
            </w:pPr>
            <w:r>
              <w:rPr>
                <w:rFonts w:ascii="Arial" w:cs="Arial" w:eastAsia="Arial" w:hAnsi="Arial"/>
                <w:sz w:val="21"/>
                <w:szCs w:val="21"/>
                <w:b w:val="1"/>
                <w:bCs w:val="1"/>
                <w:color w:val="FFFFFF"/>
              </w:rPr>
              <w:t>Stock</w:t>
            </w:r>
          </w:p>
        </w:tc>
        <w:tc>
          <w:tcPr>
            <w:tcW w:w="2380" w:type="dxa"/>
            <w:vAlign w:val="bottom"/>
            <w:vMerge w:val="restart"/>
            <w:shd w:val="clear" w:color="auto" w:fill="314A72"/>
          </w:tcPr>
          <w:p>
            <w:pPr>
              <w:jc w:val="right"/>
              <w:ind w:right="351"/>
              <w:spacing w:after="0"/>
              <w:rPr>
                <w:sz w:val="20"/>
                <w:szCs w:val="20"/>
                <w:color w:val="auto"/>
              </w:rPr>
            </w:pPr>
            <w:r>
              <w:rPr>
                <w:rFonts w:ascii="Arial" w:cs="Arial" w:eastAsia="Arial" w:hAnsi="Arial"/>
                <w:sz w:val="21"/>
                <w:szCs w:val="21"/>
                <w:b w:val="1"/>
                <w:bCs w:val="1"/>
                <w:color w:val="FFFFFF"/>
              </w:rPr>
              <w:t>   Stock Units </w:t>
            </w:r>
          </w:p>
        </w:tc>
        <w:tc>
          <w:tcPr>
            <w:tcW w:w="1920" w:type="dxa"/>
            <w:vAlign w:val="bottom"/>
            <w:vMerge w:val="restart"/>
            <w:shd w:val="clear" w:color="auto" w:fill="314A72"/>
          </w:tcPr>
          <w:p>
            <w:pPr>
              <w:ind w:left="640"/>
              <w:spacing w:after="0"/>
              <w:rPr>
                <w:sz w:val="20"/>
                <w:szCs w:val="20"/>
                <w:color w:val="auto"/>
              </w:rPr>
            </w:pPr>
            <w:r>
              <w:rPr>
                <w:rFonts w:ascii="Arial" w:cs="Arial" w:eastAsia="Arial" w:hAnsi="Arial"/>
                <w:sz w:val="21"/>
                <w:szCs w:val="21"/>
                <w:b w:val="1"/>
                <w:bCs w:val="1"/>
                <w:color w:val="FFFFFF"/>
              </w:rPr>
              <w:t>of Class</w:t>
            </w:r>
          </w:p>
        </w:tc>
        <w:tc>
          <w:tcPr>
            <w:tcW w:w="0" w:type="dxa"/>
            <w:vAlign w:val="bottom"/>
          </w:tcPr>
          <w:p>
            <w:pPr>
              <w:spacing w:after="0"/>
              <w:rPr>
                <w:sz w:val="1"/>
                <w:szCs w:val="1"/>
                <w:color w:val="auto"/>
              </w:rPr>
            </w:pPr>
          </w:p>
        </w:tc>
      </w:tr>
      <w:tr>
        <w:trPr>
          <w:trHeight w:val="106"/>
        </w:trPr>
        <w:tc>
          <w:tcPr>
            <w:tcW w:w="3660" w:type="dxa"/>
            <w:vAlign w:val="bottom"/>
            <w:shd w:val="clear" w:color="auto" w:fill="314A72"/>
          </w:tcPr>
          <w:p>
            <w:pPr>
              <w:spacing w:after="0"/>
              <w:rPr>
                <w:sz w:val="9"/>
                <w:szCs w:val="9"/>
                <w:color w:val="auto"/>
              </w:rPr>
            </w:pPr>
          </w:p>
        </w:tc>
        <w:tc>
          <w:tcPr>
            <w:tcW w:w="540" w:type="dxa"/>
            <w:vAlign w:val="bottom"/>
            <w:shd w:val="clear" w:color="auto" w:fill="314A72"/>
          </w:tcPr>
          <w:p>
            <w:pPr>
              <w:spacing w:after="0"/>
              <w:rPr>
                <w:sz w:val="9"/>
                <w:szCs w:val="9"/>
                <w:color w:val="auto"/>
              </w:rPr>
            </w:pPr>
          </w:p>
        </w:tc>
        <w:tc>
          <w:tcPr>
            <w:tcW w:w="1480" w:type="dxa"/>
            <w:vAlign w:val="bottom"/>
            <w:vMerge w:val="continue"/>
            <w:shd w:val="clear" w:color="auto" w:fill="314A72"/>
          </w:tcPr>
          <w:p>
            <w:pPr>
              <w:spacing w:after="0"/>
              <w:rPr>
                <w:sz w:val="9"/>
                <w:szCs w:val="9"/>
                <w:color w:val="auto"/>
              </w:rPr>
            </w:pPr>
          </w:p>
        </w:tc>
        <w:tc>
          <w:tcPr>
            <w:tcW w:w="2380" w:type="dxa"/>
            <w:vAlign w:val="bottom"/>
            <w:vMerge w:val="continue"/>
            <w:shd w:val="clear" w:color="auto" w:fill="314A72"/>
          </w:tcPr>
          <w:p>
            <w:pPr>
              <w:spacing w:after="0"/>
              <w:rPr>
                <w:sz w:val="9"/>
                <w:szCs w:val="9"/>
                <w:color w:val="auto"/>
              </w:rPr>
            </w:pPr>
          </w:p>
        </w:tc>
        <w:tc>
          <w:tcPr>
            <w:tcW w:w="1920" w:type="dxa"/>
            <w:vAlign w:val="bottom"/>
            <w:vMerge w:val="continue"/>
            <w:shd w:val="clear" w:color="auto" w:fill="314A72"/>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w:t>
            </w:r>
          </w:p>
        </w:tc>
        <w:tc>
          <w:tcPr>
            <w:tcW w:w="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3660" w:type="dxa"/>
            <w:vAlign w:val="bottom"/>
            <w:tcBorders>
              <w:bottom w:val="single" w:sz="8" w:color="auto"/>
            </w:tcBorders>
            <w:shd w:val="clear" w:color="auto" w:fill="F7AB6C"/>
          </w:tcPr>
          <w:p>
            <w:pPr>
              <w:ind w:left="160"/>
              <w:spacing w:after="0"/>
              <w:rPr>
                <w:sz w:val="20"/>
                <w:szCs w:val="20"/>
                <w:color w:val="auto"/>
              </w:rPr>
            </w:pPr>
            <w:r>
              <w:rPr>
                <w:rFonts w:ascii="Arial" w:cs="Arial" w:eastAsia="Arial" w:hAnsi="Arial"/>
                <w:sz w:val="19"/>
                <w:szCs w:val="19"/>
                <w:b w:val="1"/>
                <w:bCs w:val="1"/>
                <w:color w:val="auto"/>
              </w:rPr>
              <w:t>5% Owners:</w:t>
            </w:r>
          </w:p>
        </w:tc>
        <w:tc>
          <w:tcPr>
            <w:tcW w:w="540" w:type="dxa"/>
            <w:vAlign w:val="bottom"/>
            <w:tcBorders>
              <w:bottom w:val="single" w:sz="8" w:color="auto"/>
            </w:tcBorders>
            <w:shd w:val="clear" w:color="auto" w:fill="F7AB6C"/>
          </w:tcPr>
          <w:p>
            <w:pPr>
              <w:spacing w:after="0"/>
              <w:rPr>
                <w:sz w:val="23"/>
                <w:szCs w:val="23"/>
                <w:color w:val="auto"/>
              </w:rPr>
            </w:pPr>
          </w:p>
        </w:tc>
        <w:tc>
          <w:tcPr>
            <w:tcW w:w="1480" w:type="dxa"/>
            <w:vAlign w:val="bottom"/>
            <w:tcBorders>
              <w:bottom w:val="single" w:sz="8" w:color="auto"/>
            </w:tcBorders>
            <w:shd w:val="clear" w:color="auto" w:fill="F7AB6C"/>
          </w:tcPr>
          <w:p>
            <w:pPr>
              <w:spacing w:after="0"/>
              <w:rPr>
                <w:sz w:val="23"/>
                <w:szCs w:val="23"/>
                <w:color w:val="auto"/>
              </w:rPr>
            </w:pPr>
          </w:p>
        </w:tc>
        <w:tc>
          <w:tcPr>
            <w:tcW w:w="2380" w:type="dxa"/>
            <w:vAlign w:val="bottom"/>
            <w:tcBorders>
              <w:bottom w:val="single" w:sz="8" w:color="auto"/>
            </w:tcBorders>
            <w:shd w:val="clear" w:color="auto" w:fill="F7AB6C"/>
          </w:tcPr>
          <w:p>
            <w:pPr>
              <w:spacing w:after="0"/>
              <w:rPr>
                <w:sz w:val="23"/>
                <w:szCs w:val="23"/>
                <w:color w:val="auto"/>
              </w:rPr>
            </w:pPr>
          </w:p>
        </w:tc>
        <w:tc>
          <w:tcPr>
            <w:tcW w:w="1920" w:type="dxa"/>
            <w:vAlign w:val="bottom"/>
            <w:tcBorders>
              <w:bottom w:val="single" w:sz="8" w:color="auto"/>
            </w:tcBorders>
            <w:shd w:val="clear" w:color="auto" w:fill="F7AB6C"/>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660" w:type="dxa"/>
            <w:vAlign w:val="bottom"/>
          </w:tcPr>
          <w:p>
            <w:pPr>
              <w:ind w:left="160"/>
              <w:spacing w:after="0" w:line="262" w:lineRule="exact"/>
              <w:rPr>
                <w:sz w:val="20"/>
                <w:szCs w:val="20"/>
                <w:color w:val="auto"/>
              </w:rPr>
            </w:pPr>
            <w:r>
              <w:rPr>
                <w:rFonts w:ascii="Arial" w:cs="Arial" w:eastAsia="Arial" w:hAnsi="Arial"/>
                <w:sz w:val="17"/>
                <w:szCs w:val="17"/>
                <w:b w:val="1"/>
                <w:bCs w:val="1"/>
                <w:color w:val="auto"/>
              </w:rPr>
              <w:t xml:space="preserve">BlackRock, Inc. </w:t>
            </w:r>
            <w:r>
              <w:rPr>
                <w:rFonts w:ascii="Arial" w:cs="Arial" w:eastAsia="Arial" w:hAnsi="Arial"/>
                <w:sz w:val="25"/>
                <w:szCs w:val="25"/>
                <w:b w:val="1"/>
                <w:bCs w:val="1"/>
                <w:i w:val="1"/>
                <w:iCs w:val="1"/>
                <w:color w:val="auto"/>
                <w:vertAlign w:val="superscript"/>
              </w:rPr>
              <w:t>(1)</w:t>
            </w:r>
          </w:p>
        </w:tc>
        <w:tc>
          <w:tcPr>
            <w:tcW w:w="5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580"/>
              <w:spacing w:after="0"/>
              <w:rPr>
                <w:sz w:val="20"/>
                <w:szCs w:val="20"/>
                <w:color w:val="auto"/>
              </w:rPr>
            </w:pPr>
            <w:r>
              <w:rPr>
                <w:rFonts w:ascii="Arial" w:cs="Arial" w:eastAsia="Arial" w:hAnsi="Arial"/>
                <w:sz w:val="17"/>
                <w:szCs w:val="17"/>
                <w:color w:val="auto"/>
              </w:rPr>
              <w:t>50 Hudson Yards, New York, NY</w:t>
            </w:r>
          </w:p>
        </w:tc>
        <w:tc>
          <w:tcPr>
            <w:tcW w:w="540" w:type="dxa"/>
            <w:vAlign w:val="bottom"/>
          </w:tcPr>
          <w:p>
            <w:pPr>
              <w:spacing w:after="0"/>
              <w:rPr>
                <w:sz w:val="16"/>
                <w:szCs w:val="16"/>
                <w:color w:val="auto"/>
              </w:rPr>
            </w:pPr>
          </w:p>
        </w:tc>
        <w:tc>
          <w:tcPr>
            <w:tcW w:w="1480" w:type="dxa"/>
            <w:vAlign w:val="bottom"/>
          </w:tcPr>
          <w:p>
            <w:pPr>
              <w:jc w:val="right"/>
              <w:ind w:right="451"/>
              <w:spacing w:after="0"/>
              <w:rPr>
                <w:sz w:val="20"/>
                <w:szCs w:val="20"/>
                <w:color w:val="auto"/>
              </w:rPr>
            </w:pPr>
            <w:r>
              <w:rPr>
                <w:rFonts w:ascii="Arial" w:cs="Arial" w:eastAsia="Arial" w:hAnsi="Arial"/>
                <w:sz w:val="17"/>
                <w:szCs w:val="17"/>
                <w:color w:val="auto"/>
              </w:rPr>
              <w:t>2,932,304</w:t>
            </w:r>
          </w:p>
        </w:tc>
        <w:tc>
          <w:tcPr>
            <w:tcW w:w="2380" w:type="dxa"/>
            <w:vAlign w:val="bottom"/>
          </w:tcPr>
          <w:p>
            <w:pPr>
              <w:jc w:val="right"/>
              <w:ind w:right="691"/>
              <w:spacing w:after="0"/>
              <w:rPr>
                <w:sz w:val="20"/>
                <w:szCs w:val="20"/>
                <w:color w:val="auto"/>
              </w:rPr>
            </w:pPr>
            <w:r>
              <w:rPr>
                <w:rFonts w:ascii="Arial" w:cs="Arial" w:eastAsia="Arial" w:hAnsi="Arial"/>
                <w:sz w:val="17"/>
                <w:szCs w:val="17"/>
                <w:color w:val="auto"/>
              </w:rPr>
              <w:t>—</w:t>
            </w:r>
          </w:p>
        </w:tc>
        <w:tc>
          <w:tcPr>
            <w:tcW w:w="1920" w:type="dxa"/>
            <w:vAlign w:val="bottom"/>
          </w:tcPr>
          <w:p>
            <w:pPr>
              <w:jc w:val="center"/>
              <w:ind w:left="151"/>
              <w:spacing w:after="0"/>
              <w:rPr>
                <w:sz w:val="20"/>
                <w:szCs w:val="20"/>
                <w:color w:val="auto"/>
              </w:rPr>
            </w:pPr>
            <w:r>
              <w:rPr>
                <w:rFonts w:ascii="Arial" w:cs="Arial" w:eastAsia="Arial" w:hAnsi="Arial"/>
                <w:sz w:val="17"/>
                <w:szCs w:val="17"/>
                <w:color w:val="auto"/>
              </w:rPr>
              <w:t>16.30%</w:t>
            </w:r>
          </w:p>
        </w:tc>
        <w:tc>
          <w:tcPr>
            <w:tcW w:w="0" w:type="dxa"/>
            <w:vAlign w:val="bottom"/>
          </w:tcPr>
          <w:p>
            <w:pPr>
              <w:spacing w:after="0"/>
              <w:rPr>
                <w:sz w:val="1"/>
                <w:szCs w:val="1"/>
                <w:color w:val="auto"/>
              </w:rPr>
            </w:pPr>
          </w:p>
        </w:tc>
      </w:tr>
      <w:tr>
        <w:trPr>
          <w:trHeight w:val="233"/>
        </w:trPr>
        <w:tc>
          <w:tcPr>
            <w:tcW w:w="366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10001</w:t>
            </w:r>
          </w:p>
        </w:tc>
        <w:tc>
          <w:tcPr>
            <w:tcW w:w="5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660" w:type="dxa"/>
            <w:vAlign w:val="bottom"/>
          </w:tcPr>
          <w:p>
            <w:pPr>
              <w:ind w:left="160"/>
              <w:spacing w:after="0" w:line="266" w:lineRule="exact"/>
              <w:rPr>
                <w:sz w:val="20"/>
                <w:szCs w:val="20"/>
                <w:color w:val="auto"/>
              </w:rPr>
            </w:pPr>
            <w:r>
              <w:rPr>
                <w:rFonts w:ascii="Arial" w:cs="Arial" w:eastAsia="Arial" w:hAnsi="Arial"/>
                <w:sz w:val="17"/>
                <w:szCs w:val="17"/>
                <w:b w:val="1"/>
                <w:bCs w:val="1"/>
                <w:color w:val="auto"/>
              </w:rPr>
              <w:t xml:space="preserve">The Vanguard Group </w:t>
            </w:r>
            <w:r>
              <w:rPr>
                <w:rFonts w:ascii="Arial" w:cs="Arial" w:eastAsia="Arial" w:hAnsi="Arial"/>
                <w:sz w:val="25"/>
                <w:szCs w:val="25"/>
                <w:b w:val="1"/>
                <w:bCs w:val="1"/>
                <w:i w:val="1"/>
                <w:iCs w:val="1"/>
                <w:color w:val="auto"/>
                <w:vertAlign w:val="superscript"/>
              </w:rPr>
              <w:t>(2)</w:t>
            </w:r>
          </w:p>
        </w:tc>
        <w:tc>
          <w:tcPr>
            <w:tcW w:w="5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580"/>
              <w:spacing w:after="0"/>
              <w:rPr>
                <w:sz w:val="20"/>
                <w:szCs w:val="20"/>
                <w:color w:val="auto"/>
              </w:rPr>
            </w:pPr>
            <w:r>
              <w:rPr>
                <w:rFonts w:ascii="Arial" w:cs="Arial" w:eastAsia="Arial" w:hAnsi="Arial"/>
                <w:sz w:val="17"/>
                <w:szCs w:val="17"/>
                <w:color w:val="auto"/>
              </w:rPr>
              <w:t>100 Vanguard Boulevard, Malvern,</w:t>
            </w:r>
          </w:p>
        </w:tc>
        <w:tc>
          <w:tcPr>
            <w:tcW w:w="540" w:type="dxa"/>
            <w:vAlign w:val="bottom"/>
          </w:tcPr>
          <w:p>
            <w:pPr>
              <w:spacing w:after="0"/>
              <w:rPr>
                <w:sz w:val="16"/>
                <w:szCs w:val="16"/>
                <w:color w:val="auto"/>
              </w:rPr>
            </w:pPr>
          </w:p>
        </w:tc>
        <w:tc>
          <w:tcPr>
            <w:tcW w:w="1480" w:type="dxa"/>
            <w:vAlign w:val="bottom"/>
          </w:tcPr>
          <w:p>
            <w:pPr>
              <w:jc w:val="right"/>
              <w:ind w:right="451"/>
              <w:spacing w:after="0"/>
              <w:rPr>
                <w:sz w:val="20"/>
                <w:szCs w:val="20"/>
                <w:color w:val="auto"/>
              </w:rPr>
            </w:pPr>
            <w:r>
              <w:rPr>
                <w:rFonts w:ascii="Arial" w:cs="Arial" w:eastAsia="Arial" w:hAnsi="Arial"/>
                <w:sz w:val="17"/>
                <w:szCs w:val="17"/>
                <w:color w:val="auto"/>
              </w:rPr>
              <w:t>1,273,199</w:t>
            </w:r>
          </w:p>
        </w:tc>
        <w:tc>
          <w:tcPr>
            <w:tcW w:w="2380" w:type="dxa"/>
            <w:vAlign w:val="bottom"/>
          </w:tcPr>
          <w:p>
            <w:pPr>
              <w:jc w:val="right"/>
              <w:ind w:right="691"/>
              <w:spacing w:after="0"/>
              <w:rPr>
                <w:sz w:val="20"/>
                <w:szCs w:val="20"/>
                <w:color w:val="auto"/>
              </w:rPr>
            </w:pPr>
            <w:r>
              <w:rPr>
                <w:rFonts w:ascii="Arial" w:cs="Arial" w:eastAsia="Arial" w:hAnsi="Arial"/>
                <w:sz w:val="17"/>
                <w:szCs w:val="17"/>
                <w:color w:val="auto"/>
              </w:rPr>
              <w:t>—</w:t>
            </w:r>
          </w:p>
        </w:tc>
        <w:tc>
          <w:tcPr>
            <w:tcW w:w="1920" w:type="dxa"/>
            <w:vAlign w:val="bottom"/>
          </w:tcPr>
          <w:p>
            <w:pPr>
              <w:jc w:val="center"/>
              <w:ind w:left="151"/>
              <w:spacing w:after="0"/>
              <w:rPr>
                <w:sz w:val="20"/>
                <w:szCs w:val="20"/>
                <w:color w:val="auto"/>
              </w:rPr>
            </w:pPr>
            <w:r>
              <w:rPr>
                <w:rFonts w:ascii="Arial" w:cs="Arial" w:eastAsia="Arial" w:hAnsi="Arial"/>
                <w:sz w:val="17"/>
                <w:szCs w:val="17"/>
                <w:color w:val="auto"/>
                <w:w w:val="99"/>
              </w:rPr>
              <w:t>7.08%</w:t>
            </w:r>
          </w:p>
        </w:tc>
        <w:tc>
          <w:tcPr>
            <w:tcW w:w="0" w:type="dxa"/>
            <w:vAlign w:val="bottom"/>
          </w:tcPr>
          <w:p>
            <w:pPr>
              <w:spacing w:after="0"/>
              <w:rPr>
                <w:sz w:val="1"/>
                <w:szCs w:val="1"/>
                <w:color w:val="auto"/>
              </w:rPr>
            </w:pPr>
          </w:p>
        </w:tc>
      </w:tr>
      <w:tr>
        <w:trPr>
          <w:trHeight w:val="233"/>
        </w:trPr>
        <w:tc>
          <w:tcPr>
            <w:tcW w:w="366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PA 19355</w:t>
            </w:r>
          </w:p>
        </w:tc>
        <w:tc>
          <w:tcPr>
            <w:tcW w:w="5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660" w:type="dxa"/>
            <w:vAlign w:val="bottom"/>
            <w:tcBorders>
              <w:bottom w:val="single" w:sz="8" w:color="auto"/>
            </w:tcBorders>
            <w:shd w:val="clear" w:color="auto" w:fill="F7AB6C"/>
          </w:tcPr>
          <w:p>
            <w:pPr>
              <w:ind w:left="160"/>
              <w:spacing w:after="0" w:line="266" w:lineRule="exact"/>
              <w:rPr>
                <w:sz w:val="20"/>
                <w:szCs w:val="20"/>
                <w:color w:val="auto"/>
              </w:rPr>
            </w:pPr>
            <w:r>
              <w:rPr>
                <w:rFonts w:ascii="Arial" w:cs="Arial" w:eastAsia="Arial" w:hAnsi="Arial"/>
                <w:sz w:val="19"/>
                <w:szCs w:val="19"/>
                <w:b w:val="1"/>
                <w:bCs w:val="1"/>
                <w:color w:val="auto"/>
              </w:rPr>
              <w:t xml:space="preserve">Directors and Nominees: </w:t>
            </w:r>
            <w:r>
              <w:rPr>
                <w:rFonts w:ascii="Arial" w:cs="Arial" w:eastAsia="Arial" w:hAnsi="Arial"/>
                <w:sz w:val="28"/>
                <w:szCs w:val="28"/>
                <w:b w:val="1"/>
                <w:bCs w:val="1"/>
                <w:i w:val="1"/>
                <w:iCs w:val="1"/>
                <w:color w:val="auto"/>
                <w:vertAlign w:val="superscript"/>
              </w:rPr>
              <w:t>(3) (4)</w:t>
            </w:r>
          </w:p>
        </w:tc>
        <w:tc>
          <w:tcPr>
            <w:tcW w:w="540" w:type="dxa"/>
            <w:vAlign w:val="bottom"/>
            <w:tcBorders>
              <w:bottom w:val="single" w:sz="8" w:color="auto"/>
            </w:tcBorders>
            <w:shd w:val="clear" w:color="auto" w:fill="F7AB6C"/>
          </w:tcPr>
          <w:p>
            <w:pPr>
              <w:spacing w:after="0"/>
              <w:rPr>
                <w:sz w:val="23"/>
                <w:szCs w:val="23"/>
                <w:color w:val="auto"/>
              </w:rPr>
            </w:pPr>
          </w:p>
        </w:tc>
        <w:tc>
          <w:tcPr>
            <w:tcW w:w="1480" w:type="dxa"/>
            <w:vAlign w:val="bottom"/>
            <w:tcBorders>
              <w:bottom w:val="single" w:sz="8" w:color="auto"/>
            </w:tcBorders>
            <w:shd w:val="clear" w:color="auto" w:fill="F7AB6C"/>
          </w:tcPr>
          <w:p>
            <w:pPr>
              <w:spacing w:after="0"/>
              <w:rPr>
                <w:sz w:val="23"/>
                <w:szCs w:val="23"/>
                <w:color w:val="auto"/>
              </w:rPr>
            </w:pPr>
          </w:p>
        </w:tc>
        <w:tc>
          <w:tcPr>
            <w:tcW w:w="2380" w:type="dxa"/>
            <w:vAlign w:val="bottom"/>
            <w:tcBorders>
              <w:bottom w:val="single" w:sz="8" w:color="auto"/>
            </w:tcBorders>
            <w:shd w:val="clear" w:color="auto" w:fill="F7AB6C"/>
          </w:tcPr>
          <w:p>
            <w:pPr>
              <w:spacing w:after="0"/>
              <w:rPr>
                <w:sz w:val="23"/>
                <w:szCs w:val="23"/>
                <w:color w:val="auto"/>
              </w:rPr>
            </w:pPr>
          </w:p>
        </w:tc>
        <w:tc>
          <w:tcPr>
            <w:tcW w:w="1920" w:type="dxa"/>
            <w:vAlign w:val="bottom"/>
            <w:tcBorders>
              <w:bottom w:val="single" w:sz="8" w:color="auto"/>
            </w:tcBorders>
            <w:shd w:val="clear" w:color="auto" w:fill="F7AB6C"/>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6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Anne L. Alonzo</w:t>
            </w:r>
          </w:p>
        </w:tc>
        <w:tc>
          <w:tcPr>
            <w:tcW w:w="5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51"/>
              <w:spacing w:after="0"/>
              <w:rPr>
                <w:sz w:val="20"/>
                <w:szCs w:val="20"/>
                <w:color w:val="auto"/>
              </w:rPr>
            </w:pPr>
            <w:r>
              <w:rPr>
                <w:rFonts w:ascii="Arial" w:cs="Arial" w:eastAsia="Arial" w:hAnsi="Arial"/>
                <w:sz w:val="17"/>
                <w:szCs w:val="17"/>
                <w:color w:val="auto"/>
              </w:rPr>
              <w:t>1,276</w:t>
            </w:r>
          </w:p>
        </w:tc>
        <w:tc>
          <w:tcPr>
            <w:tcW w:w="2380" w:type="dxa"/>
            <w:vAlign w:val="bottom"/>
            <w:tcBorders>
              <w:bottom w:val="single" w:sz="8" w:color="auto"/>
            </w:tcBorders>
          </w:tcPr>
          <w:p>
            <w:pPr>
              <w:jc w:val="right"/>
              <w:ind w:right="691"/>
              <w:spacing w:after="0"/>
              <w:rPr>
                <w:sz w:val="20"/>
                <w:szCs w:val="20"/>
                <w:color w:val="auto"/>
              </w:rPr>
            </w:pPr>
            <w:r>
              <w:rPr>
                <w:rFonts w:ascii="Arial" w:cs="Arial" w:eastAsia="Arial" w:hAnsi="Arial"/>
                <w:sz w:val="17"/>
                <w:szCs w:val="17"/>
                <w:color w:val="auto"/>
              </w:rPr>
              <w:t>4,106</w:t>
            </w:r>
          </w:p>
        </w:tc>
        <w:tc>
          <w:tcPr>
            <w:tcW w:w="1920" w:type="dxa"/>
            <w:vAlign w:val="bottom"/>
            <w:tcBorders>
              <w:bottom w:val="single" w:sz="8" w:color="auto"/>
            </w:tcBorders>
          </w:tcPr>
          <w:p>
            <w:pPr>
              <w:jc w:val="center"/>
              <w:ind w:left="15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36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Neveen F. Awad, Ph.D.</w:t>
            </w:r>
          </w:p>
        </w:tc>
        <w:tc>
          <w:tcPr>
            <w:tcW w:w="5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51"/>
              <w:spacing w:after="0"/>
              <w:rPr>
                <w:sz w:val="20"/>
                <w:szCs w:val="20"/>
                <w:color w:val="auto"/>
              </w:rPr>
            </w:pPr>
            <w:r>
              <w:rPr>
                <w:rFonts w:ascii="Arial" w:cs="Arial" w:eastAsia="Arial" w:hAnsi="Arial"/>
                <w:sz w:val="17"/>
                <w:szCs w:val="17"/>
                <w:color w:val="auto"/>
              </w:rPr>
              <w:t>3,986</w:t>
            </w:r>
          </w:p>
        </w:tc>
        <w:tc>
          <w:tcPr>
            <w:tcW w:w="2380" w:type="dxa"/>
            <w:vAlign w:val="bottom"/>
            <w:tcBorders>
              <w:bottom w:val="single" w:sz="8" w:color="auto"/>
            </w:tcBorders>
          </w:tcPr>
          <w:p>
            <w:pPr>
              <w:jc w:val="right"/>
              <w:ind w:right="691"/>
              <w:spacing w:after="0"/>
              <w:rPr>
                <w:sz w:val="20"/>
                <w:szCs w:val="20"/>
                <w:color w:val="auto"/>
              </w:rPr>
            </w:pPr>
            <w:r>
              <w:rPr>
                <w:rFonts w:ascii="Arial" w:cs="Arial" w:eastAsia="Arial" w:hAnsi="Arial"/>
                <w:sz w:val="17"/>
                <w:szCs w:val="17"/>
                <w:color w:val="auto"/>
              </w:rPr>
              <w:t>2,457</w:t>
            </w:r>
          </w:p>
        </w:tc>
        <w:tc>
          <w:tcPr>
            <w:tcW w:w="1920" w:type="dxa"/>
            <w:vAlign w:val="bottom"/>
            <w:tcBorders>
              <w:bottom w:val="single" w:sz="8" w:color="auto"/>
            </w:tcBorders>
          </w:tcPr>
          <w:p>
            <w:pPr>
              <w:jc w:val="center"/>
              <w:ind w:left="15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36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Winfield S. Brown</w:t>
            </w:r>
          </w:p>
        </w:tc>
        <w:tc>
          <w:tcPr>
            <w:tcW w:w="5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51"/>
              <w:spacing w:after="0"/>
              <w:rPr>
                <w:sz w:val="20"/>
                <w:szCs w:val="20"/>
                <w:color w:val="auto"/>
              </w:rPr>
            </w:pPr>
            <w:r>
              <w:rPr>
                <w:rFonts w:ascii="Arial" w:cs="Arial" w:eastAsia="Arial" w:hAnsi="Arial"/>
                <w:sz w:val="17"/>
                <w:szCs w:val="17"/>
                <w:color w:val="auto"/>
              </w:rPr>
              <w:t>7,723</w:t>
            </w:r>
          </w:p>
        </w:tc>
        <w:tc>
          <w:tcPr>
            <w:tcW w:w="2380" w:type="dxa"/>
            <w:vAlign w:val="bottom"/>
            <w:tcBorders>
              <w:bottom w:val="single" w:sz="8" w:color="auto"/>
            </w:tcBorders>
          </w:tcPr>
          <w:p>
            <w:pPr>
              <w:jc w:val="right"/>
              <w:ind w:right="691"/>
              <w:spacing w:after="0"/>
              <w:rPr>
                <w:sz w:val="20"/>
                <w:szCs w:val="20"/>
                <w:color w:val="auto"/>
              </w:rPr>
            </w:pPr>
            <w:r>
              <w:rPr>
                <w:rFonts w:ascii="Arial" w:cs="Arial" w:eastAsia="Arial" w:hAnsi="Arial"/>
                <w:sz w:val="17"/>
                <w:szCs w:val="17"/>
                <w:color w:val="auto"/>
              </w:rPr>
              <w:t>3,748</w:t>
            </w:r>
          </w:p>
        </w:tc>
        <w:tc>
          <w:tcPr>
            <w:tcW w:w="1920" w:type="dxa"/>
            <w:vAlign w:val="bottom"/>
            <w:tcBorders>
              <w:bottom w:val="single" w:sz="8" w:color="auto"/>
            </w:tcBorders>
          </w:tcPr>
          <w:p>
            <w:pPr>
              <w:jc w:val="center"/>
              <w:ind w:left="15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36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Mark H. Collin</w:t>
            </w:r>
          </w:p>
        </w:tc>
        <w:tc>
          <w:tcPr>
            <w:tcW w:w="5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51"/>
              <w:spacing w:after="0"/>
              <w:rPr>
                <w:sz w:val="20"/>
                <w:szCs w:val="20"/>
                <w:color w:val="auto"/>
              </w:rPr>
            </w:pPr>
            <w:r>
              <w:rPr>
                <w:rFonts w:ascii="Arial" w:cs="Arial" w:eastAsia="Arial" w:hAnsi="Arial"/>
                <w:sz w:val="17"/>
                <w:szCs w:val="17"/>
                <w:color w:val="auto"/>
              </w:rPr>
              <w:t>58,837</w:t>
            </w:r>
          </w:p>
        </w:tc>
        <w:tc>
          <w:tcPr>
            <w:tcW w:w="2380" w:type="dxa"/>
            <w:vAlign w:val="bottom"/>
            <w:tcBorders>
              <w:bottom w:val="single" w:sz="8" w:color="auto"/>
            </w:tcBorders>
          </w:tcPr>
          <w:p>
            <w:pPr>
              <w:jc w:val="right"/>
              <w:ind w:right="691"/>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center"/>
              <w:ind w:left="15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36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Suzanne Foster</w:t>
            </w:r>
          </w:p>
        </w:tc>
        <w:tc>
          <w:tcPr>
            <w:tcW w:w="5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51"/>
              <w:spacing w:after="0"/>
              <w:rPr>
                <w:sz w:val="20"/>
                <w:szCs w:val="20"/>
                <w:color w:val="auto"/>
              </w:rPr>
            </w:pPr>
            <w:r>
              <w:rPr>
                <w:rFonts w:ascii="Arial" w:cs="Arial" w:eastAsia="Arial" w:hAnsi="Arial"/>
                <w:sz w:val="17"/>
                <w:szCs w:val="17"/>
                <w:color w:val="auto"/>
              </w:rPr>
              <w:t>12,134</w:t>
            </w:r>
          </w:p>
        </w:tc>
        <w:tc>
          <w:tcPr>
            <w:tcW w:w="2380" w:type="dxa"/>
            <w:vAlign w:val="bottom"/>
            <w:tcBorders>
              <w:bottom w:val="single" w:sz="8" w:color="auto"/>
            </w:tcBorders>
          </w:tcPr>
          <w:p>
            <w:pPr>
              <w:jc w:val="right"/>
              <w:ind w:right="691"/>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center"/>
              <w:ind w:left="15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3660" w:type="dxa"/>
            <w:vAlign w:val="bottom"/>
            <w:tcBorders>
              <w:bottom w:val="single" w:sz="8" w:color="auto"/>
            </w:tcBorders>
          </w:tcPr>
          <w:p>
            <w:pPr>
              <w:ind w:left="160"/>
              <w:spacing w:after="0" w:line="253" w:lineRule="exact"/>
              <w:rPr>
                <w:sz w:val="20"/>
                <w:szCs w:val="20"/>
                <w:color w:val="auto"/>
              </w:rPr>
            </w:pPr>
            <w:r>
              <w:rPr>
                <w:rFonts w:ascii="Arial" w:cs="Arial" w:eastAsia="Arial" w:hAnsi="Arial"/>
                <w:sz w:val="17"/>
                <w:szCs w:val="17"/>
                <w:b w:val="1"/>
                <w:bCs w:val="1"/>
                <w:color w:val="auto"/>
              </w:rPr>
              <w:t xml:space="preserve">Edward F. Godfrey </w:t>
            </w:r>
            <w:r>
              <w:rPr>
                <w:rFonts w:ascii="Arial" w:cs="Arial" w:eastAsia="Arial" w:hAnsi="Arial"/>
                <w:sz w:val="25"/>
                <w:szCs w:val="25"/>
                <w:i w:val="1"/>
                <w:iCs w:val="1"/>
                <w:color w:val="auto"/>
                <w:vertAlign w:val="superscript"/>
              </w:rPr>
              <w:t>(5)</w:t>
            </w:r>
          </w:p>
        </w:tc>
        <w:tc>
          <w:tcPr>
            <w:tcW w:w="5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51"/>
              <w:spacing w:after="0"/>
              <w:rPr>
                <w:sz w:val="20"/>
                <w:szCs w:val="20"/>
                <w:color w:val="auto"/>
              </w:rPr>
            </w:pPr>
            <w:r>
              <w:rPr>
                <w:rFonts w:ascii="Arial" w:cs="Arial" w:eastAsia="Arial" w:hAnsi="Arial"/>
                <w:sz w:val="17"/>
                <w:szCs w:val="17"/>
                <w:color w:val="auto"/>
              </w:rPr>
              <w:t>22,625</w:t>
            </w:r>
          </w:p>
        </w:tc>
        <w:tc>
          <w:tcPr>
            <w:tcW w:w="2380" w:type="dxa"/>
            <w:vAlign w:val="bottom"/>
            <w:tcBorders>
              <w:bottom w:val="single" w:sz="8" w:color="auto"/>
            </w:tcBorders>
          </w:tcPr>
          <w:p>
            <w:pPr>
              <w:jc w:val="right"/>
              <w:ind w:right="691"/>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center"/>
              <w:ind w:left="15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3660" w:type="dxa"/>
            <w:vAlign w:val="bottom"/>
            <w:tcBorders>
              <w:bottom w:val="single" w:sz="8" w:color="auto"/>
            </w:tcBorders>
          </w:tcPr>
          <w:p>
            <w:pPr>
              <w:ind w:left="160"/>
              <w:spacing w:after="0" w:line="253" w:lineRule="exact"/>
              <w:rPr>
                <w:sz w:val="20"/>
                <w:szCs w:val="20"/>
                <w:color w:val="auto"/>
              </w:rPr>
            </w:pPr>
            <w:r>
              <w:rPr>
                <w:rFonts w:ascii="Arial" w:cs="Arial" w:eastAsia="Arial" w:hAnsi="Arial"/>
                <w:sz w:val="17"/>
                <w:szCs w:val="17"/>
                <w:b w:val="1"/>
                <w:bCs w:val="1"/>
                <w:color w:val="auto"/>
              </w:rPr>
              <w:t xml:space="preserve">Michael B. Green </w:t>
            </w:r>
            <w:r>
              <w:rPr>
                <w:rFonts w:ascii="Arial" w:cs="Arial" w:eastAsia="Arial" w:hAnsi="Arial"/>
                <w:sz w:val="25"/>
                <w:szCs w:val="25"/>
                <w:i w:val="1"/>
                <w:iCs w:val="1"/>
                <w:color w:val="auto"/>
                <w:vertAlign w:val="superscript"/>
              </w:rPr>
              <w:t>(6)</w:t>
            </w:r>
          </w:p>
        </w:tc>
        <w:tc>
          <w:tcPr>
            <w:tcW w:w="5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51"/>
              <w:spacing w:after="0"/>
              <w:rPr>
                <w:sz w:val="20"/>
                <w:szCs w:val="20"/>
                <w:color w:val="auto"/>
              </w:rPr>
            </w:pPr>
            <w:r>
              <w:rPr>
                <w:rFonts w:ascii="Arial" w:cs="Arial" w:eastAsia="Arial" w:hAnsi="Arial"/>
                <w:sz w:val="17"/>
                <w:szCs w:val="17"/>
                <w:color w:val="auto"/>
              </w:rPr>
              <w:t>5,530</w:t>
            </w:r>
          </w:p>
        </w:tc>
        <w:tc>
          <w:tcPr>
            <w:tcW w:w="2380" w:type="dxa"/>
            <w:vAlign w:val="bottom"/>
            <w:tcBorders>
              <w:bottom w:val="single" w:sz="8" w:color="auto"/>
            </w:tcBorders>
          </w:tcPr>
          <w:p>
            <w:pPr>
              <w:jc w:val="right"/>
              <w:ind w:right="691"/>
              <w:spacing w:after="0"/>
              <w:rPr>
                <w:sz w:val="20"/>
                <w:szCs w:val="20"/>
                <w:color w:val="auto"/>
              </w:rPr>
            </w:pPr>
            <w:r>
              <w:rPr>
                <w:rFonts w:ascii="Arial" w:cs="Arial" w:eastAsia="Arial" w:hAnsi="Arial"/>
                <w:sz w:val="17"/>
                <w:szCs w:val="17"/>
                <w:color w:val="auto"/>
              </w:rPr>
              <w:t>26,226</w:t>
            </w:r>
          </w:p>
        </w:tc>
        <w:tc>
          <w:tcPr>
            <w:tcW w:w="1920" w:type="dxa"/>
            <w:vAlign w:val="bottom"/>
            <w:tcBorders>
              <w:bottom w:val="single" w:sz="8" w:color="auto"/>
            </w:tcBorders>
          </w:tcPr>
          <w:p>
            <w:pPr>
              <w:jc w:val="center"/>
              <w:ind w:left="15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36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Katherine Kountze</w:t>
            </w:r>
          </w:p>
        </w:tc>
        <w:tc>
          <w:tcPr>
            <w:tcW w:w="5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51"/>
              <w:spacing w:after="0"/>
              <w:rPr>
                <w:sz w:val="20"/>
                <w:szCs w:val="20"/>
                <w:color w:val="auto"/>
              </w:rPr>
            </w:pPr>
            <w:r>
              <w:rPr>
                <w:rFonts w:ascii="Arial" w:cs="Arial" w:eastAsia="Arial" w:hAnsi="Arial"/>
                <w:sz w:val="17"/>
                <w:szCs w:val="17"/>
                <w:color w:val="auto"/>
              </w:rPr>
              <w:t>1,624</w:t>
            </w:r>
          </w:p>
        </w:tc>
        <w:tc>
          <w:tcPr>
            <w:tcW w:w="2380" w:type="dxa"/>
            <w:vAlign w:val="bottom"/>
            <w:tcBorders>
              <w:bottom w:val="single" w:sz="8" w:color="auto"/>
            </w:tcBorders>
          </w:tcPr>
          <w:p>
            <w:pPr>
              <w:jc w:val="right"/>
              <w:ind w:right="691"/>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center"/>
              <w:ind w:left="15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36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Jane Lewis-Raymond</w:t>
            </w:r>
          </w:p>
        </w:tc>
        <w:tc>
          <w:tcPr>
            <w:tcW w:w="5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51"/>
              <w:spacing w:after="0"/>
              <w:rPr>
                <w:sz w:val="20"/>
                <w:szCs w:val="20"/>
                <w:color w:val="auto"/>
              </w:rPr>
            </w:pPr>
            <w:r>
              <w:rPr>
                <w:rFonts w:ascii="Arial" w:cs="Arial" w:eastAsia="Arial" w:hAnsi="Arial"/>
                <w:sz w:val="17"/>
                <w:szCs w:val="17"/>
                <w:color w:val="auto"/>
              </w:rPr>
              <w:t>291</w:t>
            </w:r>
          </w:p>
        </w:tc>
        <w:tc>
          <w:tcPr>
            <w:tcW w:w="2380" w:type="dxa"/>
            <w:vAlign w:val="bottom"/>
            <w:tcBorders>
              <w:bottom w:val="single" w:sz="8" w:color="auto"/>
            </w:tcBorders>
          </w:tcPr>
          <w:p>
            <w:pPr>
              <w:jc w:val="right"/>
              <w:ind w:right="691"/>
              <w:spacing w:after="0"/>
              <w:rPr>
                <w:sz w:val="20"/>
                <w:szCs w:val="20"/>
                <w:color w:val="auto"/>
              </w:rPr>
            </w:pPr>
            <w:r>
              <w:rPr>
                <w:rFonts w:ascii="Arial" w:cs="Arial" w:eastAsia="Arial" w:hAnsi="Arial"/>
                <w:sz w:val="17"/>
                <w:szCs w:val="17"/>
                <w:color w:val="auto"/>
              </w:rPr>
              <w:t>2,457</w:t>
            </w:r>
          </w:p>
        </w:tc>
        <w:tc>
          <w:tcPr>
            <w:tcW w:w="1920" w:type="dxa"/>
            <w:vAlign w:val="bottom"/>
            <w:tcBorders>
              <w:bottom w:val="single" w:sz="8" w:color="auto"/>
            </w:tcBorders>
          </w:tcPr>
          <w:p>
            <w:pPr>
              <w:jc w:val="center"/>
              <w:ind w:left="15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36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Justine Vogel</w:t>
            </w:r>
          </w:p>
        </w:tc>
        <w:tc>
          <w:tcPr>
            <w:tcW w:w="5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51"/>
              <w:spacing w:after="0"/>
              <w:rPr>
                <w:sz w:val="20"/>
                <w:szCs w:val="20"/>
                <w:color w:val="auto"/>
              </w:rPr>
            </w:pPr>
            <w:r>
              <w:rPr>
                <w:rFonts w:ascii="Arial" w:cs="Arial" w:eastAsia="Arial" w:hAnsi="Arial"/>
                <w:sz w:val="17"/>
                <w:szCs w:val="17"/>
                <w:color w:val="auto"/>
              </w:rPr>
              <w:t>12,134</w:t>
            </w:r>
          </w:p>
        </w:tc>
        <w:tc>
          <w:tcPr>
            <w:tcW w:w="2380" w:type="dxa"/>
            <w:vAlign w:val="bottom"/>
            <w:tcBorders>
              <w:bottom w:val="single" w:sz="8" w:color="auto"/>
            </w:tcBorders>
          </w:tcPr>
          <w:p>
            <w:pPr>
              <w:jc w:val="right"/>
              <w:ind w:right="691"/>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center"/>
              <w:ind w:left="15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36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David A. Whiteley</w:t>
            </w:r>
          </w:p>
        </w:tc>
        <w:tc>
          <w:tcPr>
            <w:tcW w:w="5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51"/>
              <w:spacing w:after="0"/>
              <w:rPr>
                <w:sz w:val="20"/>
                <w:szCs w:val="20"/>
                <w:color w:val="auto"/>
              </w:rPr>
            </w:pPr>
            <w:r>
              <w:rPr>
                <w:rFonts w:ascii="Arial" w:cs="Arial" w:eastAsia="Arial" w:hAnsi="Arial"/>
                <w:sz w:val="17"/>
                <w:szCs w:val="17"/>
                <w:color w:val="auto"/>
              </w:rPr>
              <w:t>11,033</w:t>
            </w:r>
          </w:p>
        </w:tc>
        <w:tc>
          <w:tcPr>
            <w:tcW w:w="2380" w:type="dxa"/>
            <w:vAlign w:val="bottom"/>
            <w:tcBorders>
              <w:bottom w:val="single" w:sz="8" w:color="auto"/>
            </w:tcBorders>
          </w:tcPr>
          <w:p>
            <w:pPr>
              <w:jc w:val="right"/>
              <w:ind w:right="691"/>
              <w:spacing w:after="0"/>
              <w:rPr>
                <w:sz w:val="20"/>
                <w:szCs w:val="20"/>
                <w:color w:val="auto"/>
              </w:rPr>
            </w:pPr>
            <w:r>
              <w:rPr>
                <w:rFonts w:ascii="Arial" w:cs="Arial" w:eastAsia="Arial" w:hAnsi="Arial"/>
                <w:sz w:val="17"/>
                <w:szCs w:val="17"/>
                <w:color w:val="auto"/>
              </w:rPr>
              <w:t>12,508</w:t>
            </w:r>
          </w:p>
        </w:tc>
        <w:tc>
          <w:tcPr>
            <w:tcW w:w="1920" w:type="dxa"/>
            <w:vAlign w:val="bottom"/>
            <w:tcBorders>
              <w:bottom w:val="single" w:sz="8" w:color="auto"/>
            </w:tcBorders>
          </w:tcPr>
          <w:p>
            <w:pPr>
              <w:jc w:val="center"/>
              <w:ind w:left="15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83"/>
        </w:trPr>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w:t>
            </w:r>
          </w:p>
        </w:tc>
        <w:tc>
          <w:tcPr>
            <w:tcW w:w="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660" w:type="dxa"/>
            <w:vAlign w:val="bottom"/>
            <w:tcBorders>
              <w:bottom w:val="single" w:sz="8" w:color="auto"/>
            </w:tcBorders>
            <w:shd w:val="clear" w:color="auto" w:fill="F7AB6C"/>
          </w:tcPr>
          <w:p>
            <w:pPr>
              <w:ind w:left="160"/>
              <w:spacing w:after="0" w:line="253" w:lineRule="exact"/>
              <w:rPr>
                <w:sz w:val="20"/>
                <w:szCs w:val="20"/>
                <w:color w:val="auto"/>
              </w:rPr>
            </w:pPr>
            <w:r>
              <w:rPr>
                <w:rFonts w:ascii="Arial" w:cs="Arial" w:eastAsia="Arial" w:hAnsi="Arial"/>
                <w:sz w:val="19"/>
                <w:szCs w:val="19"/>
                <w:b w:val="1"/>
                <w:bCs w:val="1"/>
                <w:color w:val="auto"/>
              </w:rPr>
              <w:t xml:space="preserve">Named Executive Officers: </w:t>
            </w:r>
            <w:r>
              <w:rPr>
                <w:rFonts w:ascii="Arial" w:cs="Arial" w:eastAsia="Arial" w:hAnsi="Arial"/>
                <w:sz w:val="28"/>
                <w:szCs w:val="28"/>
                <w:b w:val="1"/>
                <w:bCs w:val="1"/>
                <w:i w:val="1"/>
                <w:iCs w:val="1"/>
                <w:color w:val="auto"/>
                <w:vertAlign w:val="superscript"/>
              </w:rPr>
              <w:t>(3)</w:t>
            </w:r>
          </w:p>
        </w:tc>
        <w:tc>
          <w:tcPr>
            <w:tcW w:w="540" w:type="dxa"/>
            <w:vAlign w:val="bottom"/>
            <w:tcBorders>
              <w:bottom w:val="single" w:sz="8" w:color="auto"/>
            </w:tcBorders>
            <w:shd w:val="clear" w:color="auto" w:fill="F7AB6C"/>
          </w:tcPr>
          <w:p>
            <w:pPr>
              <w:spacing w:after="0"/>
              <w:rPr>
                <w:sz w:val="21"/>
                <w:szCs w:val="21"/>
                <w:color w:val="auto"/>
              </w:rPr>
            </w:pPr>
          </w:p>
        </w:tc>
        <w:tc>
          <w:tcPr>
            <w:tcW w:w="1480" w:type="dxa"/>
            <w:vAlign w:val="bottom"/>
            <w:tcBorders>
              <w:bottom w:val="single" w:sz="8" w:color="auto"/>
            </w:tcBorders>
            <w:shd w:val="clear" w:color="auto" w:fill="F7AB6C"/>
          </w:tcPr>
          <w:p>
            <w:pPr>
              <w:spacing w:after="0"/>
              <w:rPr>
                <w:sz w:val="21"/>
                <w:szCs w:val="21"/>
                <w:color w:val="auto"/>
              </w:rPr>
            </w:pPr>
          </w:p>
        </w:tc>
        <w:tc>
          <w:tcPr>
            <w:tcW w:w="2380" w:type="dxa"/>
            <w:vAlign w:val="bottom"/>
            <w:tcBorders>
              <w:bottom w:val="single" w:sz="8" w:color="auto"/>
            </w:tcBorders>
            <w:shd w:val="clear" w:color="auto" w:fill="F7AB6C"/>
          </w:tcPr>
          <w:p>
            <w:pPr>
              <w:spacing w:after="0"/>
              <w:rPr>
                <w:sz w:val="21"/>
                <w:szCs w:val="21"/>
                <w:color w:val="auto"/>
              </w:rPr>
            </w:pPr>
          </w:p>
        </w:tc>
        <w:tc>
          <w:tcPr>
            <w:tcW w:w="1920" w:type="dxa"/>
            <w:vAlign w:val="bottom"/>
            <w:tcBorders>
              <w:bottom w:val="single" w:sz="8" w:color="auto"/>
            </w:tcBorders>
            <w:shd w:val="clear" w:color="auto" w:fill="F7AB6C"/>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36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 xml:space="preserve">Thomas P. Meissner, Jr. </w:t>
            </w:r>
            <w:r>
              <w:rPr>
                <w:rFonts w:ascii="Arial" w:cs="Arial" w:eastAsia="Arial" w:hAnsi="Arial"/>
                <w:sz w:val="25"/>
                <w:szCs w:val="25"/>
                <w:b w:val="1"/>
                <w:bCs w:val="1"/>
                <w:i w:val="1"/>
                <w:iCs w:val="1"/>
                <w:color w:val="auto"/>
                <w:vertAlign w:val="superscript"/>
              </w:rPr>
              <w:t>(7)</w:t>
            </w:r>
          </w:p>
        </w:tc>
        <w:tc>
          <w:tcPr>
            <w:tcW w:w="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51"/>
              <w:spacing w:after="0"/>
              <w:rPr>
                <w:sz w:val="20"/>
                <w:szCs w:val="20"/>
                <w:color w:val="auto"/>
              </w:rPr>
            </w:pPr>
            <w:r>
              <w:rPr>
                <w:rFonts w:ascii="Arial" w:cs="Arial" w:eastAsia="Arial" w:hAnsi="Arial"/>
                <w:sz w:val="17"/>
                <w:szCs w:val="17"/>
                <w:color w:val="auto"/>
              </w:rPr>
              <w:t>148,738</w:t>
            </w:r>
          </w:p>
        </w:tc>
        <w:tc>
          <w:tcPr>
            <w:tcW w:w="2380" w:type="dxa"/>
            <w:vAlign w:val="bottom"/>
            <w:tcBorders>
              <w:bottom w:val="single" w:sz="8" w:color="auto"/>
            </w:tcBorders>
          </w:tcPr>
          <w:p>
            <w:pPr>
              <w:jc w:val="right"/>
              <w:ind w:right="691"/>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center"/>
              <w:ind w:left="15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9"/>
        </w:trPr>
        <w:tc>
          <w:tcPr>
            <w:tcW w:w="3660" w:type="dxa"/>
            <w:vAlign w:val="bottom"/>
            <w:tcBorders>
              <w:bottom w:val="single" w:sz="8" w:color="auto"/>
            </w:tcBorders>
          </w:tcPr>
          <w:p>
            <w:pPr>
              <w:ind w:left="160"/>
              <w:spacing w:after="0" w:line="278" w:lineRule="exact"/>
              <w:rPr>
                <w:sz w:val="20"/>
                <w:szCs w:val="20"/>
                <w:color w:val="auto"/>
              </w:rPr>
            </w:pPr>
            <w:r>
              <w:rPr>
                <w:rFonts w:ascii="Arial" w:cs="Arial" w:eastAsia="Arial" w:hAnsi="Arial"/>
                <w:sz w:val="17"/>
                <w:szCs w:val="17"/>
                <w:b w:val="1"/>
                <w:bCs w:val="1"/>
                <w:color w:val="auto"/>
              </w:rPr>
              <w:t xml:space="preserve">Robert B. Hevert </w:t>
            </w:r>
            <w:r>
              <w:rPr>
                <w:rFonts w:ascii="Arial" w:cs="Arial" w:eastAsia="Arial" w:hAnsi="Arial"/>
                <w:sz w:val="25"/>
                <w:szCs w:val="25"/>
                <w:b w:val="1"/>
                <w:bCs w:val="1"/>
                <w:i w:val="1"/>
                <w:iCs w:val="1"/>
                <w:color w:val="auto"/>
                <w:vertAlign w:val="superscript"/>
              </w:rPr>
              <w:t>(8)</w:t>
            </w:r>
          </w:p>
        </w:tc>
        <w:tc>
          <w:tcPr>
            <w:tcW w:w="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51"/>
              <w:spacing w:after="0"/>
              <w:rPr>
                <w:sz w:val="20"/>
                <w:szCs w:val="20"/>
                <w:color w:val="auto"/>
              </w:rPr>
            </w:pPr>
            <w:r>
              <w:rPr>
                <w:rFonts w:ascii="Arial" w:cs="Arial" w:eastAsia="Arial" w:hAnsi="Arial"/>
                <w:sz w:val="17"/>
                <w:szCs w:val="17"/>
                <w:color w:val="auto"/>
              </w:rPr>
              <w:t>35,465</w:t>
            </w:r>
          </w:p>
        </w:tc>
        <w:tc>
          <w:tcPr>
            <w:tcW w:w="2380" w:type="dxa"/>
            <w:vAlign w:val="bottom"/>
            <w:tcBorders>
              <w:bottom w:val="single" w:sz="8" w:color="auto"/>
            </w:tcBorders>
          </w:tcPr>
          <w:p>
            <w:pPr>
              <w:jc w:val="right"/>
              <w:ind w:right="691"/>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center"/>
              <w:ind w:left="15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156845</wp:posOffset>
            </wp:positionV>
            <wp:extent cx="6337300" cy="908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05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20"/>
          </w:cols>
          <w:pgMar w:left="320" w:top="470" w:right="9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98" w:lineRule="exact"/>
        <w:rPr>
          <w:sz w:val="20"/>
          <w:szCs w:val="20"/>
          <w:color w:val="auto"/>
        </w:rPr>
      </w:pPr>
    </w:p>
    <w:tbl>
      <w:tblPr>
        <w:tblLayout w:type="fixed"/>
        <w:tblInd w:w="640" w:type="dxa"/>
        <w:tblCellMar>
          <w:top w:w="0" w:type="dxa"/>
          <w:left w:w="0" w:type="dxa"/>
          <w:bottom w:w="0" w:type="dxa"/>
          <w:right w:w="0" w:type="dxa"/>
        </w:tblCellMar>
      </w:tblPr>
      <w:tr>
        <w:trPr>
          <w:trHeight w:val="241"/>
        </w:trPr>
        <w:tc>
          <w:tcPr>
            <w:tcW w:w="3820" w:type="dxa"/>
            <w:vAlign w:val="bottom"/>
            <w:vMerge w:val="restart"/>
            <w:shd w:val="clear" w:color="auto" w:fill="314A72"/>
          </w:tcPr>
          <w:p>
            <w:pPr>
              <w:spacing w:after="0"/>
              <w:rPr>
                <w:sz w:val="20"/>
                <w:szCs w:val="20"/>
                <w:color w:val="auto"/>
              </w:rPr>
            </w:pPr>
            <w:r>
              <w:rPr>
                <w:rFonts w:ascii="Arial" w:cs="Arial" w:eastAsia="Arial" w:hAnsi="Arial"/>
                <w:sz w:val="21"/>
                <w:szCs w:val="21"/>
                <w:b w:val="1"/>
                <w:bCs w:val="1"/>
                <w:color w:val="FFFFFF"/>
              </w:rPr>
              <w:t>   Name of Beneficial Owner</w:t>
            </w:r>
          </w:p>
        </w:tc>
        <w:tc>
          <w:tcPr>
            <w:tcW w:w="460" w:type="dxa"/>
            <w:vAlign w:val="bottom"/>
            <w:shd w:val="clear" w:color="auto" w:fill="314A72"/>
          </w:tcPr>
          <w:p>
            <w:pPr>
              <w:ind w:left="340"/>
              <w:spacing w:after="0"/>
              <w:rPr>
                <w:sz w:val="20"/>
                <w:szCs w:val="20"/>
                <w:color w:val="auto"/>
              </w:rPr>
            </w:pPr>
            <w:r>
              <w:rPr>
                <w:rFonts w:ascii="Arial" w:cs="Arial" w:eastAsia="Arial" w:hAnsi="Arial"/>
                <w:sz w:val="14"/>
                <w:szCs w:val="14"/>
                <w:b w:val="1"/>
                <w:bCs w:val="1"/>
                <w:color w:val="FFFFFF"/>
                <w:w w:val="71"/>
              </w:rPr>
              <w:t> </w:t>
            </w:r>
          </w:p>
        </w:tc>
        <w:tc>
          <w:tcPr>
            <w:tcW w:w="1480" w:type="dxa"/>
            <w:vAlign w:val="bottom"/>
            <w:shd w:val="clear" w:color="auto" w:fill="314A72"/>
          </w:tcPr>
          <w:p>
            <w:pPr>
              <w:jc w:val="right"/>
              <w:ind w:right="408"/>
              <w:spacing w:after="0"/>
              <w:rPr>
                <w:sz w:val="20"/>
                <w:szCs w:val="20"/>
                <w:color w:val="auto"/>
              </w:rPr>
            </w:pPr>
            <w:r>
              <w:rPr>
                <w:rFonts w:ascii="Arial" w:cs="Arial" w:eastAsia="Arial" w:hAnsi="Arial"/>
                <w:sz w:val="21"/>
                <w:szCs w:val="21"/>
                <w:b w:val="1"/>
                <w:bCs w:val="1"/>
                <w:color w:val="FFFFFF"/>
              </w:rPr>
              <w:t>Common</w:t>
            </w:r>
          </w:p>
        </w:tc>
        <w:tc>
          <w:tcPr>
            <w:tcW w:w="2360" w:type="dxa"/>
            <w:vAlign w:val="bottom"/>
            <w:shd w:val="clear" w:color="auto" w:fill="314A72"/>
          </w:tcPr>
          <w:p>
            <w:pPr>
              <w:jc w:val="right"/>
              <w:ind w:right="468"/>
              <w:spacing w:after="0"/>
              <w:rPr>
                <w:sz w:val="20"/>
                <w:szCs w:val="20"/>
                <w:color w:val="auto"/>
              </w:rPr>
            </w:pPr>
            <w:r>
              <w:rPr>
                <w:rFonts w:ascii="Arial" w:cs="Arial" w:eastAsia="Arial" w:hAnsi="Arial"/>
                <w:sz w:val="21"/>
                <w:szCs w:val="21"/>
                <w:b w:val="1"/>
                <w:bCs w:val="1"/>
                <w:color w:val="FFFFFF"/>
              </w:rPr>
              <w:t>Restricted</w:t>
            </w:r>
          </w:p>
        </w:tc>
        <w:tc>
          <w:tcPr>
            <w:tcW w:w="1860" w:type="dxa"/>
            <w:vAlign w:val="bottom"/>
            <w:shd w:val="clear" w:color="auto" w:fill="314A72"/>
          </w:tcPr>
          <w:p>
            <w:pPr>
              <w:ind w:left="460"/>
              <w:spacing w:after="0"/>
              <w:rPr>
                <w:sz w:val="20"/>
                <w:szCs w:val="20"/>
                <w:color w:val="auto"/>
              </w:rPr>
            </w:pPr>
            <w:r>
              <w:rPr>
                <w:rFonts w:ascii="Arial" w:cs="Arial" w:eastAsia="Arial" w:hAnsi="Arial"/>
                <w:sz w:val="21"/>
                <w:szCs w:val="21"/>
                <w:b w:val="1"/>
                <w:bCs w:val="1"/>
                <w:color w:val="FFFFFF"/>
              </w:rPr>
              <w:t>   Percent</w:t>
            </w:r>
          </w:p>
        </w:tc>
        <w:tc>
          <w:tcPr>
            <w:tcW w:w="0" w:type="dxa"/>
            <w:vAlign w:val="bottom"/>
          </w:tcPr>
          <w:p>
            <w:pPr>
              <w:spacing w:after="0"/>
              <w:rPr>
                <w:sz w:val="1"/>
                <w:szCs w:val="1"/>
                <w:color w:val="auto"/>
              </w:rPr>
            </w:pPr>
          </w:p>
        </w:tc>
      </w:tr>
      <w:tr>
        <w:trPr>
          <w:trHeight w:val="167"/>
        </w:trPr>
        <w:tc>
          <w:tcPr>
            <w:tcW w:w="3820" w:type="dxa"/>
            <w:vAlign w:val="bottom"/>
            <w:vMerge w:val="continue"/>
            <w:shd w:val="clear" w:color="auto" w:fill="314A72"/>
          </w:tcPr>
          <w:p>
            <w:pPr>
              <w:spacing w:after="0"/>
              <w:rPr>
                <w:sz w:val="14"/>
                <w:szCs w:val="14"/>
                <w:color w:val="auto"/>
              </w:rPr>
            </w:pPr>
          </w:p>
        </w:tc>
        <w:tc>
          <w:tcPr>
            <w:tcW w:w="460" w:type="dxa"/>
            <w:vAlign w:val="bottom"/>
            <w:shd w:val="clear" w:color="auto" w:fill="314A72"/>
          </w:tcPr>
          <w:p>
            <w:pPr>
              <w:spacing w:after="0"/>
              <w:rPr>
                <w:sz w:val="14"/>
                <w:szCs w:val="14"/>
                <w:color w:val="auto"/>
              </w:rPr>
            </w:pPr>
          </w:p>
        </w:tc>
        <w:tc>
          <w:tcPr>
            <w:tcW w:w="1480" w:type="dxa"/>
            <w:vAlign w:val="bottom"/>
            <w:vMerge w:val="restart"/>
            <w:shd w:val="clear" w:color="auto" w:fill="314A72"/>
          </w:tcPr>
          <w:p>
            <w:pPr>
              <w:jc w:val="right"/>
              <w:ind w:right="568"/>
              <w:spacing w:after="0"/>
              <w:rPr>
                <w:sz w:val="20"/>
                <w:szCs w:val="20"/>
                <w:color w:val="auto"/>
              </w:rPr>
            </w:pPr>
            <w:r>
              <w:rPr>
                <w:rFonts w:ascii="Arial" w:cs="Arial" w:eastAsia="Arial" w:hAnsi="Arial"/>
                <w:sz w:val="21"/>
                <w:szCs w:val="21"/>
                <w:b w:val="1"/>
                <w:bCs w:val="1"/>
                <w:color w:val="FFFFFF"/>
              </w:rPr>
              <w:t>Stock</w:t>
            </w:r>
          </w:p>
        </w:tc>
        <w:tc>
          <w:tcPr>
            <w:tcW w:w="2360" w:type="dxa"/>
            <w:vAlign w:val="bottom"/>
            <w:vMerge w:val="restart"/>
            <w:shd w:val="clear" w:color="auto" w:fill="314A72"/>
          </w:tcPr>
          <w:p>
            <w:pPr>
              <w:jc w:val="right"/>
              <w:ind w:right="348"/>
              <w:spacing w:after="0"/>
              <w:rPr>
                <w:sz w:val="20"/>
                <w:szCs w:val="20"/>
                <w:color w:val="auto"/>
              </w:rPr>
            </w:pPr>
            <w:r>
              <w:rPr>
                <w:rFonts w:ascii="Arial" w:cs="Arial" w:eastAsia="Arial" w:hAnsi="Arial"/>
                <w:sz w:val="21"/>
                <w:szCs w:val="21"/>
                <w:b w:val="1"/>
                <w:bCs w:val="1"/>
                <w:color w:val="FFFFFF"/>
              </w:rPr>
              <w:t>   Stock Units </w:t>
            </w:r>
          </w:p>
        </w:tc>
        <w:tc>
          <w:tcPr>
            <w:tcW w:w="1860" w:type="dxa"/>
            <w:vAlign w:val="bottom"/>
            <w:vMerge w:val="restart"/>
            <w:shd w:val="clear" w:color="auto" w:fill="314A72"/>
          </w:tcPr>
          <w:p>
            <w:pPr>
              <w:ind w:left="640"/>
              <w:spacing w:after="0"/>
              <w:rPr>
                <w:sz w:val="20"/>
                <w:szCs w:val="20"/>
                <w:color w:val="auto"/>
              </w:rPr>
            </w:pPr>
            <w:r>
              <w:rPr>
                <w:rFonts w:ascii="Arial" w:cs="Arial" w:eastAsia="Arial" w:hAnsi="Arial"/>
                <w:sz w:val="21"/>
                <w:szCs w:val="21"/>
                <w:b w:val="1"/>
                <w:bCs w:val="1"/>
                <w:color w:val="FFFFFF"/>
              </w:rPr>
              <w:t>of Class</w:t>
            </w:r>
          </w:p>
        </w:tc>
        <w:tc>
          <w:tcPr>
            <w:tcW w:w="0" w:type="dxa"/>
            <w:vAlign w:val="bottom"/>
          </w:tcPr>
          <w:p>
            <w:pPr>
              <w:spacing w:after="0"/>
              <w:rPr>
                <w:sz w:val="1"/>
                <w:szCs w:val="1"/>
                <w:color w:val="auto"/>
              </w:rPr>
            </w:pPr>
          </w:p>
        </w:tc>
      </w:tr>
      <w:tr>
        <w:trPr>
          <w:trHeight w:val="106"/>
        </w:trPr>
        <w:tc>
          <w:tcPr>
            <w:tcW w:w="3820" w:type="dxa"/>
            <w:vAlign w:val="bottom"/>
            <w:shd w:val="clear" w:color="auto" w:fill="314A72"/>
          </w:tcPr>
          <w:p>
            <w:pPr>
              <w:spacing w:after="0"/>
              <w:rPr>
                <w:sz w:val="9"/>
                <w:szCs w:val="9"/>
                <w:color w:val="auto"/>
              </w:rPr>
            </w:pPr>
          </w:p>
        </w:tc>
        <w:tc>
          <w:tcPr>
            <w:tcW w:w="460" w:type="dxa"/>
            <w:vAlign w:val="bottom"/>
            <w:shd w:val="clear" w:color="auto" w:fill="314A72"/>
          </w:tcPr>
          <w:p>
            <w:pPr>
              <w:spacing w:after="0"/>
              <w:rPr>
                <w:sz w:val="9"/>
                <w:szCs w:val="9"/>
                <w:color w:val="auto"/>
              </w:rPr>
            </w:pPr>
          </w:p>
        </w:tc>
        <w:tc>
          <w:tcPr>
            <w:tcW w:w="1480" w:type="dxa"/>
            <w:vAlign w:val="bottom"/>
            <w:vMerge w:val="continue"/>
            <w:shd w:val="clear" w:color="auto" w:fill="314A72"/>
          </w:tcPr>
          <w:p>
            <w:pPr>
              <w:spacing w:after="0"/>
              <w:rPr>
                <w:sz w:val="9"/>
                <w:szCs w:val="9"/>
                <w:color w:val="auto"/>
              </w:rPr>
            </w:pPr>
          </w:p>
        </w:tc>
        <w:tc>
          <w:tcPr>
            <w:tcW w:w="2360" w:type="dxa"/>
            <w:vAlign w:val="bottom"/>
            <w:vMerge w:val="continue"/>
            <w:shd w:val="clear" w:color="auto" w:fill="314A72"/>
          </w:tcPr>
          <w:p>
            <w:pPr>
              <w:spacing w:after="0"/>
              <w:rPr>
                <w:sz w:val="9"/>
                <w:szCs w:val="9"/>
                <w:color w:val="auto"/>
              </w:rPr>
            </w:pPr>
          </w:p>
        </w:tc>
        <w:tc>
          <w:tcPr>
            <w:tcW w:w="1860" w:type="dxa"/>
            <w:vAlign w:val="bottom"/>
            <w:vMerge w:val="continue"/>
            <w:shd w:val="clear" w:color="auto" w:fill="314A72"/>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3820" w:type="dxa"/>
            <w:vAlign w:val="bottom"/>
            <w:tcBorders>
              <w:bottom w:val="single" w:sz="8" w:color="auto"/>
            </w:tcBorders>
          </w:tcPr>
          <w:p>
            <w:pPr>
              <w:ind w:left="160"/>
              <w:spacing w:after="0" w:line="286" w:lineRule="exact"/>
              <w:rPr>
                <w:sz w:val="20"/>
                <w:szCs w:val="20"/>
                <w:color w:val="auto"/>
              </w:rPr>
            </w:pPr>
            <w:r>
              <w:rPr>
                <w:rFonts w:ascii="Arial" w:cs="Arial" w:eastAsia="Arial" w:hAnsi="Arial"/>
                <w:sz w:val="17"/>
                <w:szCs w:val="17"/>
                <w:b w:val="1"/>
                <w:bCs w:val="1"/>
                <w:color w:val="auto"/>
              </w:rPr>
              <w:t xml:space="preserve">Daniel J. Hurstak </w:t>
            </w:r>
            <w:r>
              <w:rPr>
                <w:rFonts w:ascii="Arial" w:cs="Arial" w:eastAsia="Arial" w:hAnsi="Arial"/>
                <w:sz w:val="25"/>
                <w:szCs w:val="25"/>
                <w:b w:val="1"/>
                <w:bCs w:val="1"/>
                <w:i w:val="1"/>
                <w:iCs w:val="1"/>
                <w:color w:val="auto"/>
                <w:vertAlign w:val="superscript"/>
              </w:rPr>
              <w:t>(9)</w:t>
            </w: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7"/>
                <w:szCs w:val="17"/>
                <w:color w:val="auto"/>
              </w:rPr>
              <w:t>20,089</w:t>
            </w:r>
          </w:p>
        </w:tc>
        <w:tc>
          <w:tcPr>
            <w:tcW w:w="2360" w:type="dxa"/>
            <w:vAlign w:val="bottom"/>
            <w:tcBorders>
              <w:bottom w:val="single" w:sz="8" w:color="auto"/>
            </w:tcBorders>
          </w:tcPr>
          <w:p>
            <w:pPr>
              <w:jc w:val="right"/>
              <w:ind w:right="688"/>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auto"/>
            </w:tcBorders>
          </w:tcPr>
          <w:p>
            <w:pPr>
              <w:jc w:val="center"/>
              <w:ind w:left="188"/>
              <w:spacing w:after="0"/>
              <w:rPr>
                <w:sz w:val="20"/>
                <w:szCs w:val="20"/>
                <w:color w:val="auto"/>
              </w:rPr>
            </w:pPr>
            <w:r>
              <w:rPr>
                <w:rFonts w:ascii="Arial" w:cs="Arial" w:eastAsia="Arial" w:hAnsi="Arial"/>
                <w:sz w:val="17"/>
                <w:szCs w:val="17"/>
                <w:color w:val="auto"/>
                <w:w w:val="89"/>
              </w:rPr>
              <w:t>*</w:t>
            </w:r>
          </w:p>
        </w:tc>
        <w:tc>
          <w:tcPr>
            <w:tcW w:w="0" w:type="dxa"/>
            <w:vAlign w:val="bottom"/>
          </w:tcPr>
          <w:p>
            <w:pPr>
              <w:spacing w:after="0"/>
              <w:rPr>
                <w:sz w:val="1"/>
                <w:szCs w:val="1"/>
                <w:color w:val="auto"/>
              </w:rPr>
            </w:pPr>
          </w:p>
        </w:tc>
      </w:tr>
      <w:tr>
        <w:trPr>
          <w:trHeight w:val="266"/>
        </w:trPr>
        <w:tc>
          <w:tcPr>
            <w:tcW w:w="3820" w:type="dxa"/>
            <w:vAlign w:val="bottom"/>
            <w:tcBorders>
              <w:bottom w:val="single" w:sz="8" w:color="auto"/>
            </w:tcBorders>
          </w:tcPr>
          <w:p>
            <w:pPr>
              <w:ind w:left="160"/>
              <w:spacing w:after="0" w:line="265" w:lineRule="exact"/>
              <w:rPr>
                <w:sz w:val="20"/>
                <w:szCs w:val="20"/>
                <w:color w:val="auto"/>
              </w:rPr>
            </w:pPr>
            <w:r>
              <w:rPr>
                <w:rFonts w:ascii="Arial" w:cs="Arial" w:eastAsia="Arial" w:hAnsi="Arial"/>
                <w:sz w:val="17"/>
                <w:szCs w:val="17"/>
                <w:b w:val="1"/>
                <w:bCs w:val="1"/>
                <w:color w:val="auto"/>
              </w:rPr>
              <w:t xml:space="preserve">Justin Eisfeller </w:t>
            </w:r>
            <w:r>
              <w:rPr>
                <w:rFonts w:ascii="Arial" w:cs="Arial" w:eastAsia="Arial" w:hAnsi="Arial"/>
                <w:sz w:val="25"/>
                <w:szCs w:val="25"/>
                <w:b w:val="1"/>
                <w:bCs w:val="1"/>
                <w:i w:val="1"/>
                <w:iCs w:val="1"/>
                <w:color w:val="auto"/>
                <w:vertAlign w:val="superscript"/>
              </w:rPr>
              <w:t>(10)</w:t>
            </w:r>
          </w:p>
        </w:tc>
        <w:tc>
          <w:tcPr>
            <w:tcW w:w="4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7"/>
                <w:szCs w:val="17"/>
                <w:color w:val="auto"/>
              </w:rPr>
              <w:t>19,723</w:t>
            </w:r>
          </w:p>
        </w:tc>
        <w:tc>
          <w:tcPr>
            <w:tcW w:w="2360" w:type="dxa"/>
            <w:vAlign w:val="bottom"/>
            <w:tcBorders>
              <w:bottom w:val="single" w:sz="8" w:color="auto"/>
            </w:tcBorders>
          </w:tcPr>
          <w:p>
            <w:pPr>
              <w:jc w:val="right"/>
              <w:ind w:right="688"/>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auto"/>
            </w:tcBorders>
          </w:tcPr>
          <w:p>
            <w:pPr>
              <w:jc w:val="center"/>
              <w:ind w:left="188"/>
              <w:spacing w:after="0"/>
              <w:rPr>
                <w:sz w:val="20"/>
                <w:szCs w:val="20"/>
                <w:color w:val="auto"/>
              </w:rPr>
            </w:pPr>
            <w:r>
              <w:rPr>
                <w:rFonts w:ascii="Arial" w:cs="Arial" w:eastAsia="Arial" w:hAnsi="Arial"/>
                <w:sz w:val="17"/>
                <w:szCs w:val="17"/>
                <w:color w:val="auto"/>
                <w:w w:val="89"/>
              </w:rPr>
              <w:t>*</w:t>
            </w:r>
          </w:p>
        </w:tc>
        <w:tc>
          <w:tcPr>
            <w:tcW w:w="0" w:type="dxa"/>
            <w:vAlign w:val="bottom"/>
          </w:tcPr>
          <w:p>
            <w:pPr>
              <w:spacing w:after="0"/>
              <w:rPr>
                <w:sz w:val="1"/>
                <w:szCs w:val="1"/>
                <w:color w:val="auto"/>
              </w:rPr>
            </w:pPr>
          </w:p>
        </w:tc>
      </w:tr>
      <w:tr>
        <w:trPr>
          <w:trHeight w:val="266"/>
        </w:trPr>
        <w:tc>
          <w:tcPr>
            <w:tcW w:w="3820" w:type="dxa"/>
            <w:vAlign w:val="bottom"/>
            <w:tcBorders>
              <w:bottom w:val="single" w:sz="8" w:color="auto"/>
            </w:tcBorders>
          </w:tcPr>
          <w:p>
            <w:pPr>
              <w:ind w:left="160"/>
              <w:spacing w:after="0" w:line="265" w:lineRule="exact"/>
              <w:rPr>
                <w:sz w:val="20"/>
                <w:szCs w:val="20"/>
                <w:color w:val="auto"/>
              </w:rPr>
            </w:pPr>
            <w:r>
              <w:rPr>
                <w:rFonts w:ascii="Arial" w:cs="Arial" w:eastAsia="Arial" w:hAnsi="Arial"/>
                <w:sz w:val="17"/>
                <w:szCs w:val="17"/>
                <w:b w:val="1"/>
                <w:bCs w:val="1"/>
                <w:color w:val="auto"/>
              </w:rPr>
              <w:t xml:space="preserve">Christopher J. LeBlanc </w:t>
            </w:r>
            <w:r>
              <w:rPr>
                <w:rFonts w:ascii="Arial" w:cs="Arial" w:eastAsia="Arial" w:hAnsi="Arial"/>
                <w:sz w:val="25"/>
                <w:szCs w:val="25"/>
                <w:b w:val="1"/>
                <w:bCs w:val="1"/>
                <w:i w:val="1"/>
                <w:iCs w:val="1"/>
                <w:color w:val="auto"/>
                <w:vertAlign w:val="superscript"/>
              </w:rPr>
              <w:t>(11)</w:t>
            </w:r>
          </w:p>
        </w:tc>
        <w:tc>
          <w:tcPr>
            <w:tcW w:w="4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7"/>
                <w:szCs w:val="17"/>
                <w:color w:val="auto"/>
              </w:rPr>
              <w:t>23,372</w:t>
            </w:r>
          </w:p>
        </w:tc>
        <w:tc>
          <w:tcPr>
            <w:tcW w:w="2360" w:type="dxa"/>
            <w:vAlign w:val="bottom"/>
            <w:tcBorders>
              <w:bottom w:val="single" w:sz="8" w:color="auto"/>
            </w:tcBorders>
          </w:tcPr>
          <w:p>
            <w:pPr>
              <w:jc w:val="right"/>
              <w:ind w:right="688"/>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auto"/>
            </w:tcBorders>
          </w:tcPr>
          <w:p>
            <w:pPr>
              <w:jc w:val="center"/>
              <w:ind w:left="188"/>
              <w:spacing w:after="0"/>
              <w:rPr>
                <w:sz w:val="20"/>
                <w:szCs w:val="20"/>
                <w:color w:val="auto"/>
              </w:rPr>
            </w:pPr>
            <w:r>
              <w:rPr>
                <w:rFonts w:ascii="Arial" w:cs="Arial" w:eastAsia="Arial" w:hAnsi="Arial"/>
                <w:sz w:val="17"/>
                <w:szCs w:val="17"/>
                <w:color w:val="auto"/>
                <w:w w:val="89"/>
              </w:rPr>
              <w:t>*</w:t>
            </w:r>
          </w:p>
        </w:tc>
        <w:tc>
          <w:tcPr>
            <w:tcW w:w="0" w:type="dxa"/>
            <w:vAlign w:val="bottom"/>
          </w:tcPr>
          <w:p>
            <w:pPr>
              <w:spacing w:after="0"/>
              <w:rPr>
                <w:sz w:val="1"/>
                <w:szCs w:val="1"/>
                <w:color w:val="auto"/>
              </w:rPr>
            </w:pPr>
          </w:p>
        </w:tc>
      </w:tr>
      <w:tr>
        <w:trPr>
          <w:trHeight w:val="240"/>
        </w:trPr>
        <w:tc>
          <w:tcPr>
            <w:tcW w:w="3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160"/>
              <w:spacing w:after="0"/>
              <w:rPr>
                <w:sz w:val="20"/>
                <w:szCs w:val="20"/>
                <w:color w:val="auto"/>
              </w:rPr>
            </w:pPr>
            <w:r>
              <w:rPr>
                <w:rFonts w:ascii="Arial" w:cs="Arial" w:eastAsia="Arial" w:hAnsi="Arial"/>
                <w:sz w:val="17"/>
                <w:szCs w:val="17"/>
                <w:b w:val="1"/>
                <w:bCs w:val="1"/>
                <w:color w:val="auto"/>
              </w:rPr>
              <w:t>All Directors and Executive Officers as a</w:t>
            </w:r>
          </w:p>
        </w:tc>
        <w:tc>
          <w:tcPr>
            <w:tcW w:w="460" w:type="dxa"/>
            <w:vAlign w:val="bottom"/>
          </w:tcPr>
          <w:p>
            <w:pPr>
              <w:spacing w:after="0"/>
              <w:rPr>
                <w:sz w:val="20"/>
                <w:szCs w:val="20"/>
                <w:color w:val="auto"/>
              </w:rPr>
            </w:pPr>
          </w:p>
        </w:tc>
        <w:tc>
          <w:tcPr>
            <w:tcW w:w="1480" w:type="dxa"/>
            <w:vAlign w:val="bottom"/>
          </w:tcPr>
          <w:p>
            <w:pPr>
              <w:jc w:val="right"/>
              <w:ind w:right="508"/>
              <w:spacing w:after="0"/>
              <w:rPr>
                <w:sz w:val="20"/>
                <w:szCs w:val="20"/>
                <w:color w:val="auto"/>
              </w:rPr>
            </w:pPr>
            <w:r>
              <w:rPr>
                <w:rFonts w:ascii="Arial" w:cs="Arial" w:eastAsia="Arial" w:hAnsi="Arial"/>
                <w:sz w:val="17"/>
                <w:szCs w:val="17"/>
                <w:color w:val="auto"/>
              </w:rPr>
              <w:t>397,942</w:t>
            </w:r>
          </w:p>
        </w:tc>
        <w:tc>
          <w:tcPr>
            <w:tcW w:w="2360" w:type="dxa"/>
            <w:vAlign w:val="bottom"/>
          </w:tcPr>
          <w:p>
            <w:pPr>
              <w:jc w:val="right"/>
              <w:ind w:right="688"/>
              <w:spacing w:after="0"/>
              <w:rPr>
                <w:sz w:val="20"/>
                <w:szCs w:val="20"/>
                <w:color w:val="auto"/>
              </w:rPr>
            </w:pPr>
            <w:r>
              <w:rPr>
                <w:rFonts w:ascii="Arial" w:cs="Arial" w:eastAsia="Arial" w:hAnsi="Arial"/>
                <w:sz w:val="17"/>
                <w:szCs w:val="17"/>
                <w:color w:val="auto"/>
              </w:rPr>
              <w:t>51,502</w:t>
            </w:r>
          </w:p>
        </w:tc>
        <w:tc>
          <w:tcPr>
            <w:tcW w:w="1860" w:type="dxa"/>
            <w:vAlign w:val="bottom"/>
          </w:tcPr>
          <w:p>
            <w:pPr>
              <w:jc w:val="center"/>
              <w:ind w:left="188"/>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92"/>
        </w:trPr>
        <w:tc>
          <w:tcPr>
            <w:tcW w:w="382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 xml:space="preserve">Group (18 Persons) </w:t>
            </w:r>
            <w:r>
              <w:rPr>
                <w:rFonts w:ascii="Arial" w:cs="Arial" w:eastAsia="Arial" w:hAnsi="Arial"/>
                <w:sz w:val="25"/>
                <w:szCs w:val="25"/>
                <w:b w:val="1"/>
                <w:bCs w:val="1"/>
                <w:i w:val="1"/>
                <w:iCs w:val="1"/>
                <w:color w:val="auto"/>
                <w:vertAlign w:val="superscript"/>
              </w:rPr>
              <w:t>(3) (12)</w:t>
            </w: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 Represents less than 1% of the Company’s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232410</wp:posOffset>
            </wp:positionV>
            <wp:extent cx="63373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7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NOTES:</w:t>
      </w:r>
    </w:p>
    <w:p>
      <w:pPr>
        <w:spacing w:after="0" w:line="119" w:lineRule="exact"/>
        <w:rPr>
          <w:sz w:val="20"/>
          <w:szCs w:val="20"/>
          <w:color w:val="auto"/>
        </w:rPr>
      </w:pPr>
    </w:p>
    <w:p>
      <w:pPr>
        <w:ind w:left="1620" w:right="20" w:hanging="492"/>
        <w:spacing w:after="0" w:line="231" w:lineRule="auto"/>
        <w:tabs>
          <w:tab w:leader="none" w:pos="1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Information obtained from the most recent Schedule 13G/A filed by BlackRock, Inc. on behalf of itself, BlackRock Advisors, LLC, Aperio Group, LLC, BlackRock (Netherlands) B.V., BlackRock Investment Management (UK) Limited, BlackRock Asset Management Canada Limited, BlackRock Asset Management Ireland Limited, BlackRock Asset Management Schweiz AG, BlackRock Financial Management, Inc., BlackRock Fund Advisors </w:t>
      </w:r>
      <w:r>
        <w:rPr>
          <w:rFonts w:ascii="Arial" w:cs="Arial" w:eastAsia="Arial" w:hAnsi="Arial"/>
          <w:sz w:val="25"/>
          <w:szCs w:val="25"/>
          <w:color w:val="auto"/>
          <w:vertAlign w:val="superscript"/>
        </w:rPr>
        <w:t>1</w:t>
      </w:r>
      <w:r>
        <w:rPr>
          <w:rFonts w:ascii="Arial" w:cs="Arial" w:eastAsia="Arial" w:hAnsi="Arial"/>
          <w:sz w:val="17"/>
          <w:szCs w:val="17"/>
          <w:color w:val="auto"/>
        </w:rPr>
        <w:t>, BlackRock Institutional Trust Company, National Association, BlackRock Investment Management (Australia) Limited, BlackRock Investment Management, LLC, and BlackRock Fund Managers Ltd with the Securities and Exchange Commission on January 19, 2024. BlackRock, Inc. is the beneficial owner of 2,932,304 shares of common stock, of which it has sole voting power with respect to 2,898,482 shares and sole dispositive power with respect to 2,932,304 shares. No subsequent Schedule 13G/A has been filed by BlackRock, Inc. as of the date of this proxy statement.</w:t>
      </w:r>
    </w:p>
    <w:p>
      <w:pPr>
        <w:spacing w:after="0" w:line="89" w:lineRule="exact"/>
        <w:rPr>
          <w:rFonts w:ascii="Arial" w:cs="Arial" w:eastAsia="Arial" w:hAnsi="Arial"/>
          <w:sz w:val="17"/>
          <w:szCs w:val="17"/>
          <w:color w:val="auto"/>
        </w:rPr>
      </w:pPr>
    </w:p>
    <w:p>
      <w:pPr>
        <w:ind w:left="1620" w:right="160" w:hanging="492"/>
        <w:spacing w:after="0" w:line="245" w:lineRule="auto"/>
        <w:tabs>
          <w:tab w:leader="none" w:pos="1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Information obtained from the most recent Schedule 13G/A filed by The Vanguard Group with the Securities and Exchange Commission on February 13, 2024. The Vanguard Group is the beneficial owner of 1,273,199 shares of common stock, of which it has shared voting power with respect to 16,122 shares, shared dispositive power with respect to 31,281 shares, and sole dispositive power with respect to 1,241,918 shares. The Vanguard Group filed Schedule 13F with the Securities and Exchange Commission on February 14, 2025. As of December 31, 2024, The Vanguard Group is the beneficial owner of 1,257,604 shares of common stock. Voting and dispositive power are not disclosed on Schedule 13F. No subsequent Schedules 13G/A or 13F have been filed by The Vanguard Group as of the date of this proxy statement.</w:t>
      </w:r>
    </w:p>
    <w:p>
      <w:pPr>
        <w:spacing w:after="0" w:line="79" w:lineRule="exact"/>
        <w:rPr>
          <w:rFonts w:ascii="Arial" w:cs="Arial" w:eastAsia="Arial" w:hAnsi="Arial"/>
          <w:sz w:val="17"/>
          <w:szCs w:val="17"/>
          <w:color w:val="auto"/>
        </w:rPr>
      </w:pPr>
    </w:p>
    <w:p>
      <w:pPr>
        <w:ind w:left="1620" w:hanging="492"/>
        <w:spacing w:after="0"/>
        <w:tabs>
          <w:tab w:leader="none" w:pos="1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Based on information furnished to Unitil by its Directors and executive officers.</w:t>
      </w:r>
    </w:p>
    <w:p>
      <w:pPr>
        <w:spacing w:after="0" w:line="116" w:lineRule="exact"/>
        <w:rPr>
          <w:rFonts w:ascii="Arial" w:cs="Arial" w:eastAsia="Arial" w:hAnsi="Arial"/>
          <w:sz w:val="17"/>
          <w:szCs w:val="17"/>
          <w:color w:val="auto"/>
        </w:rPr>
      </w:pPr>
    </w:p>
    <w:p>
      <w:pPr>
        <w:ind w:left="1620" w:right="140" w:hanging="492"/>
        <w:spacing w:after="0" w:line="246" w:lineRule="auto"/>
        <w:tabs>
          <w:tab w:leader="none" w:pos="1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Restricted Stock Units (“RSUs”) are granted to the Directors who have elected to receive RSUs in lieu of common stock as the equity portion of the annual retainer for Board service for the particular year. RSUs will settle as 70% stock and 30% cash upon retirement or other separation from the Board. RSUs were granted annually from October 2012 through and including October 2025 and include cumulative dividend equivalents earned as of December 31, 2025. If a Director is subject to the specified employee payment provision in Section 409A of the Internal Revenue Code, payment of the RSUs may be delayed for six months and the RSUs would not be paid within 60 days of the Record Date.</w:t>
      </w:r>
    </w:p>
    <w:p>
      <w:pPr>
        <w:spacing w:after="0" w:line="78" w:lineRule="exact"/>
        <w:rPr>
          <w:rFonts w:ascii="Arial" w:cs="Arial" w:eastAsia="Arial" w:hAnsi="Arial"/>
          <w:sz w:val="17"/>
          <w:szCs w:val="17"/>
          <w:color w:val="auto"/>
        </w:rPr>
      </w:pPr>
    </w:p>
    <w:p>
      <w:pPr>
        <w:ind w:left="1620" w:hanging="492"/>
        <w:spacing w:after="0"/>
        <w:tabs>
          <w:tab w:leader="none" w:pos="1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Mr. Godfrey retired from the Board on April 30, 2025.</w:t>
      </w:r>
    </w:p>
    <w:p>
      <w:pPr>
        <w:spacing w:after="0" w:line="116" w:lineRule="exact"/>
        <w:rPr>
          <w:rFonts w:ascii="Arial" w:cs="Arial" w:eastAsia="Arial" w:hAnsi="Arial"/>
          <w:sz w:val="17"/>
          <w:szCs w:val="17"/>
          <w:color w:val="auto"/>
        </w:rPr>
      </w:pPr>
    </w:p>
    <w:p>
      <w:pPr>
        <w:ind w:left="1620" w:right="260" w:hanging="492"/>
        <w:spacing w:after="0" w:line="280" w:lineRule="auto"/>
        <w:tabs>
          <w:tab w:leader="none" w:pos="1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Mr. Green will retire from the Board on April 29, 2026. He will not stand for re-election at the Annual Meeting as he has reached the required age for retirement.</w:t>
      </w:r>
    </w:p>
    <w:p>
      <w:pPr>
        <w:spacing w:after="0" w:line="50" w:lineRule="exact"/>
        <w:rPr>
          <w:rFonts w:ascii="Arial" w:cs="Arial" w:eastAsia="Arial" w:hAnsi="Arial"/>
          <w:sz w:val="17"/>
          <w:szCs w:val="17"/>
          <w:color w:val="auto"/>
        </w:rPr>
      </w:pPr>
    </w:p>
    <w:p>
      <w:pPr>
        <w:ind w:left="1620" w:right="80" w:hanging="492"/>
        <w:spacing w:after="0" w:line="252" w:lineRule="auto"/>
        <w:tabs>
          <w:tab w:leader="none" w:pos="1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Included are 2,743 shares that are held in trust for Mr. Meissner under the terms of Unitil’s Tax Deferred Savings and Investment Plan (the “401(k)”). Mr. Meissner has sole voting and dispositive power only with respect to the shares credited to his account. Also included are 40,954 shares of unvested restricted stock granted under the terms and conditions of the Company’s Third Amended and Restated 2003 Stock Plan (the “Third Amended Stock Plan”).</w:t>
      </w:r>
    </w:p>
    <w:p>
      <w:pPr>
        <w:spacing w:after="0" w:line="145" w:lineRule="exact"/>
        <w:rPr>
          <w:rFonts w:ascii="Arial" w:cs="Arial" w:eastAsia="Arial" w:hAnsi="Arial"/>
          <w:sz w:val="17"/>
          <w:szCs w:val="17"/>
          <w:color w:val="auto"/>
        </w:rPr>
      </w:pPr>
    </w:p>
    <w:p>
      <w:pPr>
        <w:ind w:left="820" w:right="140" w:hanging="195"/>
        <w:spacing w:after="0" w:line="215" w:lineRule="auto"/>
        <w:rPr>
          <w:rFonts w:ascii="Arial" w:cs="Arial" w:eastAsia="Arial" w:hAnsi="Arial"/>
          <w:sz w:val="17"/>
          <w:szCs w:val="17"/>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 xml:space="preserve"> BlackRock Fund Advisors filed Schedule 13F with the Securities and Exchange Commission on February 14, 2025. As of December 31, 2024, BlackRock Fund Advisors is the beneficial owner of 2,752,662 shares, of common stock. Voting and dispositive power is not disclosed on Schedule 13F.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-375920</wp:posOffset>
            </wp:positionV>
            <wp:extent cx="20218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2184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151130</wp:posOffset>
            </wp:positionV>
            <wp:extent cx="6337300" cy="908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20"/>
          </w:cols>
          <w:pgMar w:left="320" w:top="470" w:right="9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15" w:lineRule="exact"/>
        <w:rPr>
          <w:sz w:val="20"/>
          <w:szCs w:val="20"/>
          <w:color w:val="auto"/>
        </w:rPr>
      </w:pPr>
    </w:p>
    <w:p>
      <w:pPr>
        <w:ind w:left="1620" w:right="760" w:hanging="492"/>
        <w:spacing w:after="0" w:line="280" w:lineRule="auto"/>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Included are 18,561 shares of unvested restricted stock granted under the terms and conditions of the Third Amended Stock Plan.</w:t>
      </w:r>
    </w:p>
    <w:p>
      <w:pPr>
        <w:spacing w:after="0" w:line="50" w:lineRule="exact"/>
        <w:rPr>
          <w:rFonts w:ascii="Arial" w:cs="Arial" w:eastAsia="Arial" w:hAnsi="Arial"/>
          <w:sz w:val="17"/>
          <w:szCs w:val="17"/>
          <w:color w:val="auto"/>
        </w:rPr>
      </w:pPr>
    </w:p>
    <w:p>
      <w:pPr>
        <w:ind w:left="1620" w:right="780" w:hanging="492"/>
        <w:spacing w:after="0" w:line="280" w:lineRule="auto"/>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Included are 11,981 shares of unvested restricted stock granted under the terms and conditions of the Third Amended Stock Plan.</w:t>
      </w:r>
    </w:p>
    <w:p>
      <w:pPr>
        <w:spacing w:after="0" w:line="50" w:lineRule="exact"/>
        <w:rPr>
          <w:rFonts w:ascii="Arial" w:cs="Arial" w:eastAsia="Arial" w:hAnsi="Arial"/>
          <w:sz w:val="17"/>
          <w:szCs w:val="17"/>
          <w:color w:val="auto"/>
        </w:rPr>
      </w:pPr>
    </w:p>
    <w:p>
      <w:pPr>
        <w:jc w:val="both"/>
        <w:ind w:left="1620" w:right="180" w:hanging="492"/>
        <w:spacing w:after="0" w:line="259" w:lineRule="auto"/>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Included are 1,328 shares that are held in trust for Mr. Eisfeller under the terms of the 401(k). Mr. Eisfeller has sole voting and dispositive power only with respect to the shares credited to his account. Also included are 5,582 shares of unvested restricted stock granted under the terms and conditions of the Third Amended Stock Plan.</w:t>
      </w:r>
    </w:p>
    <w:p>
      <w:pPr>
        <w:spacing w:after="0" w:line="68" w:lineRule="exact"/>
        <w:rPr>
          <w:rFonts w:ascii="Arial" w:cs="Arial" w:eastAsia="Arial" w:hAnsi="Arial"/>
          <w:sz w:val="17"/>
          <w:szCs w:val="17"/>
          <w:color w:val="auto"/>
        </w:rPr>
      </w:pPr>
    </w:p>
    <w:p>
      <w:pPr>
        <w:ind w:left="1620" w:right="60" w:hanging="492"/>
        <w:spacing w:after="0" w:line="280" w:lineRule="auto"/>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Included are 5,582 shares of unvested restricted stock granted under the terms and conditions of the Third Amended Stock Plan.</w:t>
      </w:r>
    </w:p>
    <w:p>
      <w:pPr>
        <w:spacing w:after="0" w:line="50" w:lineRule="exact"/>
        <w:rPr>
          <w:rFonts w:ascii="Arial" w:cs="Arial" w:eastAsia="Arial" w:hAnsi="Arial"/>
          <w:sz w:val="17"/>
          <w:szCs w:val="17"/>
          <w:color w:val="auto"/>
        </w:rPr>
      </w:pPr>
    </w:p>
    <w:p>
      <w:pPr>
        <w:ind w:left="1620" w:right="160" w:hanging="492"/>
        <w:spacing w:after="0" w:line="259" w:lineRule="auto"/>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Included are 4,109 shares that are held in trust for the executive officers under the terms of the 401(k) and 93,365 shares of unvested restricted stock granted under the terms and conditions of the Company’s Third Amended Stock Plan. No shares held by any Director or executive officer have been pledged.</w:t>
      </w:r>
    </w:p>
    <w:p>
      <w:pPr>
        <w:spacing w:after="0" w:line="200" w:lineRule="exact"/>
        <w:rPr>
          <w:sz w:val="20"/>
          <w:szCs w:val="20"/>
          <w:color w:val="auto"/>
        </w:rPr>
      </w:pPr>
    </w:p>
    <w:p>
      <w:pPr>
        <w:spacing w:after="0" w:line="257"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SECTION 16(a) BENEFICIAL OWNERSHIP REPORTING COMPLIANCE</w:t>
      </w:r>
    </w:p>
    <w:p>
      <w:pPr>
        <w:spacing w:after="0" w:line="242" w:lineRule="exact"/>
        <w:rPr>
          <w:sz w:val="20"/>
          <w:szCs w:val="20"/>
          <w:color w:val="auto"/>
        </w:rPr>
      </w:pPr>
    </w:p>
    <w:p>
      <w:pPr>
        <w:jc w:val="both"/>
        <w:ind w:left="640" w:right="280"/>
        <w:spacing w:after="0" w:line="251" w:lineRule="auto"/>
        <w:rPr>
          <w:sz w:val="20"/>
          <w:szCs w:val="20"/>
          <w:color w:val="auto"/>
        </w:rPr>
      </w:pPr>
      <w:r>
        <w:rPr>
          <w:rFonts w:ascii="Arial" w:cs="Arial" w:eastAsia="Arial" w:hAnsi="Arial"/>
          <w:sz w:val="20"/>
          <w:szCs w:val="20"/>
          <w:color w:val="auto"/>
        </w:rPr>
        <w:t>Section 16(a) of the Exchange Act requires our executive officers, Directors, and persons who beneficially own more than ten percent of a registered class of our equity securities to file certain reports of ownership and changes in share ownership with the Securities and Exchange Commission (“SEC”) and the NYSE.</w:t>
      </w:r>
    </w:p>
    <w:p>
      <w:pPr>
        <w:ind w:left="640" w:right="20"/>
        <w:spacing w:after="0" w:line="237" w:lineRule="auto"/>
        <w:rPr>
          <w:sz w:val="20"/>
          <w:szCs w:val="20"/>
          <w:color w:val="auto"/>
        </w:rPr>
      </w:pPr>
      <w:r>
        <w:rPr>
          <w:rFonts w:ascii="Arial" w:cs="Arial" w:eastAsia="Arial" w:hAnsi="Arial"/>
          <w:sz w:val="21"/>
          <w:szCs w:val="21"/>
          <w:color w:val="auto"/>
        </w:rPr>
        <w:t>Based upon our review of such forms that were filed in 2025, and written representations from certain reporting persons that such forms were not required to be filed by those persons for the reporting year 2025, we believe that all filing requirements applicable to our officers and Directors during 2025 and through March 2026, were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149225</wp:posOffset>
            </wp:positionV>
            <wp:extent cx="6337300" cy="908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20"/>
          </w:cols>
          <w:pgMar w:left="320" w:top="470" w:right="9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313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37300" cy="313690"/>
                    </a:xfrm>
                    <a:prstGeom prst="rect">
                      <a:avLst/>
                    </a:prstGeom>
                    <a:noFill/>
                  </pic:spPr>
                </pic:pic>
              </a:graphicData>
            </a:graphic>
          </wp:anchor>
        </w:drawing>
      </w:r>
    </w:p>
    <w:p>
      <w:pPr>
        <w:spacing w:after="0" w:line="348" w:lineRule="exact"/>
        <w:rPr>
          <w:sz w:val="20"/>
          <w:szCs w:val="20"/>
          <w:color w:val="auto"/>
        </w:rPr>
      </w:pPr>
    </w:p>
    <w:p>
      <w:pPr>
        <w:ind w:left="3480"/>
        <w:spacing w:after="0"/>
        <w:rPr>
          <w:sz w:val="20"/>
          <w:szCs w:val="20"/>
          <w:color w:val="auto"/>
        </w:rPr>
      </w:pPr>
      <w:r>
        <w:rPr>
          <w:rFonts w:ascii="Arial" w:cs="Arial" w:eastAsia="Arial" w:hAnsi="Arial"/>
          <w:sz w:val="31"/>
          <w:szCs w:val="31"/>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64135</wp:posOffset>
            </wp:positionV>
            <wp:extent cx="63373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40" w:right="560"/>
        <w:spacing w:after="0" w:line="243" w:lineRule="auto"/>
        <w:rPr>
          <w:sz w:val="20"/>
          <w:szCs w:val="20"/>
          <w:color w:val="auto"/>
        </w:rPr>
      </w:pPr>
      <w:r>
        <w:rPr>
          <w:rFonts w:ascii="Arial" w:cs="Arial" w:eastAsia="Arial" w:hAnsi="Arial"/>
          <w:sz w:val="21"/>
          <w:szCs w:val="21"/>
          <w:color w:val="auto"/>
        </w:rPr>
        <w:t>We are committed to comprehensive and effective corporate governance practices. The Board and the management team firmly believe that solid corporate governance is key to the transparent and ethical operation of our Company and have set a high standard for this important element in our long-term sustainability and growth goals.</w:t>
      </w:r>
    </w:p>
    <w:p>
      <w:pPr>
        <w:spacing w:after="0" w:line="166" w:lineRule="exact"/>
        <w:rPr>
          <w:sz w:val="20"/>
          <w:szCs w:val="20"/>
          <w:color w:val="auto"/>
        </w:rPr>
      </w:pPr>
    </w:p>
    <w:p>
      <w:pPr>
        <w:ind w:left="640" w:right="160"/>
        <w:spacing w:after="0" w:line="248" w:lineRule="auto"/>
        <w:rPr>
          <w:sz w:val="20"/>
          <w:szCs w:val="20"/>
          <w:color w:val="auto"/>
        </w:rPr>
      </w:pPr>
      <w:r>
        <w:rPr>
          <w:rFonts w:ascii="Arial" w:cs="Arial" w:eastAsia="Arial" w:hAnsi="Arial"/>
          <w:sz w:val="21"/>
          <w:szCs w:val="21"/>
          <w:color w:val="auto"/>
        </w:rPr>
        <w:t>The ethical character, integrity and principles of the Board, senior management, and employees remain the most important safeguards of good corporate governance. These attributes are inherent to engaged leadership, effective management structure, and a committed, carefully trained workforce.</w:t>
      </w:r>
    </w:p>
    <w:p>
      <w:pPr>
        <w:spacing w:after="0" w:line="161" w:lineRule="exact"/>
        <w:rPr>
          <w:sz w:val="20"/>
          <w:szCs w:val="20"/>
          <w:color w:val="auto"/>
        </w:rPr>
      </w:pPr>
    </w:p>
    <w:p>
      <w:pPr>
        <w:ind w:left="640" w:right="200"/>
        <w:spacing w:after="0" w:line="243" w:lineRule="auto"/>
        <w:rPr>
          <w:sz w:val="20"/>
          <w:szCs w:val="20"/>
          <w:color w:val="auto"/>
        </w:rPr>
      </w:pPr>
      <w:r>
        <w:rPr>
          <w:rFonts w:ascii="Arial" w:cs="Arial" w:eastAsia="Arial" w:hAnsi="Arial"/>
          <w:sz w:val="21"/>
          <w:szCs w:val="21"/>
          <w:color w:val="auto"/>
        </w:rPr>
        <w:t>The Corporate Governance Guidelines and Policies of the Board (the “Governance Guidelines”) inform the pursuit of superior Board function, management accountability, effective and transparent disclosure, and financial integrity. Together with the Bylaws and the Code of Ethics Policy, the Governance Guidelines provide a meaningful governance framework upon which we operate.</w:t>
      </w:r>
    </w:p>
    <w:p>
      <w:pPr>
        <w:spacing w:after="0" w:line="166" w:lineRule="exact"/>
        <w:rPr>
          <w:sz w:val="20"/>
          <w:szCs w:val="20"/>
          <w:color w:val="auto"/>
        </w:rPr>
      </w:pPr>
    </w:p>
    <w:p>
      <w:pPr>
        <w:ind w:left="640" w:right="160"/>
        <w:spacing w:after="0" w:line="236" w:lineRule="auto"/>
        <w:rPr>
          <w:sz w:val="20"/>
          <w:szCs w:val="20"/>
          <w:color w:val="auto"/>
        </w:rPr>
      </w:pPr>
      <w:r>
        <w:rPr>
          <w:rFonts w:ascii="Arial" w:cs="Arial" w:eastAsia="Arial" w:hAnsi="Arial"/>
          <w:sz w:val="21"/>
          <w:szCs w:val="21"/>
          <w:color w:val="auto"/>
        </w:rPr>
        <w:t xml:space="preserve">The Governance Guidelines represent the current view of the Board on governance and should not be viewed as rigid constraints. We will continue to monitor new developments and requirements, as well as emerging issues concerning corporate governance best practices and financial disclosure, and will adopt changes and new policies as appropriate. The Governance Guidelines are reviewed regularly and are subject to modification from time to time by the Board. The Governance Guidelines are available for review on the Corporate Governance page of the Investor Relations section of our website at </w:t>
      </w:r>
      <w:r>
        <w:rPr>
          <w:rFonts w:ascii="Arial" w:cs="Arial" w:eastAsia="Arial" w:hAnsi="Arial"/>
          <w:sz w:val="21"/>
          <w:szCs w:val="21"/>
          <w:u w:val="single" w:color="auto"/>
          <w:color w:val="auto"/>
        </w:rPr>
        <w:t>unitil.com/investors</w:t>
      </w:r>
      <w:r>
        <w:rPr>
          <w:rFonts w:ascii="Arial" w:cs="Arial" w:eastAsia="Arial" w:hAnsi="Arial"/>
          <w:sz w:val="21"/>
          <w:szCs w:val="21"/>
          <w:color w:val="auto"/>
        </w:rPr>
        <w:t xml:space="preserve">, and are available in print to any shareholder or other interested party free of charge upon request to the Corporate Secretary at 1-800-999-6501 or at the address listed in the section entitled </w:t>
      </w:r>
      <w:r>
        <w:rPr>
          <w:rFonts w:ascii="Arial" w:cs="Arial" w:eastAsia="Arial" w:hAnsi="Arial"/>
          <w:sz w:val="21"/>
          <w:szCs w:val="21"/>
          <w:i w:val="1"/>
          <w:iCs w:val="1"/>
          <w:color w:val="auto"/>
        </w:rPr>
        <w:t>Information about the</w:t>
      </w:r>
      <w:r>
        <w:rPr>
          <w:rFonts w:ascii="Arial" w:cs="Arial" w:eastAsia="Arial" w:hAnsi="Arial"/>
          <w:sz w:val="21"/>
          <w:szCs w:val="21"/>
          <w:color w:val="auto"/>
        </w:rPr>
        <w:t xml:space="preserve"> </w:t>
      </w:r>
      <w:r>
        <w:rPr>
          <w:rFonts w:ascii="Arial" w:cs="Arial" w:eastAsia="Arial" w:hAnsi="Arial"/>
          <w:sz w:val="21"/>
          <w:szCs w:val="21"/>
          <w:i w:val="1"/>
          <w:iCs w:val="1"/>
          <w:color w:val="auto"/>
        </w:rPr>
        <w:t>Annual Meeting</w:t>
      </w:r>
      <w:r>
        <w:rPr>
          <w:rFonts w:ascii="Arial" w:cs="Arial" w:eastAsia="Arial" w:hAnsi="Arial"/>
          <w:sz w:val="21"/>
          <w:szCs w:val="21"/>
          <w:color w:val="auto"/>
        </w:rPr>
        <w:t>.</w:t>
      </w:r>
    </w:p>
    <w:p>
      <w:pPr>
        <w:spacing w:after="0" w:line="200" w:lineRule="exact"/>
        <w:rPr>
          <w:sz w:val="20"/>
          <w:szCs w:val="20"/>
          <w:color w:val="auto"/>
        </w:rPr>
      </w:pPr>
    </w:p>
    <w:p>
      <w:pPr>
        <w:spacing w:after="0" w:line="382"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ROLE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-160020</wp:posOffset>
            </wp:positionV>
            <wp:extent cx="2533015" cy="17659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33015" cy="1765935"/>
                    </a:xfrm>
                    <a:prstGeom prst="rect">
                      <a:avLst/>
                    </a:prstGeom>
                    <a:noFill/>
                  </pic:spPr>
                </pic:pic>
              </a:graphicData>
            </a:graphic>
          </wp:anchor>
        </w:drawing>
      </w:r>
    </w:p>
    <w:p>
      <w:pPr>
        <w:spacing w:after="0" w:line="220" w:lineRule="exact"/>
        <w:rPr>
          <w:sz w:val="20"/>
          <w:szCs w:val="20"/>
          <w:color w:val="auto"/>
        </w:rPr>
      </w:pPr>
    </w:p>
    <w:p>
      <w:pPr>
        <w:ind w:left="640" w:right="5000"/>
        <w:spacing w:after="0" w:line="238" w:lineRule="auto"/>
        <w:rPr>
          <w:sz w:val="20"/>
          <w:szCs w:val="20"/>
          <w:color w:val="auto"/>
        </w:rPr>
      </w:pPr>
      <w:r>
        <w:rPr>
          <w:rFonts w:ascii="Arial" w:cs="Arial" w:eastAsia="Arial" w:hAnsi="Arial"/>
          <w:sz w:val="21"/>
          <w:szCs w:val="21"/>
          <w:color w:val="auto"/>
        </w:rPr>
        <w:t>The Board is elected by our shareholders to oversee the long-term health and overall success of our business and to ensure our ongoing financial strength. The Board serves as the ultimate decision-making body on all matters, except for those reserved for or shared with our shareholders or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544830</wp:posOffset>
            </wp:positionV>
            <wp:extent cx="6337300" cy="908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20"/>
          </w:cols>
          <w:pgMar w:left="320" w:top="470" w:right="9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BOARD CHARTER</w:t>
      </w:r>
    </w:p>
    <w:p>
      <w:pPr>
        <w:spacing w:after="0" w:line="240" w:lineRule="exact"/>
        <w:rPr>
          <w:sz w:val="20"/>
          <w:szCs w:val="20"/>
          <w:color w:val="auto"/>
        </w:rPr>
      </w:pPr>
    </w:p>
    <w:p>
      <w:pPr>
        <w:ind w:left="640"/>
        <w:spacing w:after="0" w:line="249" w:lineRule="auto"/>
        <w:rPr>
          <w:sz w:val="20"/>
          <w:szCs w:val="20"/>
          <w:color w:val="auto"/>
        </w:rPr>
      </w:pPr>
      <w:r>
        <w:rPr>
          <w:rFonts w:ascii="Arial" w:cs="Arial" w:eastAsia="Arial" w:hAnsi="Arial"/>
          <w:sz w:val="20"/>
          <w:szCs w:val="20"/>
          <w:color w:val="auto"/>
        </w:rPr>
        <w:t>Board Charter provides a high-level overview of the organizational governance framework and the Board’s role, responsibilities and oversight authority. The Board elected to adopt a charter primarily to define and codify the Board’s functional oversight responsibilities</w:t>
      </w:r>
      <w:r>
        <w:rPr>
          <w:rFonts w:ascii="Arial" w:cs="Arial" w:eastAsia="Arial" w:hAnsi="Arial"/>
          <w:sz w:val="14"/>
          <w:szCs w:val="14"/>
          <w:color w:val="auto"/>
        </w:rPr>
        <w:t>2</w:t>
      </w:r>
      <w:r>
        <w:rPr>
          <w:rFonts w:ascii="Arial" w:cs="Arial" w:eastAsia="Arial" w:hAnsi="Arial"/>
          <w:sz w:val="20"/>
          <w:szCs w:val="20"/>
          <w:color w:val="auto"/>
        </w:rPr>
        <w:t xml:space="preserve"> and alleviate any confusion with regard to the separation of duties between the committees of the Board and the full Board, for both internal and external stakeholders. A copy of the Board Charter can be found on our website at </w:t>
      </w:r>
      <w:r>
        <w:rPr>
          <w:rFonts w:ascii="Arial" w:cs="Arial" w:eastAsia="Arial" w:hAnsi="Arial"/>
          <w:sz w:val="20"/>
          <w:szCs w:val="20"/>
          <w:u w:val="single" w:color="auto"/>
          <w:color w:val="auto"/>
        </w:rPr>
        <w:t>unitil.com/investors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80"/>
        <w:spacing w:after="0"/>
        <w:rPr>
          <w:sz w:val="20"/>
          <w:szCs w:val="20"/>
          <w:color w:val="auto"/>
        </w:rPr>
      </w:pPr>
      <w:r>
        <w:rPr>
          <w:rFonts w:ascii="Arial" w:cs="Arial" w:eastAsia="Arial" w:hAnsi="Arial"/>
          <w:sz w:val="19"/>
          <w:szCs w:val="19"/>
          <w:b w:val="1"/>
          <w:bCs w:val="1"/>
          <w:color w:val="auto"/>
        </w:rPr>
        <w:t>Board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-271780</wp:posOffset>
            </wp:positionV>
            <wp:extent cx="2813685" cy="2681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13685" cy="2681605"/>
                    </a:xfrm>
                    <a:prstGeom prst="rect">
                      <a:avLst/>
                    </a:prstGeom>
                    <a:noFill/>
                  </pic:spPr>
                </pic:pic>
              </a:graphicData>
            </a:graphic>
          </wp:anchor>
        </w:drawing>
      </w:r>
    </w:p>
    <w:p>
      <w:pPr>
        <w:ind w:left="700"/>
        <w:spacing w:after="0"/>
        <w:rPr>
          <w:sz w:val="20"/>
          <w:szCs w:val="20"/>
          <w:color w:val="auto"/>
        </w:rPr>
      </w:pPr>
      <w:r>
        <w:rPr>
          <w:rFonts w:ascii="Arial" w:cs="Arial" w:eastAsia="Arial" w:hAnsi="Arial"/>
          <w:sz w:val="19"/>
          <w:szCs w:val="19"/>
          <w:b w:val="1"/>
          <w:bCs w:val="1"/>
          <w:color w:val="auto"/>
        </w:rPr>
        <w:t>Oversight Responsibilities</w:t>
      </w:r>
    </w:p>
    <w:p>
      <w:pPr>
        <w:spacing w:after="0" w:line="224" w:lineRule="exact"/>
        <w:rPr>
          <w:sz w:val="20"/>
          <w:szCs w:val="20"/>
          <w:color w:val="auto"/>
        </w:rPr>
      </w:pPr>
    </w:p>
    <w:p>
      <w:pPr>
        <w:ind w:left="80" w:right="980"/>
        <w:spacing w:after="0" w:line="494" w:lineRule="auto"/>
        <w:rPr>
          <w:sz w:val="20"/>
          <w:szCs w:val="20"/>
          <w:color w:val="auto"/>
        </w:rPr>
      </w:pPr>
      <w:r>
        <w:rPr>
          <w:rFonts w:ascii="Arial" w:cs="Arial" w:eastAsia="Arial" w:hAnsi="Arial"/>
          <w:sz w:val="17"/>
          <w:szCs w:val="17"/>
          <w:color w:val="auto"/>
        </w:rPr>
        <w:t>  Strategic Planning and Implementation   Enterprise Risk Management   Corporate Sustainability / ESG   Cybersecurity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  Key Financial Matters and Financial Planning</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CEO and Executive Management Succession</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Planning</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  Mergers and Acquisitions and Other Corporate</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Actions</w:t>
      </w:r>
    </w:p>
    <w:p>
      <w:pPr>
        <w:spacing w:after="0" w:line="200" w:lineRule="exact"/>
        <w:rPr>
          <w:sz w:val="20"/>
          <w:szCs w:val="20"/>
          <w:color w:val="auto"/>
        </w:rPr>
      </w:pPr>
    </w:p>
    <w:p>
      <w:pPr>
        <w:sectPr>
          <w:pgSz w:w="11900" w:h="16838" w:orient="portrait"/>
          <w:cols w:equalWidth="0" w:num="2">
            <w:col w:w="6120" w:space="400"/>
            <w:col w:w="4100"/>
          </w:cols>
          <w:pgMar w:left="320" w:top="470" w:right="95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left="820"/>
        <w:spacing w:after="0"/>
        <w:rPr>
          <w:sz w:val="20"/>
          <w:szCs w:val="20"/>
          <w:color w:val="auto"/>
        </w:rPr>
      </w:pPr>
      <w:r>
        <w:rPr>
          <w:rFonts w:ascii="Arial" w:cs="Arial" w:eastAsia="Arial" w:hAnsi="Arial"/>
          <w:sz w:val="19"/>
          <w:szCs w:val="19"/>
          <w:b w:val="1"/>
          <w:bCs w:val="1"/>
          <w:color w:val="auto"/>
        </w:rPr>
        <w:t>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-271780</wp:posOffset>
            </wp:positionV>
            <wp:extent cx="2599055" cy="37623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99055" cy="3762375"/>
                    </a:xfrm>
                    <a:prstGeom prst="rect">
                      <a:avLst/>
                    </a:prstGeom>
                    <a:noFill/>
                  </pic:spPr>
                </pic:pic>
              </a:graphicData>
            </a:graphic>
          </wp:anchor>
        </w:drawing>
      </w:r>
    </w:p>
    <w:p>
      <w:pPr>
        <w:jc w:val="center"/>
        <w:ind w:left="820"/>
        <w:spacing w:after="0"/>
        <w:rPr>
          <w:sz w:val="20"/>
          <w:szCs w:val="20"/>
          <w:color w:val="auto"/>
        </w:rPr>
      </w:pPr>
      <w:r>
        <w:rPr>
          <w:rFonts w:ascii="Arial" w:cs="Arial" w:eastAsia="Arial" w:hAnsi="Arial"/>
          <w:sz w:val="19"/>
          <w:szCs w:val="19"/>
          <w:b w:val="1"/>
          <w:bCs w:val="1"/>
          <w:color w:val="auto"/>
        </w:rPr>
        <w:t>Responsibilities &amp; Expectations</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Fiduciary Duty</w:t>
      </w:r>
    </w:p>
    <w:p>
      <w:pPr>
        <w:spacing w:after="0" w:line="17" w:lineRule="exact"/>
        <w:rPr>
          <w:sz w:val="20"/>
          <w:szCs w:val="20"/>
          <w:color w:val="auto"/>
        </w:rPr>
      </w:pPr>
    </w:p>
    <w:p>
      <w:pPr>
        <w:ind w:left="800" w:right="20"/>
        <w:spacing w:after="0" w:line="246" w:lineRule="auto"/>
        <w:rPr>
          <w:sz w:val="20"/>
          <w:szCs w:val="20"/>
          <w:color w:val="auto"/>
        </w:rPr>
      </w:pPr>
      <w:r>
        <w:rPr>
          <w:rFonts w:ascii="Arial" w:cs="Arial" w:eastAsia="Arial" w:hAnsi="Arial"/>
          <w:sz w:val="17"/>
          <w:szCs w:val="17"/>
          <w:color w:val="auto"/>
        </w:rPr>
        <w:t>Exercise fiduciary duties with proper oversight of the development of Company policy and strategy, and assessment of the Company’s operational effectiveness and financial strength</w:t>
      </w:r>
    </w:p>
    <w:p>
      <w:pPr>
        <w:spacing w:after="0" w:line="194" w:lineRule="exact"/>
        <w:rPr>
          <w:sz w:val="20"/>
          <w:szCs w:val="20"/>
          <w:color w:val="auto"/>
        </w:rPr>
      </w:pPr>
    </w:p>
    <w:p>
      <w:pPr>
        <w:ind w:left="800"/>
        <w:spacing w:after="0" w:line="250" w:lineRule="auto"/>
        <w:rPr>
          <w:sz w:val="20"/>
          <w:szCs w:val="20"/>
          <w:color w:val="auto"/>
        </w:rPr>
      </w:pPr>
      <w:r>
        <w:rPr>
          <w:rFonts w:ascii="Arial" w:cs="Arial" w:eastAsia="Arial" w:hAnsi="Arial"/>
          <w:sz w:val="17"/>
          <w:szCs w:val="17"/>
          <w:b w:val="1"/>
          <w:bCs w:val="1"/>
          <w:color w:val="auto"/>
        </w:rPr>
        <w:t xml:space="preserve">Superior Business Judgment and Leadership </w:t>
      </w:r>
      <w:r>
        <w:rPr>
          <w:rFonts w:ascii="Arial" w:cs="Arial" w:eastAsia="Arial" w:hAnsi="Arial"/>
          <w:sz w:val="17"/>
          <w:szCs w:val="17"/>
          <w:color w:val="auto"/>
        </w:rPr>
        <w:t>Apply superior business judgment and leadership, and effectively exercise the duties of loyalty and care for the benefit of all stakeholders</w:t>
      </w:r>
    </w:p>
    <w:p>
      <w:pPr>
        <w:spacing w:after="0" w:line="394"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No Conflict of Interest</w:t>
      </w:r>
    </w:p>
    <w:p>
      <w:pPr>
        <w:spacing w:after="0" w:line="1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Avoid any conflict or perceived conflict of interest</w:t>
      </w:r>
    </w:p>
    <w:p>
      <w:pPr>
        <w:spacing w:after="0" w:line="215"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Personal Integrity</w:t>
      </w:r>
    </w:p>
    <w:p>
      <w:pPr>
        <w:spacing w:after="0" w:line="17" w:lineRule="exact"/>
        <w:rPr>
          <w:sz w:val="20"/>
          <w:szCs w:val="20"/>
          <w:color w:val="auto"/>
        </w:rPr>
      </w:pPr>
    </w:p>
    <w:p>
      <w:pPr>
        <w:ind w:left="800" w:right="60"/>
        <w:spacing w:after="0" w:line="249" w:lineRule="auto"/>
        <w:rPr>
          <w:sz w:val="20"/>
          <w:szCs w:val="20"/>
          <w:color w:val="auto"/>
        </w:rPr>
      </w:pPr>
      <w:r>
        <w:rPr>
          <w:rFonts w:ascii="Arial" w:cs="Arial" w:eastAsia="Arial" w:hAnsi="Arial"/>
          <w:sz w:val="17"/>
          <w:szCs w:val="17"/>
          <w:color w:val="auto"/>
        </w:rPr>
        <w:t>Promote a high standard of personal integrity and adhere to the letter and spirit of the Code of Ethics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DIRECTOR INDEPENDENCE</w:t>
      </w:r>
    </w:p>
    <w:p>
      <w:pPr>
        <w:spacing w:after="0" w:line="214" w:lineRule="exact"/>
        <w:rPr>
          <w:sz w:val="20"/>
          <w:szCs w:val="20"/>
          <w:color w:val="auto"/>
        </w:rPr>
      </w:pPr>
    </w:p>
    <w:p>
      <w:pPr>
        <w:ind w:right="500"/>
        <w:spacing w:after="0" w:line="237" w:lineRule="auto"/>
        <w:rPr>
          <w:sz w:val="20"/>
          <w:szCs w:val="20"/>
          <w:color w:val="auto"/>
        </w:rPr>
      </w:pPr>
      <w:r>
        <w:rPr>
          <w:rFonts w:ascii="Arial" w:cs="Arial" w:eastAsia="Arial" w:hAnsi="Arial"/>
          <w:sz w:val="21"/>
          <w:szCs w:val="21"/>
          <w:color w:val="auto"/>
        </w:rPr>
        <w:t>Our Governance Guidelines specify that a majority of the members of the Board, and all members of the Audit, Compensation, and Nominating and Governance Committees,</w:t>
      </w:r>
    </w:p>
    <w:p>
      <w:pPr>
        <w:spacing w:after="0" w:line="2" w:lineRule="exact"/>
        <w:rPr>
          <w:sz w:val="20"/>
          <w:szCs w:val="20"/>
          <w:color w:val="auto"/>
        </w:rPr>
      </w:pPr>
    </w:p>
    <w:p>
      <w:pPr>
        <w:ind w:right="140"/>
        <w:spacing w:after="0" w:line="232" w:lineRule="auto"/>
        <w:rPr>
          <w:sz w:val="20"/>
          <w:szCs w:val="20"/>
          <w:color w:val="auto"/>
        </w:rPr>
      </w:pPr>
      <w:r>
        <w:rPr>
          <w:rFonts w:ascii="Arial" w:cs="Arial" w:eastAsia="Arial" w:hAnsi="Arial"/>
          <w:sz w:val="21"/>
          <w:szCs w:val="21"/>
          <w:color w:val="auto"/>
        </w:rPr>
        <w:t>must be independent (as defined in Section 303A.02 of the NYSE Listed Company Manual—Corporate Governance Standards). As a listed company on the NYSE, we adhere to the independence standards set forth by the NYSE. The Board</w:t>
      </w:r>
    </w:p>
    <w:p>
      <w:pPr>
        <w:spacing w:after="0" w:line="2" w:lineRule="exact"/>
        <w:rPr>
          <w:sz w:val="20"/>
          <w:szCs w:val="20"/>
          <w:color w:val="auto"/>
        </w:rPr>
      </w:pPr>
    </w:p>
    <w:p>
      <w:pPr>
        <w:ind w:right="120"/>
        <w:spacing w:after="0" w:line="232" w:lineRule="auto"/>
        <w:rPr>
          <w:sz w:val="20"/>
          <w:szCs w:val="20"/>
          <w:color w:val="auto"/>
        </w:rPr>
      </w:pPr>
      <w:r>
        <w:rPr>
          <w:rFonts w:ascii="Arial" w:cs="Arial" w:eastAsia="Arial" w:hAnsi="Arial"/>
          <w:sz w:val="21"/>
          <w:szCs w:val="21"/>
          <w:color w:val="auto"/>
        </w:rPr>
        <w:t>has formally adopted independence criteria which aligns with the NYSE rules for director independence. The NYSE Listed Company Manual includes additional independence requirements for Audit Committee and Compensation Committee members. In addition, Rule 10A-3 of the Exchange</w:t>
      </w:r>
    </w:p>
    <w:p>
      <w:pPr>
        <w:spacing w:after="0" w:line="3" w:lineRule="exact"/>
        <w:rPr>
          <w:sz w:val="20"/>
          <w:szCs w:val="20"/>
          <w:color w:val="auto"/>
        </w:rPr>
      </w:pPr>
    </w:p>
    <w:p>
      <w:pPr>
        <w:ind w:right="480"/>
        <w:spacing w:after="0" w:line="245" w:lineRule="auto"/>
        <w:rPr>
          <w:sz w:val="20"/>
          <w:szCs w:val="20"/>
          <w:color w:val="auto"/>
        </w:rPr>
      </w:pPr>
      <w:r>
        <w:rPr>
          <w:rFonts w:ascii="Arial" w:cs="Arial" w:eastAsia="Arial" w:hAnsi="Arial"/>
          <w:sz w:val="21"/>
          <w:szCs w:val="21"/>
          <w:color w:val="auto"/>
        </w:rPr>
        <w:t>Act includes further independence requirements for Audit Committee members.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 </w:t>
      </w:r>
    </w:p>
    <w:p>
      <w:pPr>
        <w:spacing w:after="0" w:line="1" w:lineRule="exact"/>
        <w:rPr>
          <w:sz w:val="20"/>
          <w:szCs w:val="20"/>
          <w:color w:val="auto"/>
        </w:rPr>
      </w:pPr>
    </w:p>
    <w:p>
      <w:pPr>
        <w:sectPr>
          <w:pgSz w:w="11900" w:h="16838" w:orient="portrait"/>
          <w:cols w:equalWidth="0" w:num="2">
            <w:col w:w="4540" w:space="360"/>
            <w:col w:w="5720"/>
          </w:cols>
          <w:pgMar w:left="320" w:top="470" w:right="959" w:bottom="1440" w:gutter="0" w:footer="0" w:header="0"/>
          <w:type w:val="continuous"/>
        </w:sectPr>
      </w:pPr>
    </w:p>
    <w:tbl>
      <w:tblPr>
        <w:tblLayout w:type="fixed"/>
        <w:tblInd w:w="800" w:type="dxa"/>
        <w:tblCellMar>
          <w:top w:w="0" w:type="dxa"/>
          <w:left w:w="0" w:type="dxa"/>
          <w:bottom w:w="0" w:type="dxa"/>
          <w:right w:w="0" w:type="dxa"/>
        </w:tblCellMar>
      </w:tblPr>
      <w:tr>
        <w:trPr>
          <w:trHeight w:val="223"/>
        </w:trPr>
        <w:tc>
          <w:tcPr>
            <w:tcW w:w="3800" w:type="dxa"/>
            <w:vAlign w:val="bottom"/>
          </w:tcPr>
          <w:p>
            <w:pPr>
              <w:spacing w:after="0"/>
              <w:rPr>
                <w:sz w:val="20"/>
                <w:szCs w:val="20"/>
                <w:color w:val="auto"/>
              </w:rPr>
            </w:pPr>
            <w:r>
              <w:rPr>
                <w:rFonts w:ascii="Arial" w:cs="Arial" w:eastAsia="Arial" w:hAnsi="Arial"/>
                <w:sz w:val="17"/>
                <w:szCs w:val="17"/>
                <w:b w:val="1"/>
                <w:bCs w:val="1"/>
                <w:color w:val="auto"/>
              </w:rPr>
              <w:t>Challenge Management</w:t>
            </w:r>
          </w:p>
        </w:tc>
        <w:tc>
          <w:tcPr>
            <w:tcW w:w="5860" w:type="dxa"/>
            <w:vAlign w:val="bottom"/>
          </w:tcPr>
          <w:p>
            <w:pPr>
              <w:ind w:left="300"/>
              <w:spacing w:after="0" w:line="223" w:lineRule="exact"/>
              <w:rPr>
                <w:sz w:val="20"/>
                <w:szCs w:val="20"/>
                <w:color w:val="auto"/>
              </w:rPr>
            </w:pPr>
            <w:r>
              <w:rPr>
                <w:rFonts w:ascii="Arial" w:cs="Arial" w:eastAsia="Arial" w:hAnsi="Arial"/>
                <w:sz w:val="21"/>
                <w:szCs w:val="21"/>
                <w:color w:val="auto"/>
              </w:rPr>
              <w:t>Our Governance Guidelines, as well as the NYSE</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20"/>
                <w:szCs w:val="20"/>
                <w:color w:val="auto"/>
              </w:rPr>
            </w:pPr>
            <w:r>
              <w:rPr>
                <w:rFonts w:ascii="Arial" w:cs="Arial" w:eastAsia="Arial" w:hAnsi="Arial"/>
                <w:sz w:val="17"/>
                <w:szCs w:val="17"/>
                <w:color w:val="auto"/>
              </w:rPr>
              <w:t>Hold management accountable for its</w:t>
            </w:r>
          </w:p>
        </w:tc>
        <w:tc>
          <w:tcPr>
            <w:tcW w:w="5860" w:type="dxa"/>
            <w:vAlign w:val="bottom"/>
          </w:tcPr>
          <w:p>
            <w:pPr>
              <w:ind w:left="300"/>
              <w:spacing w:after="0" w:line="212" w:lineRule="exact"/>
              <w:rPr>
                <w:sz w:val="20"/>
                <w:szCs w:val="20"/>
                <w:color w:val="auto"/>
              </w:rPr>
            </w:pPr>
            <w:r>
              <w:rPr>
                <w:rFonts w:ascii="Arial" w:cs="Arial" w:eastAsia="Arial" w:hAnsi="Arial"/>
                <w:sz w:val="21"/>
                <w:szCs w:val="21"/>
                <w:color w:val="auto"/>
              </w:rPr>
              <w:t>independence standards, require that the Board annually</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7"/>
                <w:szCs w:val="17"/>
                <w:color w:val="auto"/>
              </w:rPr>
              <w:t>commitment to achieve the highest attainable</w:t>
            </w:r>
          </w:p>
        </w:tc>
        <w:tc>
          <w:tcPr>
            <w:tcW w:w="5860" w:type="dxa"/>
            <w:vAlign w:val="bottom"/>
          </w:tcPr>
          <w:p>
            <w:pPr>
              <w:ind w:left="300"/>
              <w:spacing w:after="0" w:line="234" w:lineRule="exact"/>
              <w:rPr>
                <w:sz w:val="20"/>
                <w:szCs w:val="20"/>
                <w:color w:val="auto"/>
              </w:rPr>
            </w:pPr>
            <w:r>
              <w:rPr>
                <w:rFonts w:ascii="Arial" w:cs="Arial" w:eastAsia="Arial" w:hAnsi="Arial"/>
                <w:sz w:val="21"/>
                <w:szCs w:val="21"/>
                <w:color w:val="auto"/>
                <w:w w:val="98"/>
              </w:rPr>
              <w:t>affirm the independence status of non-employee or “outside”</w:t>
            </w: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7"/>
                <w:szCs w:val="17"/>
                <w:color w:val="auto"/>
              </w:rPr>
              <w:t>goals</w:t>
            </w:r>
          </w:p>
        </w:tc>
        <w:tc>
          <w:tcPr>
            <w:tcW w:w="5860" w:type="dxa"/>
            <w:vAlign w:val="bottom"/>
            <w:vMerge w:val="restart"/>
          </w:tcPr>
          <w:p>
            <w:pPr>
              <w:ind w:left="300"/>
              <w:spacing w:after="0"/>
              <w:rPr>
                <w:sz w:val="20"/>
                <w:szCs w:val="20"/>
                <w:color w:val="auto"/>
              </w:rPr>
            </w:pPr>
            <w:r>
              <w:rPr>
                <w:rFonts w:ascii="Arial" w:cs="Arial" w:eastAsia="Arial" w:hAnsi="Arial"/>
                <w:sz w:val="21"/>
                <w:szCs w:val="21"/>
                <w:color w:val="auto"/>
              </w:rPr>
              <w:t>Directors. The Board performs this review and affirmation</w:t>
            </w:r>
          </w:p>
        </w:tc>
        <w:tc>
          <w:tcPr>
            <w:tcW w:w="0" w:type="dxa"/>
            <w:vAlign w:val="bottom"/>
          </w:tcPr>
          <w:p>
            <w:pPr>
              <w:spacing w:after="0"/>
              <w:rPr>
                <w:sz w:val="1"/>
                <w:szCs w:val="1"/>
                <w:color w:val="auto"/>
              </w:rPr>
            </w:pPr>
          </w:p>
        </w:tc>
      </w:tr>
      <w:tr>
        <w:trPr>
          <w:trHeight w:val="31"/>
        </w:trPr>
        <w:tc>
          <w:tcPr>
            <w:tcW w:w="3800" w:type="dxa"/>
            <w:vAlign w:val="bottom"/>
          </w:tcPr>
          <w:p>
            <w:pPr>
              <w:spacing w:after="0"/>
              <w:rPr>
                <w:sz w:val="2"/>
                <w:szCs w:val="2"/>
                <w:color w:val="auto"/>
              </w:rPr>
            </w:pPr>
          </w:p>
        </w:tc>
        <w:tc>
          <w:tcPr>
            <w:tcW w:w="5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3800" w:type="dxa"/>
            <w:vAlign w:val="bottom"/>
          </w:tcPr>
          <w:p>
            <w:pPr>
              <w:spacing w:after="0"/>
              <w:rPr>
                <w:sz w:val="22"/>
                <w:szCs w:val="22"/>
                <w:color w:val="auto"/>
              </w:rPr>
            </w:pPr>
          </w:p>
        </w:tc>
        <w:tc>
          <w:tcPr>
            <w:tcW w:w="5860" w:type="dxa"/>
            <w:vAlign w:val="bottom"/>
          </w:tcPr>
          <w:p>
            <w:pPr>
              <w:ind w:left="300"/>
              <w:spacing w:after="0"/>
              <w:rPr>
                <w:sz w:val="20"/>
                <w:szCs w:val="20"/>
                <w:color w:val="auto"/>
              </w:rPr>
            </w:pPr>
            <w:r>
              <w:rPr>
                <w:rFonts w:ascii="Arial" w:cs="Arial" w:eastAsia="Arial" w:hAnsi="Arial"/>
                <w:sz w:val="21"/>
                <w:szCs w:val="21"/>
                <w:color w:val="auto"/>
              </w:rPr>
              <w:t>annually in January, and based on its last comprehensive</w:t>
            </w:r>
          </w:p>
        </w:tc>
        <w:tc>
          <w:tcPr>
            <w:tcW w:w="0" w:type="dxa"/>
            <w:vAlign w:val="bottom"/>
          </w:tcPr>
          <w:p>
            <w:pPr>
              <w:spacing w:after="0"/>
              <w:rPr>
                <w:sz w:val="1"/>
                <w:szCs w:val="1"/>
                <w:color w:val="auto"/>
              </w:rPr>
            </w:pPr>
          </w:p>
        </w:tc>
      </w:tr>
    </w:tbl>
    <w:p>
      <w:pPr>
        <w:ind w:left="640" w:right="80"/>
        <w:spacing w:after="0" w:line="245" w:lineRule="auto"/>
        <w:rPr>
          <w:sz w:val="20"/>
          <w:szCs w:val="20"/>
          <w:color w:val="auto"/>
        </w:rPr>
      </w:pPr>
      <w:r>
        <w:rPr>
          <w:rFonts w:ascii="Arial" w:cs="Arial" w:eastAsia="Arial" w:hAnsi="Arial"/>
          <w:sz w:val="21"/>
          <w:szCs w:val="21"/>
          <w:color w:val="auto"/>
        </w:rPr>
        <w:t>review on January 28, 2026, the Board determined at that time, with the exception of Mr. Meissner, all of the current Board members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70485</wp:posOffset>
            </wp:positionV>
            <wp:extent cx="20218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83" w:lineRule="exact"/>
        <w:rPr>
          <w:sz w:val="20"/>
          <w:szCs w:val="20"/>
          <w:color w:val="auto"/>
        </w:rPr>
      </w:pPr>
    </w:p>
    <w:p>
      <w:pPr>
        <w:ind w:left="820" w:hanging="186"/>
        <w:spacing w:after="0"/>
        <w:tabs>
          <w:tab w:leader="none" w:pos="820" w:val="left"/>
        </w:tabs>
        <w:numPr>
          <w:ilvl w:val="0"/>
          <w:numId w:val="17"/>
        </w:numPr>
        <w:rPr>
          <w:rFonts w:ascii="Arial" w:cs="Arial" w:eastAsia="Arial" w:hAnsi="Arial"/>
          <w:sz w:val="22"/>
          <w:szCs w:val="22"/>
          <w:color w:val="auto"/>
          <w:vertAlign w:val="superscript"/>
        </w:rPr>
      </w:pPr>
      <w:r>
        <w:rPr>
          <w:rFonts w:ascii="Arial" w:cs="Arial" w:eastAsia="Arial" w:hAnsi="Arial"/>
          <w:sz w:val="15"/>
          <w:szCs w:val="15"/>
          <w:color w:val="auto"/>
        </w:rPr>
        <w:t>The list of oversight responsibilities of the Board is not exhaustive and may be revised or amended at any time at the discretion of the Board.</w:t>
      </w:r>
    </w:p>
    <w:p>
      <w:pPr>
        <w:spacing w:after="0" w:line="200" w:lineRule="exact"/>
        <w:rPr>
          <w:rFonts w:ascii="Arial" w:cs="Arial" w:eastAsia="Arial" w:hAnsi="Arial"/>
          <w:sz w:val="22"/>
          <w:szCs w:val="22"/>
          <w:color w:val="auto"/>
          <w:vertAlign w:val="superscript"/>
        </w:rPr>
      </w:pPr>
    </w:p>
    <w:p>
      <w:pPr>
        <w:spacing w:after="0" w:line="252" w:lineRule="exact"/>
        <w:rPr>
          <w:rFonts w:ascii="Arial" w:cs="Arial" w:eastAsia="Arial" w:hAnsi="Arial"/>
          <w:sz w:val="22"/>
          <w:szCs w:val="22"/>
          <w:color w:val="auto"/>
          <w:vertAlign w:val="superscript"/>
        </w:rPr>
      </w:pPr>
    </w:p>
    <w:p>
      <w:pPr>
        <w:ind w:left="10420"/>
        <w:spacing w:after="0"/>
        <w:rPr>
          <w:rFonts w:ascii="Arial" w:cs="Arial" w:eastAsia="Arial" w:hAnsi="Arial"/>
          <w:sz w:val="22"/>
          <w:szCs w:val="22"/>
          <w:color w:val="auto"/>
          <w:vertAlign w:val="superscript"/>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-261620</wp:posOffset>
            </wp:positionV>
            <wp:extent cx="6337300" cy="825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ectPr>
          <w:pgSz w:w="11900" w:h="16838" w:orient="portrait"/>
          <w:cols w:equalWidth="0" w:num="1">
            <w:col w:w="10620"/>
          </w:cols>
          <w:pgMar w:left="320" w:top="470" w:right="959" w:bottom="1440" w:gutter="0" w:footer="0" w:header="0"/>
          <w:type w:val="continuous"/>
        </w:sectPr>
      </w:pPr>
    </w:p>
    <w:bookmarkStart w:id="20" w:name="page21"/>
    <w:bookmarkEnd w:id="20"/>
    <w:p>
      <w:pPr>
        <w:spacing w:after="0" w:line="-161" w:lineRule="auto"/>
        <w:framePr w:w="1560" w:h="161" w:wrap="auto" w:vAnchor="page" w:hAnchor="page" w:x="8400" w:y="1682"/>
        <w:rPr>
          <w:rFonts w:ascii="Arial" w:cs="Arial" w:eastAsia="Arial" w:hAnsi="Arial"/>
          <w:sz w:val="17"/>
          <w:szCs w:val="17"/>
          <w:b w:val="1"/>
          <w:bCs w:val="1"/>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Anne L. Alonzo</w:t>
      </w:r>
    </w:p>
    <w:p>
      <w:pPr>
        <w:spacing w:after="0" w:line="-161" w:lineRule="auto"/>
        <w:framePr w:w="1640" w:h="161" w:wrap="auto" w:vAnchor="page" w:hAnchor="page" w:x="8400" w:y="1889"/>
        <w:rPr>
          <w:rFonts w:ascii="Arial" w:cs="Arial" w:eastAsia="Arial" w:hAnsi="Arial"/>
          <w:sz w:val="16"/>
          <w:szCs w:val="16"/>
          <w:b w:val="1"/>
          <w:bCs w:val="1"/>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   Neveen F. Awad</w:t>
      </w:r>
    </w:p>
    <w:p>
      <w:pPr>
        <w:spacing w:after="0" w:line="-198" w:lineRule="auto"/>
        <w:framePr w:w="1820" w:h="992" w:wrap="auto" w:vAnchor="page" w:hAnchor="page" w:x="8400" w:y="2097"/>
        <w:rPr>
          <w:rFonts w:ascii="Arial" w:cs="Arial" w:eastAsia="Arial" w:hAnsi="Arial"/>
          <w:sz w:val="17"/>
          <w:szCs w:val="17"/>
          <w:b w:val="1"/>
          <w:bCs w:val="1"/>
          <w:color w:val="auto"/>
        </w:rPr>
      </w:pP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 xml:space="preserve">  Winfield S. Brown </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 xml:space="preserve">  Mark H. Collin </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 xml:space="preserve">  Suzanne Foster </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 xml:space="preserve">  Michael B. Green </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 xml:space="preserve">  Katherine Kountze</w:t>
      </w:r>
    </w:p>
    <w:p>
      <w:pPr>
        <w:spacing w:after="0" w:line="-185" w:lineRule="auto"/>
        <w:framePr w:w="2060" w:h="369" w:wrap="auto" w:vAnchor="page" w:hAnchor="page" w:x="8400" w:y="3137"/>
        <w:rPr>
          <w:rFonts w:ascii="Arial" w:cs="Arial" w:eastAsia="Arial" w:hAnsi="Arial"/>
          <w:sz w:val="17"/>
          <w:szCs w:val="17"/>
          <w:b w:val="1"/>
          <w:bCs w:val="1"/>
          <w:color w:val="auto"/>
        </w:rPr>
      </w:pP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 xml:space="preserve">  Jane Lewis-Raymond </w:t>
      </w: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Justine Vogel</w:t>
      </w:r>
    </w:p>
    <w:p>
      <w:pPr>
        <w:spacing w:after="0" w:line="-161" w:lineRule="auto"/>
        <w:framePr w:w="1760" w:h="161" w:wrap="auto" w:vAnchor="page" w:hAnchor="page" w:x="8400" w:y="3553"/>
        <w:rPr>
          <w:rFonts w:ascii="Arial" w:cs="Arial" w:eastAsia="Arial" w:hAnsi="Arial"/>
          <w:sz w:val="17"/>
          <w:szCs w:val="17"/>
          <w:b w:val="1"/>
          <w:bCs w:val="1"/>
          <w:color w:val="auto"/>
        </w:rPr>
      </w:pP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 xml:space="preserve">   David A. Whiteley</w:t>
      </w:r>
    </w:p>
    <w:p>
      <w:pPr>
        <w:spacing w:after="0" w:line="189" w:lineRule="auto"/>
        <w:framePr w:w="2320" w:h="172" w:wrap="auto" w:vAnchor="page" w:hAnchor="page" w:x="8280" w:y="1072"/>
        <w:rPr>
          <w:rFonts w:ascii="Arial" w:cs="Arial" w:eastAsia="Arial" w:hAnsi="Arial"/>
          <w:sz w:val="19"/>
          <w:szCs w:val="19"/>
          <w:b w:val="1"/>
          <w:bCs w:val="1"/>
          <w:color w:val="auto"/>
        </w:rPr>
      </w:pPr>
      <w:r>
        <w:rPr>
          <w:rFonts w:ascii="Arial" w:cs="Arial" w:eastAsia="Arial" w:hAnsi="Arial"/>
          <w:sz w:val="19"/>
          <w:szCs w:val="19"/>
          <w:b w:val="1"/>
          <w:bCs w:val="1"/>
          <w:color w:val="auto"/>
        </w:rPr>
        <w:t>Affirmed as Independent</w:t>
      </w:r>
    </w:p>
    <w:p>
      <w:pPr>
        <w:spacing w:after="0" w:line="199" w:lineRule="auto"/>
        <w:framePr w:w="1600" w:h="172" w:wrap="auto" w:vAnchor="page" w:hAnchor="page" w:x="8640" w:y="1280"/>
        <w:rPr>
          <w:rFonts w:ascii="Arial" w:cs="Arial" w:eastAsia="Arial" w:hAnsi="Arial"/>
          <w:sz w:val="18"/>
          <w:szCs w:val="18"/>
          <w:b w:val="1"/>
          <w:bCs w:val="1"/>
          <w:color w:val="auto"/>
        </w:rPr>
      </w:pPr>
      <w:r>
        <w:rPr>
          <w:rFonts w:ascii="Arial" w:cs="Arial" w:eastAsia="Arial" w:hAnsi="Arial"/>
          <w:sz w:val="18"/>
          <w:szCs w:val="18"/>
          <w:b w:val="1"/>
          <w:bCs w:val="1"/>
          <w:color w:val="auto"/>
        </w:rPr>
        <w:t>January 28, 2026</w:t>
      </w:r>
    </w:p>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rFonts w:ascii="Arial" w:cs="Arial" w:eastAsia="Arial" w:hAnsi="Arial"/>
          <w:sz w:val="18"/>
          <w:szCs w:val="18"/>
          <w:b w:val="1"/>
          <w:bCs w:val="1"/>
          <w:color w:val="auto"/>
        </w:rPr>
      </w:pPr>
    </w:p>
    <w:p>
      <w:pPr>
        <w:ind w:left="640" w:right="3060"/>
        <w:spacing w:after="0" w:line="234" w:lineRule="auto"/>
        <w:rPr>
          <w:sz w:val="20"/>
          <w:szCs w:val="20"/>
          <w:color w:val="auto"/>
        </w:rPr>
      </w:pPr>
      <w:r>
        <w:rPr>
          <w:rFonts w:ascii="Arial" w:cs="Arial" w:eastAsia="Arial" w:hAnsi="Arial"/>
          <w:sz w:val="21"/>
          <w:szCs w:val="21"/>
          <w:color w:val="auto"/>
        </w:rPr>
        <w:t>During its annual independence review and affirmation, the Board applies the independence standards set forth in our Governance Guidelines and by the NYSE. Under these requirements, the members of the Board who qualify as independent must be free from any material relationship that would interfere with the exercise of independent judgment as a member of the Board. An independent Director is one for whom the Board has affirmatively determined that he or she, individually or through a member of his or her immediate family, does not have or has not had management responsibility with the Company or otherwise been affiliated with Unitil for the past three years and who has no material relationship, either directly or as a partner, shareholder or officer of an organization with such a relationship with Unitil. This definition generally leaves the Board with</w:t>
      </w:r>
    </w:p>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4846320</wp:posOffset>
            </wp:positionH>
            <wp:positionV relativeFrom="paragraph">
              <wp:posOffset>-1776730</wp:posOffset>
            </wp:positionV>
            <wp:extent cx="1898015" cy="17659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98015" cy="1765935"/>
                    </a:xfrm>
                    <a:prstGeom prst="rect">
                      <a:avLst/>
                    </a:prstGeom>
                    <a:noFill/>
                  </pic:spPr>
                </pic:pic>
              </a:graphicData>
            </a:graphic>
          </wp:anchor>
        </w:drawing>
      </w:r>
    </w:p>
    <w:p>
      <w:pPr>
        <w:ind w:left="640" w:right="40"/>
        <w:spacing w:after="0" w:line="235" w:lineRule="auto"/>
        <w:rPr>
          <w:sz w:val="20"/>
          <w:szCs w:val="20"/>
          <w:color w:val="auto"/>
        </w:rPr>
      </w:pPr>
      <w:r>
        <w:rPr>
          <w:rFonts w:ascii="Arial" w:cs="Arial" w:eastAsia="Arial" w:hAnsi="Arial"/>
          <w:sz w:val="21"/>
          <w:szCs w:val="21"/>
          <w:color w:val="auto"/>
        </w:rPr>
        <w:t>discretion to determine, on a case-by-case basis, what constitutes a “material relationship” with us, subject to certain “bright line” independence standards set forth by Section 303.A of the NYSE Listed Company Manual. The Board exercises this discretion in a manner that is consistent with applicable NYSE and SEC regulations and standards. In addition, members of the Board are obligated to notify the full Board of any material changes in their relationships that may affect their independence status as determined by the Board. The obligation encompasses all relationships between Directors and Unitil and its subsidiaries and/or members of senior management.</w:t>
      </w:r>
    </w:p>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407035</wp:posOffset>
            </wp:positionH>
            <wp:positionV relativeFrom="paragraph">
              <wp:posOffset>149225</wp:posOffset>
            </wp:positionV>
            <wp:extent cx="6337300" cy="825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rFonts w:ascii="Arial" w:cs="Arial" w:eastAsia="Arial" w:hAnsi="Arial"/>
          <w:sz w:val="18"/>
          <w:szCs w:val="18"/>
          <w:b w:val="1"/>
          <w:bCs w:val="1"/>
          <w:color w:val="auto"/>
        </w:rPr>
      </w:pPr>
    </w:p>
    <w:p>
      <w:pPr>
        <w:spacing w:after="0" w:line="232" w:lineRule="exact"/>
        <w:rPr>
          <w:rFonts w:ascii="Arial" w:cs="Arial" w:eastAsia="Arial" w:hAnsi="Arial"/>
          <w:sz w:val="18"/>
          <w:szCs w:val="18"/>
          <w:b w:val="1"/>
          <w:bCs w:val="1"/>
          <w:color w:val="auto"/>
        </w:rPr>
      </w:pPr>
    </w:p>
    <w:p>
      <w:pPr>
        <w:jc w:val="right"/>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20"/>
          </w:cols>
          <w:pgMar w:left="320" w:top="470" w:right="9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LEADERSHIP STRUCTURE</w:t>
      </w:r>
    </w:p>
    <w:p>
      <w:pPr>
        <w:spacing w:after="0" w:line="240" w:lineRule="exact"/>
        <w:rPr>
          <w:sz w:val="20"/>
          <w:szCs w:val="20"/>
          <w:color w:val="auto"/>
        </w:rPr>
      </w:pPr>
    </w:p>
    <w:p>
      <w:pPr>
        <w:ind w:left="640" w:right="100"/>
        <w:spacing w:after="0" w:line="264" w:lineRule="auto"/>
        <w:rPr>
          <w:sz w:val="20"/>
          <w:szCs w:val="20"/>
          <w:color w:val="auto"/>
        </w:rPr>
      </w:pPr>
      <w:r>
        <w:rPr>
          <w:rFonts w:ascii="Arial" w:cs="Arial" w:eastAsia="Arial" w:hAnsi="Arial"/>
          <w:sz w:val="21"/>
          <w:szCs w:val="21"/>
          <w:color w:val="auto"/>
        </w:rPr>
        <w:t>The current leadership structure of the Board consists of a combined Board chair and chief executive officer (“CEO”) position, which has been held by Mr. Meissner since April 2018.</w:t>
      </w:r>
    </w:p>
    <w:p>
      <w:pPr>
        <w:sectPr>
          <w:pgSz w:w="11900" w:h="16838" w:orient="portrait"/>
          <w:cols w:equalWidth="0" w:num="1">
            <w:col w:w="10620"/>
          </w:cols>
          <w:pgMar w:left="320" w:top="470" w:right="959" w:bottom="1440" w:gutter="0" w:footer="0" w:header="0"/>
        </w:sectPr>
      </w:pPr>
    </w:p>
    <w:p>
      <w:pPr>
        <w:spacing w:after="0" w:line="170" w:lineRule="exact"/>
        <w:rPr>
          <w:sz w:val="20"/>
          <w:szCs w:val="20"/>
          <w:color w:val="auto"/>
        </w:rPr>
      </w:pPr>
    </w:p>
    <w:p>
      <w:pPr>
        <w:ind w:left="640"/>
        <w:spacing w:after="0" w:line="236" w:lineRule="auto"/>
        <w:rPr>
          <w:sz w:val="20"/>
          <w:szCs w:val="20"/>
          <w:color w:val="auto"/>
        </w:rPr>
      </w:pPr>
      <w:r>
        <w:rPr>
          <w:rFonts w:ascii="Arial" w:cs="Arial" w:eastAsia="Arial" w:hAnsi="Arial"/>
          <w:sz w:val="21"/>
          <w:szCs w:val="21"/>
          <w:color w:val="auto"/>
        </w:rPr>
        <w:t>At this time, the Board believes that as a domestic investor-owned public utility company, the combination of these two positions is the optimal structure to guide our Company and maintain the focus required to achieve our long-term strategic goals. The CEO is the direct link between senior management and the Board. As a utility professional with over 40 years of industry experience, Mr. Meissner provides both critical insight and perception to the Board as well as valuable feedback to senior management through his comprehensive understanding of the issues at hand.</w:t>
      </w:r>
    </w:p>
    <w:p>
      <w:pPr>
        <w:spacing w:after="0" w:line="195" w:lineRule="exact"/>
        <w:rPr>
          <w:sz w:val="20"/>
          <w:szCs w:val="20"/>
          <w:color w:val="auto"/>
        </w:rPr>
      </w:pPr>
    </w:p>
    <w:p>
      <w:pPr>
        <w:ind w:left="640" w:right="80"/>
        <w:spacing w:after="0" w:line="238" w:lineRule="auto"/>
        <w:rPr>
          <w:sz w:val="20"/>
          <w:szCs w:val="20"/>
          <w:color w:val="auto"/>
        </w:rPr>
      </w:pPr>
      <w:r>
        <w:rPr>
          <w:rFonts w:ascii="Arial" w:cs="Arial" w:eastAsia="Arial" w:hAnsi="Arial"/>
          <w:sz w:val="21"/>
          <w:szCs w:val="21"/>
          <w:color w:val="auto"/>
        </w:rPr>
        <w:t>In July 2025, the Board re-appointed Michael B. Green to serve as the lead independent director (the “Lead Director”) for the remainder of 2025, and through January 2026. In his role as Lead Director, Mr. Green, who also serves as chair of the Executive Committee, presided at the executive session meetings of the Board in 2025, as well as the meeting on January 28, 2026.</w:t>
      </w:r>
    </w:p>
    <w:p>
      <w:pPr>
        <w:spacing w:after="0" w:line="195" w:lineRule="exact"/>
        <w:rPr>
          <w:sz w:val="20"/>
          <w:szCs w:val="20"/>
          <w:color w:val="auto"/>
        </w:rPr>
      </w:pPr>
    </w:p>
    <w:p>
      <w:pPr>
        <w:ind w:left="640"/>
        <w:spacing w:after="0" w:line="236" w:lineRule="auto"/>
        <w:rPr>
          <w:sz w:val="20"/>
          <w:szCs w:val="20"/>
          <w:color w:val="auto"/>
        </w:rPr>
      </w:pPr>
      <w:r>
        <w:rPr>
          <w:rFonts w:ascii="Arial" w:cs="Arial" w:eastAsia="Arial" w:hAnsi="Arial"/>
          <w:sz w:val="21"/>
          <w:szCs w:val="21"/>
          <w:color w:val="auto"/>
        </w:rPr>
        <w:t>In anticipation of Mr. Green’s retirement from the Board in April 2026, the Board appointed Justine Vogel as the new Lead Director on January 28, 2026. Ms. Vogel’s responsibilities as Lead Director were effective as of the date of her appointment, and she will preside over the Board’s meetings in executive session for the remainder of 2026. Ms. Vogel also serves as the chair of Audit Committee, and as of the date of her appointment as Lead Director, she also serves as the chair of the Executive Committee.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-271780</wp:posOffset>
            </wp:positionV>
            <wp:extent cx="2813685" cy="4711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13685" cy="471170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9"/>
          <w:szCs w:val="19"/>
          <w:b w:val="1"/>
          <w:bCs w:val="1"/>
          <w:color w:val="auto"/>
        </w:rPr>
        <w:t>Responsibilities &amp; Expectations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Leadership:</w:t>
      </w:r>
    </w:p>
    <w:p>
      <w:pPr>
        <w:spacing w:after="0" w:line="17"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Provide leadership and guidance to the Board on the fulfillment of its fiduciary duties, as well as the organization’s mission, vision, corporate governance and strategic direction.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 Management:</w:t>
      </w:r>
    </w:p>
    <w:p>
      <w:pPr>
        <w:spacing w:after="0" w:line="17"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Chair all meetings of the Board in executive session, as well as Board meetings at which the Chairman is not present; encourage meeting participation, information sharing, and candid discussion with the goal of prudent decision-making and efficient and effective meetings.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Management:</w:t>
      </w:r>
    </w:p>
    <w:p>
      <w:pPr>
        <w:spacing w:after="0" w:line="17"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Provide independent advice and counsel to the Chairman and CEO with particular emphasis on Board relations and matters of strategic importance; provide a communication conduit between the Board and the Chairman and CEO, as needed or requested.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w:t>
      </w:r>
    </w:p>
    <w:p>
      <w:pPr>
        <w:spacing w:after="0" w:line="17"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Facilitate, with the assistance of the Nominating and Governance Committee and the Corporate Secretary, the annual board evaluation on key Board and committee-related matters.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Culture and Conduct:</w:t>
      </w:r>
    </w:p>
    <w:p>
      <w:pPr>
        <w:spacing w:after="0" w:line="17"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Promote the continuation of a collegial and mutually respectful Board culture. Intervene, when necessary, in instances involving conflict of interest, confidentially, director performance, and other Board policies.</w:t>
      </w:r>
    </w:p>
    <w:p>
      <w:pPr>
        <w:spacing w:after="0" w:line="200" w:lineRule="exact"/>
        <w:rPr>
          <w:sz w:val="20"/>
          <w:szCs w:val="20"/>
          <w:color w:val="auto"/>
        </w:rPr>
      </w:pPr>
    </w:p>
    <w:p>
      <w:pPr>
        <w:sectPr>
          <w:pgSz w:w="11900" w:h="16838" w:orient="portrait"/>
          <w:cols w:equalWidth="0" w:num="2">
            <w:col w:w="6000" w:space="340"/>
            <w:col w:w="4280"/>
          </w:cols>
          <w:pgMar w:left="320" w:top="470" w:right="959" w:bottom="1440" w:gutter="0" w:footer="0" w:header="0"/>
          <w:type w:val="continuous"/>
        </w:sectPr>
      </w:pPr>
    </w:p>
    <w:p>
      <w:pPr>
        <w:spacing w:after="0" w:line="104" w:lineRule="exact"/>
        <w:rPr>
          <w:sz w:val="20"/>
          <w:szCs w:val="20"/>
          <w:color w:val="auto"/>
        </w:rPr>
      </w:pPr>
    </w:p>
    <w:p>
      <w:pPr>
        <w:ind w:left="640" w:right="240"/>
        <w:spacing w:after="0" w:line="248" w:lineRule="auto"/>
        <w:rPr>
          <w:sz w:val="20"/>
          <w:szCs w:val="20"/>
          <w:color w:val="auto"/>
        </w:rPr>
      </w:pPr>
      <w:r>
        <w:rPr>
          <w:rFonts w:ascii="Arial" w:cs="Arial" w:eastAsia="Arial" w:hAnsi="Arial"/>
          <w:sz w:val="21"/>
          <w:szCs w:val="21"/>
          <w:color w:val="auto"/>
        </w:rPr>
        <w:t>The existence and activities of the Lead Director do not alter the traditional roles and responsibilities of the Board as a whole, or our management team. The Lead Director Charter outlines the responsibilities and expectations of the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143510</wp:posOffset>
            </wp:positionV>
            <wp:extent cx="6337300" cy="908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20"/>
          </w:cols>
          <w:pgMar w:left="320" w:top="470" w:right="9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RISK OVERSIGHT</w:t>
      </w:r>
    </w:p>
    <w:p>
      <w:pPr>
        <w:spacing w:after="0" w:line="214" w:lineRule="exact"/>
        <w:rPr>
          <w:sz w:val="20"/>
          <w:szCs w:val="20"/>
          <w:color w:val="auto"/>
        </w:rPr>
      </w:pPr>
    </w:p>
    <w:p>
      <w:pPr>
        <w:ind w:left="640" w:right="20"/>
        <w:spacing w:after="0"/>
        <w:rPr>
          <w:sz w:val="20"/>
          <w:szCs w:val="20"/>
          <w:color w:val="auto"/>
        </w:rPr>
      </w:pPr>
      <w:r>
        <w:rPr>
          <w:rFonts w:ascii="Arial" w:cs="Arial" w:eastAsia="Arial" w:hAnsi="Arial"/>
          <w:sz w:val="21"/>
          <w:szCs w:val="21"/>
          <w:color w:val="auto"/>
        </w:rPr>
        <w:t>As defined in the Board Charter, the Board is responsible for the oversight of management, the development of Company policy and strategy, and the ongoing assessment of our Company’s operational effectiveness and financial strength, which includes the oversight of risk. The Board’s ultimate goals are to ensure that we continue as a successful and sustainable business, to optimize financial returns in light of the business risks, to increase shareholder value over time, and to protect the interests of all stakeholders.</w:t>
      </w:r>
    </w:p>
    <w:p>
      <w:pPr>
        <w:spacing w:after="0" w:line="170" w:lineRule="exact"/>
        <w:rPr>
          <w:sz w:val="20"/>
          <w:szCs w:val="20"/>
          <w:color w:val="auto"/>
        </w:rPr>
      </w:pPr>
    </w:p>
    <w:p>
      <w:pPr>
        <w:ind w:left="640" w:right="80"/>
        <w:spacing w:after="0" w:line="235" w:lineRule="auto"/>
        <w:rPr>
          <w:sz w:val="20"/>
          <w:szCs w:val="20"/>
          <w:color w:val="auto"/>
        </w:rPr>
      </w:pPr>
      <w:r>
        <w:rPr>
          <w:rFonts w:ascii="Arial" w:cs="Arial" w:eastAsia="Arial" w:hAnsi="Arial"/>
          <w:sz w:val="21"/>
          <w:szCs w:val="21"/>
          <w:color w:val="auto"/>
        </w:rPr>
        <w:t xml:space="preserve">Our Enterprise Risk Management (“ERM”) program has been in place since 2014. The Board has definitive oversight responsibility for the ERM program in accordance with its fiduciary duty, as well as the Board Charter. The ERM program is a foundation for risk management that is relevant, sustainable and scalable. The ERM program is designed to identify existing and potential risks, and to manage risks within our risk appetite in order to sustain operations and achieve business and strategic objectives. Our ERM program includes regular review of new or emerging risks, the assessment of such risks and their potential effects on our Company, the velocity of potential incidents resulting from such risks, and risk mitigation strategies. In building the ERM program, the potential risks relating to our business were originally defined using a comprehensive set of risk disclosures which are described in </w:t>
      </w:r>
      <w:r>
        <w:rPr>
          <w:rFonts w:ascii="Arial" w:cs="Arial" w:eastAsia="Arial" w:hAnsi="Arial"/>
          <w:sz w:val="21"/>
          <w:szCs w:val="21"/>
          <w:i w:val="1"/>
          <w:iCs w:val="1"/>
          <w:color w:val="auto"/>
        </w:rPr>
        <w:t>Part I, Item 1A. Risk Factors</w:t>
      </w:r>
      <w:r>
        <w:rPr>
          <w:rFonts w:ascii="Arial" w:cs="Arial" w:eastAsia="Arial" w:hAnsi="Arial"/>
          <w:sz w:val="21"/>
          <w:szCs w:val="21"/>
          <w:color w:val="auto"/>
        </w:rPr>
        <w:t xml:space="preserve"> of our Annual Report on Form 10-K filed with the SEC. The potential risks relating to our Company that inform our ERM program are reviewed regularly, and most recently described in </w:t>
      </w:r>
      <w:r>
        <w:rPr>
          <w:rFonts w:ascii="Arial" w:cs="Arial" w:eastAsia="Arial" w:hAnsi="Arial"/>
          <w:sz w:val="21"/>
          <w:szCs w:val="21"/>
          <w:i w:val="1"/>
          <w:iCs w:val="1"/>
          <w:color w:val="auto"/>
        </w:rPr>
        <w:t>Part I, Item 1A. Risk Factors</w:t>
      </w:r>
      <w:r>
        <w:rPr>
          <w:rFonts w:ascii="Arial" w:cs="Arial" w:eastAsia="Arial" w:hAnsi="Arial"/>
          <w:sz w:val="21"/>
          <w:szCs w:val="21"/>
          <w:color w:val="auto"/>
        </w:rPr>
        <w:t xml:space="preserve"> of our Annual Report on Form 10-K for the year-ended 2025 filed with the SEC on February 9, 2026, (the “2025 Form 10-K”).</w:t>
      </w:r>
    </w:p>
    <w:p>
      <w:pPr>
        <w:spacing w:after="0" w:line="175" w:lineRule="exact"/>
        <w:rPr>
          <w:sz w:val="20"/>
          <w:szCs w:val="20"/>
          <w:color w:val="auto"/>
        </w:rPr>
      </w:pPr>
    </w:p>
    <w:p>
      <w:pPr>
        <w:ind w:left="640" w:right="60"/>
        <w:spacing w:after="0" w:line="236" w:lineRule="auto"/>
        <w:rPr>
          <w:sz w:val="20"/>
          <w:szCs w:val="20"/>
          <w:color w:val="auto"/>
        </w:rPr>
      </w:pPr>
      <w:r>
        <w:rPr>
          <w:rFonts w:ascii="Arial" w:cs="Arial" w:eastAsia="Arial" w:hAnsi="Arial"/>
          <w:sz w:val="21"/>
          <w:szCs w:val="21"/>
          <w:color w:val="auto"/>
        </w:rPr>
        <w:t>In its oversight role, the Board is supported by the Risk and Compliance Committee (the “RCC”), a multi-function management committee that is responsible for the ongoing development and implementation of the ERM program and associated risk management standards. The ERM program is integrated with other assurance and strategy-related functions throughout our Company to ensure appropriate coverage of risks that could impact us. In addition to known risks, the ERM provides for the identification of emerging risks, through participation in industry groups, scenario planning and gap analysis, discussions with designated internal subject matter experts, and in consultation with outside advisers. Management and the RCC then analyze the emerging risks to determine materiality, likelihood, impact, velocity, and appropriate mitigation strategies. A quarterly ERM report, outlining both emerging and ongoing risks as well as management’s mitigation efforts, is provided to the Board at each Board meeting.</w:t>
      </w:r>
    </w:p>
    <w:p>
      <w:pPr>
        <w:spacing w:after="0" w:line="172" w:lineRule="exact"/>
        <w:rPr>
          <w:sz w:val="20"/>
          <w:szCs w:val="20"/>
          <w:color w:val="auto"/>
        </w:rPr>
      </w:pPr>
    </w:p>
    <w:p>
      <w:pPr>
        <w:ind w:left="640" w:right="140"/>
        <w:spacing w:after="0" w:line="239" w:lineRule="auto"/>
        <w:rPr>
          <w:sz w:val="20"/>
          <w:szCs w:val="20"/>
          <w:color w:val="auto"/>
        </w:rPr>
      </w:pPr>
      <w:r>
        <w:rPr>
          <w:rFonts w:ascii="Arial" w:cs="Arial" w:eastAsia="Arial" w:hAnsi="Arial"/>
          <w:sz w:val="21"/>
          <w:szCs w:val="21"/>
          <w:color w:val="auto"/>
        </w:rPr>
        <w:t>Our statements of risk appetite and risk tolerance were developed as a joint effort between management and the Board. The importance of the integration of clear statements of risk appetite and risk tolerance to strategy development and implementation were the primary factors considered during this exercise. The Board was guided through the process with management’s input and information from the RCC’s work with regard to known risks, emerging risks, and opportunities created by well-managed risk. At the conclusion of the exercise, the Board determined our risk appetite and risk tolerance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148590</wp:posOffset>
            </wp:positionV>
            <wp:extent cx="6337300" cy="825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620"/>
          </w:cols>
          <w:pgMar w:left="320" w:top="470" w:right="9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255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37300" cy="255905"/>
                    </a:xfrm>
                    <a:prstGeom prst="rect">
                      <a:avLst/>
                    </a:prstGeom>
                    <a:noFill/>
                  </pic:spPr>
                </pic:pic>
              </a:graphicData>
            </a:graphic>
          </wp:anchor>
        </w:drawing>
      </w:r>
    </w:p>
    <w:p>
      <w:pPr>
        <w:spacing w:after="0" w:line="363" w:lineRule="exact"/>
        <w:rPr>
          <w:sz w:val="20"/>
          <w:szCs w:val="20"/>
          <w:color w:val="auto"/>
        </w:rPr>
      </w:pPr>
    </w:p>
    <w:p>
      <w:pPr>
        <w:jc w:val="center"/>
        <w:ind w:right="-639"/>
        <w:spacing w:after="0"/>
        <w:rPr>
          <w:sz w:val="20"/>
          <w:szCs w:val="20"/>
          <w:color w:val="auto"/>
        </w:rPr>
      </w:pPr>
      <w:r>
        <w:rPr>
          <w:rFonts w:ascii="Arial" w:cs="Arial" w:eastAsia="Arial" w:hAnsi="Arial"/>
          <w:sz w:val="21"/>
          <w:szCs w:val="21"/>
          <w:b w:val="1"/>
          <w:bCs w:val="1"/>
          <w:color w:val="auto"/>
        </w:rPr>
        <w:t>Risk Appetite</w:t>
      </w:r>
    </w:p>
    <w:p>
      <w:pPr>
        <w:spacing w:after="0" w:line="85" w:lineRule="exact"/>
        <w:rPr>
          <w:sz w:val="20"/>
          <w:szCs w:val="20"/>
          <w:color w:val="auto"/>
        </w:rPr>
      </w:pPr>
    </w:p>
    <w:p>
      <w:pPr>
        <w:ind w:left="740" w:right="40"/>
        <w:spacing w:after="0" w:line="237" w:lineRule="auto"/>
        <w:rPr>
          <w:sz w:val="20"/>
          <w:szCs w:val="20"/>
          <w:color w:val="auto"/>
        </w:rPr>
      </w:pPr>
      <w:r>
        <w:rPr>
          <w:rFonts w:ascii="Arial" w:cs="Arial" w:eastAsia="Arial" w:hAnsi="Arial"/>
          <w:sz w:val="21"/>
          <w:szCs w:val="21"/>
          <w:i w:val="1"/>
          <w:iCs w:val="1"/>
          <w:color w:val="auto"/>
        </w:rPr>
        <w:t>Our Strategic Plan (the “Strategic Plan”) guides our strategic and operating initiatives. We recognize the inherent uncertainties surrounding the Strategic Plan, and will pursue long-term initiatives to produce sustainable earnings growth at or above the higher end of our peer group range, with moderate appetite for near-term earnings and cash flow variability. We will make strategic decisions based on a balanced assessment of expected risks and rewards, with a view toward managing risk to the degree it is economically beneficial to do so. We have no appetite for risk related to safety, reliability, customer affordability, regulatory compliance, reputational harm, or our RISE values, and therefore will not accept risk arising from decisions that put financial results ahead of these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74930</wp:posOffset>
            </wp:positionV>
            <wp:extent cx="6337300" cy="255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37300" cy="255905"/>
                    </a:xfrm>
                    <a:prstGeom prst="rect">
                      <a:avLst/>
                    </a:prstGeom>
                    <a:noFill/>
                  </pic:spPr>
                </pic:pic>
              </a:graphicData>
            </a:graphic>
          </wp:anchor>
        </w:drawing>
      </w:r>
    </w:p>
    <w:p>
      <w:pPr>
        <w:spacing w:after="0" w:line="149" w:lineRule="exact"/>
        <w:rPr>
          <w:sz w:val="20"/>
          <w:szCs w:val="20"/>
          <w:color w:val="auto"/>
        </w:rPr>
      </w:pPr>
    </w:p>
    <w:p>
      <w:pPr>
        <w:jc w:val="center"/>
        <w:ind w:right="-639"/>
        <w:spacing w:after="0"/>
        <w:rPr>
          <w:sz w:val="20"/>
          <w:szCs w:val="20"/>
          <w:color w:val="auto"/>
        </w:rPr>
      </w:pPr>
      <w:r>
        <w:rPr>
          <w:rFonts w:ascii="Arial" w:cs="Arial" w:eastAsia="Arial" w:hAnsi="Arial"/>
          <w:sz w:val="21"/>
          <w:szCs w:val="21"/>
          <w:b w:val="1"/>
          <w:bCs w:val="1"/>
          <w:color w:val="auto"/>
        </w:rPr>
        <w:t>Risk Tolerance</w:t>
      </w:r>
    </w:p>
    <w:p>
      <w:pPr>
        <w:spacing w:after="0" w:line="85" w:lineRule="exact"/>
        <w:rPr>
          <w:sz w:val="20"/>
          <w:szCs w:val="20"/>
          <w:color w:val="auto"/>
        </w:rPr>
      </w:pPr>
    </w:p>
    <w:p>
      <w:pPr>
        <w:ind w:left="740" w:right="60"/>
        <w:spacing w:after="0" w:line="242" w:lineRule="auto"/>
        <w:rPr>
          <w:sz w:val="20"/>
          <w:szCs w:val="20"/>
          <w:color w:val="auto"/>
        </w:rPr>
      </w:pPr>
      <w:r>
        <w:rPr>
          <w:rFonts w:ascii="Arial" w:cs="Arial" w:eastAsia="Arial" w:hAnsi="Arial"/>
          <w:sz w:val="21"/>
          <w:szCs w:val="21"/>
          <w:i w:val="1"/>
          <w:iCs w:val="1"/>
          <w:color w:val="auto"/>
        </w:rPr>
        <w:t>We understand that our key stakeholders (investors, customers, employees, and regulators) tend to be risk averse, preferring opportunities with more predictable outcomes to those with less predictable outcomes, even if the expected value is lower. Our willingness to assume risk reflects our stakeholders’ risk tolerance, but will not needlessly impede our ability to achieve our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139700</wp:posOffset>
            </wp:positionV>
            <wp:extent cx="63373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40" w:right="20"/>
        <w:spacing w:after="0" w:line="237" w:lineRule="auto"/>
        <w:rPr>
          <w:sz w:val="20"/>
          <w:szCs w:val="20"/>
          <w:color w:val="auto"/>
        </w:rPr>
      </w:pPr>
      <w:r>
        <w:rPr>
          <w:rFonts w:ascii="Arial" w:cs="Arial" w:eastAsia="Arial" w:hAnsi="Arial"/>
          <w:sz w:val="21"/>
          <w:szCs w:val="21"/>
          <w:color w:val="auto"/>
        </w:rPr>
        <w:t>Like all companies, we face a variety of risks, both internal and external, and many factors work simultaneously to affect our overall business risk. The Board recognizes that our business risk is not static, and that it is not possible to mitigate all risk and uncertainty. The Board works within a climate of respect and candor, fostering a culture of open dialogue between Board members and senior management, which includes comprehensive knowledge of our many elements of risk. Overall, the Board believes that a systematic and proactive approach to properly oversee risk management has been defined and enhanced by the ERM program, which will continue to evolve through ongoing review and assessment of the existing and emerging risks that we face.</w:t>
      </w:r>
    </w:p>
    <w:p>
      <w:pPr>
        <w:spacing w:after="0" w:line="200" w:lineRule="exact"/>
        <w:rPr>
          <w:sz w:val="20"/>
          <w:szCs w:val="20"/>
          <w:color w:val="auto"/>
        </w:rPr>
      </w:pPr>
    </w:p>
    <w:p>
      <w:pPr>
        <w:spacing w:after="0" w:line="287"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CYBERSECURITY OVERSIGHT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As described in the Board Charter, the Board is responsible for oversight of cybersecurity, which is and will</w:t>
      </w:r>
    </w:p>
    <w:tbl>
      <w:tblPr>
        <w:tblLayout w:type="fixed"/>
        <w:tblInd w:w="640" w:type="dxa"/>
        <w:tblCellMar>
          <w:top w:w="0" w:type="dxa"/>
          <w:left w:w="0" w:type="dxa"/>
          <w:bottom w:w="0" w:type="dxa"/>
          <w:right w:w="0" w:type="dxa"/>
        </w:tblCellMar>
      </w:tblPr>
      <w:tr>
        <w:trPr>
          <w:trHeight w:val="226"/>
        </w:trPr>
        <w:tc>
          <w:tcPr>
            <w:tcW w:w="9780" w:type="dxa"/>
            <w:vAlign w:val="bottom"/>
            <w:gridSpan w:val="2"/>
          </w:tcPr>
          <w:p>
            <w:pPr>
              <w:spacing w:after="0" w:line="226" w:lineRule="exact"/>
              <w:rPr>
                <w:sz w:val="20"/>
                <w:szCs w:val="20"/>
                <w:color w:val="auto"/>
              </w:rPr>
            </w:pPr>
            <w:r>
              <w:rPr>
                <w:rFonts w:ascii="Arial" w:cs="Arial" w:eastAsia="Arial" w:hAnsi="Arial"/>
                <w:sz w:val="21"/>
                <w:szCs w:val="21"/>
                <w:color w:val="auto"/>
                <w:w w:val="98"/>
              </w:rPr>
              <w:t>continue to be a primary focus. The Board recognizes the protection of our data, customer information and</w:t>
            </w:r>
          </w:p>
        </w:tc>
        <w:tc>
          <w:tcPr>
            <w:tcW w:w="0" w:type="dxa"/>
            <w:vAlign w:val="bottom"/>
          </w:tcPr>
          <w:p>
            <w:pPr>
              <w:spacing w:after="0"/>
              <w:rPr>
                <w:sz w:val="1"/>
                <w:szCs w:val="1"/>
                <w:color w:val="auto"/>
              </w:rPr>
            </w:pPr>
          </w:p>
        </w:tc>
      </w:tr>
      <w:tr>
        <w:trPr>
          <w:trHeight w:val="234"/>
        </w:trPr>
        <w:tc>
          <w:tcPr>
            <w:tcW w:w="5200" w:type="dxa"/>
            <w:vAlign w:val="bottom"/>
          </w:tcPr>
          <w:p>
            <w:pPr>
              <w:spacing w:after="0" w:line="234" w:lineRule="exact"/>
              <w:rPr>
                <w:sz w:val="20"/>
                <w:szCs w:val="20"/>
                <w:color w:val="auto"/>
              </w:rPr>
            </w:pPr>
            <w:r>
              <w:rPr>
                <w:rFonts w:ascii="Arial" w:cs="Arial" w:eastAsia="Arial" w:hAnsi="Arial"/>
                <w:sz w:val="21"/>
                <w:szCs w:val="21"/>
                <w:color w:val="auto"/>
              </w:rPr>
              <w:t>infrastructure are critical to the ongoing success and</w:t>
            </w:r>
          </w:p>
        </w:tc>
        <w:tc>
          <w:tcPr>
            <w:tcW w:w="4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line="234" w:lineRule="exact"/>
              <w:rPr>
                <w:sz w:val="20"/>
                <w:szCs w:val="20"/>
                <w:color w:val="auto"/>
              </w:rPr>
            </w:pPr>
            <w:r>
              <w:rPr>
                <w:rFonts w:ascii="Arial" w:cs="Arial" w:eastAsia="Arial" w:hAnsi="Arial"/>
                <w:sz w:val="21"/>
                <w:szCs w:val="21"/>
                <w:color w:val="auto"/>
              </w:rPr>
              <w:t>prosperity of our Company, and the Board’s decision to</w:t>
            </w:r>
          </w:p>
        </w:tc>
        <w:tc>
          <w:tcPr>
            <w:tcW w:w="4580" w:type="dxa"/>
            <w:vAlign w:val="bottom"/>
            <w:vMerge w:val="restart"/>
          </w:tcPr>
          <w:p>
            <w:pPr>
              <w:ind w:left="1560"/>
              <w:spacing w:after="0"/>
              <w:rPr>
                <w:sz w:val="20"/>
                <w:szCs w:val="20"/>
                <w:color w:val="auto"/>
              </w:rPr>
            </w:pPr>
            <w:r>
              <w:rPr>
                <w:rFonts w:ascii="Arial" w:cs="Arial" w:eastAsia="Arial" w:hAnsi="Arial"/>
                <w:sz w:val="19"/>
                <w:szCs w:val="19"/>
                <w:b w:val="1"/>
                <w:bCs w:val="1"/>
                <w:color w:val="auto"/>
              </w:rPr>
              <w:t>Cybersecurity Plan</w:t>
            </w:r>
          </w:p>
        </w:tc>
        <w:tc>
          <w:tcPr>
            <w:tcW w:w="0" w:type="dxa"/>
            <w:vAlign w:val="bottom"/>
          </w:tcPr>
          <w:p>
            <w:pPr>
              <w:spacing w:after="0"/>
              <w:rPr>
                <w:sz w:val="1"/>
                <w:szCs w:val="1"/>
                <w:color w:val="auto"/>
              </w:rPr>
            </w:pPr>
          </w:p>
        </w:tc>
      </w:tr>
      <w:tr>
        <w:trPr>
          <w:trHeight w:val="133"/>
        </w:trPr>
        <w:tc>
          <w:tcPr>
            <w:tcW w:w="5200" w:type="dxa"/>
            <w:vAlign w:val="bottom"/>
            <w:vMerge w:val="restart"/>
          </w:tcPr>
          <w:p>
            <w:pPr>
              <w:spacing w:after="0" w:line="234" w:lineRule="exact"/>
              <w:rPr>
                <w:sz w:val="20"/>
                <w:szCs w:val="20"/>
                <w:color w:val="auto"/>
              </w:rPr>
            </w:pPr>
            <w:r>
              <w:rPr>
                <w:rFonts w:ascii="Arial" w:cs="Arial" w:eastAsia="Arial" w:hAnsi="Arial"/>
                <w:sz w:val="21"/>
                <w:szCs w:val="21"/>
                <w:color w:val="auto"/>
              </w:rPr>
              <w:t>elevate oversight of cybersecurity to the full Board is</w:t>
            </w:r>
          </w:p>
        </w:tc>
        <w:tc>
          <w:tcPr>
            <w:tcW w:w="4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200" w:type="dxa"/>
            <w:vAlign w:val="bottom"/>
            <w:vMerge w:val="continue"/>
          </w:tcPr>
          <w:p>
            <w:pPr>
              <w:spacing w:after="0"/>
              <w:rPr>
                <w:sz w:val="8"/>
                <w:szCs w:val="8"/>
                <w:color w:val="auto"/>
              </w:rPr>
            </w:pPr>
          </w:p>
        </w:tc>
        <w:tc>
          <w:tcPr>
            <w:tcW w:w="4580" w:type="dxa"/>
            <w:vAlign w:val="bottom"/>
            <w:vMerge w:val="restart"/>
          </w:tcPr>
          <w:p>
            <w:pPr>
              <w:ind w:left="140"/>
              <w:spacing w:after="0"/>
              <w:rPr>
                <w:sz w:val="20"/>
                <w:szCs w:val="20"/>
                <w:color w:val="auto"/>
              </w:rPr>
            </w:pPr>
            <w:r>
              <w:rPr>
                <w:rFonts w:ascii="Arial" w:cs="Arial" w:eastAsia="Arial" w:hAnsi="Arial"/>
                <w:sz w:val="19"/>
                <w:szCs w:val="19"/>
                <w:b w:val="1"/>
                <w:bCs w:val="1"/>
                <w:color w:val="auto"/>
              </w:rPr>
              <w:t xml:space="preserve">                    Annual Assessments                   </w:t>
            </w:r>
          </w:p>
        </w:tc>
        <w:tc>
          <w:tcPr>
            <w:tcW w:w="0" w:type="dxa"/>
            <w:vAlign w:val="bottom"/>
          </w:tcPr>
          <w:p>
            <w:pPr>
              <w:spacing w:after="0"/>
              <w:rPr>
                <w:sz w:val="1"/>
                <w:szCs w:val="1"/>
                <w:color w:val="auto"/>
              </w:rPr>
            </w:pPr>
          </w:p>
        </w:tc>
      </w:tr>
      <w:tr>
        <w:trPr>
          <w:trHeight w:val="161"/>
        </w:trPr>
        <w:tc>
          <w:tcPr>
            <w:tcW w:w="5200" w:type="dxa"/>
            <w:vAlign w:val="bottom"/>
            <w:vMerge w:val="restart"/>
          </w:tcPr>
          <w:p>
            <w:pPr>
              <w:spacing w:after="0"/>
              <w:rPr>
                <w:sz w:val="20"/>
                <w:szCs w:val="20"/>
                <w:color w:val="auto"/>
              </w:rPr>
            </w:pPr>
            <w:r>
              <w:rPr>
                <w:rFonts w:ascii="Arial" w:cs="Arial" w:eastAsia="Arial" w:hAnsi="Arial"/>
                <w:sz w:val="21"/>
                <w:szCs w:val="21"/>
                <w:color w:val="auto"/>
              </w:rPr>
              <w:t>appropriate and a matter of good governance.</w:t>
            </w:r>
          </w:p>
        </w:tc>
        <w:tc>
          <w:tcPr>
            <w:tcW w:w="4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200" w:type="dxa"/>
            <w:vAlign w:val="bottom"/>
            <w:vMerge w:val="continue"/>
          </w:tcPr>
          <w:p>
            <w:pPr>
              <w:spacing w:after="0"/>
              <w:rPr>
                <w:sz w:val="9"/>
                <w:szCs w:val="9"/>
                <w:color w:val="auto"/>
              </w:rPr>
            </w:pPr>
          </w:p>
        </w:tc>
        <w:tc>
          <w:tcPr>
            <w:tcW w:w="4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3731895</wp:posOffset>
            </wp:positionH>
            <wp:positionV relativeFrom="paragraph">
              <wp:posOffset>-503555</wp:posOffset>
            </wp:positionV>
            <wp:extent cx="3011805" cy="1856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11805" cy="1856740"/>
                    </a:xfrm>
                    <a:prstGeom prst="rect">
                      <a:avLst/>
                    </a:prstGeom>
                    <a:noFill/>
                  </pic:spPr>
                </pic:pic>
              </a:graphicData>
            </a:graphic>
          </wp:anchor>
        </w:drawing>
      </w:r>
    </w:p>
    <w:p>
      <w:pPr>
        <w:sectPr>
          <w:pgSz w:w="11900" w:h="16838" w:orient="portrait"/>
          <w:cols w:equalWidth="0" w:num="1">
            <w:col w:w="10620"/>
          </w:cols>
          <w:pgMar w:left="320" w:top="470" w:right="959" w:bottom="1440" w:gutter="0" w:footer="0" w:header="0"/>
        </w:sectPr>
      </w:pPr>
    </w:p>
    <w:p>
      <w:pPr>
        <w:spacing w:after="0" w:line="168" w:lineRule="exact"/>
        <w:rPr>
          <w:sz w:val="20"/>
          <w:szCs w:val="20"/>
          <w:color w:val="auto"/>
        </w:rPr>
      </w:pPr>
    </w:p>
    <w:p>
      <w:pPr>
        <w:ind w:left="640"/>
        <w:spacing w:after="0" w:line="253" w:lineRule="auto"/>
        <w:rPr>
          <w:sz w:val="20"/>
          <w:szCs w:val="20"/>
          <w:color w:val="auto"/>
        </w:rPr>
      </w:pPr>
      <w:r>
        <w:rPr>
          <w:rFonts w:ascii="Arial" w:cs="Arial" w:eastAsia="Arial" w:hAnsi="Arial"/>
          <w:sz w:val="20"/>
          <w:szCs w:val="20"/>
          <w:color w:val="auto"/>
        </w:rPr>
        <w:t>We maintain a robust Cybersecurity Plan for assessing, identifying, and managing material risks from cybersecurity threats. The intent of the Cybersecurity Plan is to provide a proactive and systemic approach to meet the evolving requirements for cybersecurity and related compliance in the utility industry.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388620</wp:posOffset>
            </wp:positionV>
            <wp:extent cx="3333750" cy="825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337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Assessment Standards:</w:t>
      </w:r>
    </w:p>
    <w:p>
      <w:pPr>
        <w:spacing w:after="0" w:line="132" w:lineRule="exact"/>
        <w:rPr>
          <w:sz w:val="20"/>
          <w:szCs w:val="20"/>
          <w:color w:val="auto"/>
        </w:rPr>
      </w:pPr>
    </w:p>
    <w:p>
      <w:pPr>
        <w:ind w:left="340" w:right="700" w:hanging="81"/>
        <w:spacing w:after="0" w:line="359" w:lineRule="auto"/>
        <w:rPr>
          <w:sz w:val="20"/>
          <w:szCs w:val="20"/>
          <w:color w:val="auto"/>
        </w:rPr>
      </w:pPr>
      <w:r>
        <w:rPr>
          <w:rFonts w:ascii="Arial" w:cs="Arial" w:eastAsia="Arial" w:hAnsi="Arial"/>
          <w:sz w:val="17"/>
          <w:szCs w:val="17"/>
          <w:color w:val="auto"/>
        </w:rPr>
        <w:t>  Department of Energy Cybersecurity Capability Maturity Model</w:t>
      </w:r>
    </w:p>
    <w:p>
      <w:pPr>
        <w:spacing w:after="0" w:line="13" w:lineRule="exact"/>
        <w:rPr>
          <w:sz w:val="20"/>
          <w:szCs w:val="20"/>
          <w:color w:val="auto"/>
        </w:rPr>
      </w:pPr>
    </w:p>
    <w:p>
      <w:pPr>
        <w:ind w:left="340" w:right="740" w:hanging="81"/>
        <w:spacing w:after="0" w:line="359" w:lineRule="auto"/>
        <w:rPr>
          <w:sz w:val="20"/>
          <w:szCs w:val="20"/>
          <w:color w:val="auto"/>
        </w:rPr>
      </w:pPr>
      <w:r>
        <w:rPr>
          <w:rFonts w:ascii="Arial" w:cs="Arial" w:eastAsia="Arial" w:hAnsi="Arial"/>
          <w:sz w:val="17"/>
          <w:szCs w:val="17"/>
          <w:color w:val="auto"/>
        </w:rPr>
        <w:t>  National Institute of Standards and Technology Cybersecurity Framework</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  Center for Internet Security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339725</wp:posOffset>
            </wp:positionV>
            <wp:extent cx="29127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240"/>
            <w:col w:w="4640"/>
          </w:cols>
          <w:pgMar w:left="320" w:top="470" w:right="95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620"/>
          </w:cols>
          <w:pgMar w:left="320" w:top="470" w:right="9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20"/>
        <w:spacing w:after="0"/>
        <w:rPr>
          <w:sz w:val="20"/>
          <w:szCs w:val="20"/>
          <w:color w:val="auto"/>
        </w:rPr>
      </w:pPr>
      <w:r>
        <w:rPr>
          <w:rFonts w:ascii="Arial" w:cs="Arial" w:eastAsia="Arial" w:hAnsi="Arial"/>
          <w:sz w:val="21"/>
          <w:szCs w:val="21"/>
          <w:color w:val="auto"/>
        </w:rPr>
        <w:t>Cybersecurity Plan is part of our ERM program, described above, and the Board receives regular cybersecurity updates as part of the ERM report. The Cybersecurity Plan includes annual assessments, the results of which are used to benchmark our cybersecurity posture, to identify risks from cybersecurity threats, to prioritize any such risks that may have potential material effects on our Company, and to establish effective controls to manage, mitigate and remediate such risks.</w:t>
      </w:r>
    </w:p>
    <w:p>
      <w:pPr>
        <w:spacing w:after="0" w:line="170" w:lineRule="exact"/>
        <w:rPr>
          <w:sz w:val="20"/>
          <w:szCs w:val="20"/>
          <w:color w:val="auto"/>
        </w:rPr>
      </w:pPr>
    </w:p>
    <w:p>
      <w:pPr>
        <w:ind w:left="640" w:right="100"/>
        <w:spacing w:after="0"/>
        <w:rPr>
          <w:sz w:val="20"/>
          <w:szCs w:val="20"/>
          <w:color w:val="auto"/>
        </w:rPr>
      </w:pPr>
      <w:r>
        <w:rPr>
          <w:rFonts w:ascii="Arial" w:cs="Arial" w:eastAsia="Arial" w:hAnsi="Arial"/>
          <w:sz w:val="21"/>
          <w:szCs w:val="21"/>
          <w:color w:val="auto"/>
        </w:rPr>
        <w:t>Cybersecurity awareness and training is a Company-wide initiative, established in 2013, in which all employees participate. The results of our internal, external, and regulatory assessments have routinely demonstrated a high degree of integrity in our risk, security, and governance practices because of targeted focus, direct investment, and prioritization across our cybersecurity program to protect our assets, customer data, and critical utility services.</w:t>
      </w:r>
    </w:p>
    <w:p>
      <w:pPr>
        <w:spacing w:after="0" w:line="170" w:lineRule="exact"/>
        <w:rPr>
          <w:sz w:val="20"/>
          <w:szCs w:val="20"/>
          <w:color w:val="auto"/>
        </w:rPr>
      </w:pPr>
    </w:p>
    <w:p>
      <w:pPr>
        <w:ind w:left="640" w:right="140"/>
        <w:spacing w:after="0" w:line="248" w:lineRule="auto"/>
        <w:rPr>
          <w:sz w:val="20"/>
          <w:szCs w:val="20"/>
          <w:color w:val="auto"/>
        </w:rPr>
      </w:pPr>
      <w:r>
        <w:rPr>
          <w:rFonts w:ascii="Arial" w:cs="Arial" w:eastAsia="Arial" w:hAnsi="Arial"/>
          <w:sz w:val="21"/>
          <w:szCs w:val="21"/>
          <w:color w:val="auto"/>
        </w:rPr>
        <w:t>To date, there have been no risks from cybersecurity threats (including as a result of previous cybersecurity incidents) that have materially affected or are reasonably likely to materially affect our business strategy, results of operations, or financial condition.</w:t>
      </w:r>
    </w:p>
    <w:p>
      <w:pPr>
        <w:spacing w:after="0" w:line="200" w:lineRule="exact"/>
        <w:rPr>
          <w:sz w:val="20"/>
          <w:szCs w:val="20"/>
          <w:color w:val="auto"/>
        </w:rPr>
      </w:pPr>
    </w:p>
    <w:p>
      <w:pPr>
        <w:spacing w:after="0" w:line="277"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BOARD SUCCESSION PLAN</w:t>
      </w:r>
    </w:p>
    <w:p>
      <w:pPr>
        <w:spacing w:after="0" w:line="214" w:lineRule="exact"/>
        <w:rPr>
          <w:sz w:val="20"/>
          <w:szCs w:val="20"/>
          <w:color w:val="auto"/>
        </w:rPr>
      </w:pPr>
    </w:p>
    <w:p>
      <w:pPr>
        <w:ind w:left="640" w:right="340"/>
        <w:spacing w:after="0" w:line="259" w:lineRule="auto"/>
        <w:rPr>
          <w:sz w:val="20"/>
          <w:szCs w:val="20"/>
          <w:color w:val="auto"/>
        </w:rPr>
      </w:pPr>
      <w:r>
        <w:rPr>
          <w:rFonts w:ascii="Arial" w:cs="Arial" w:eastAsia="Arial" w:hAnsi="Arial"/>
          <w:sz w:val="20"/>
          <w:szCs w:val="20"/>
          <w:color w:val="auto"/>
        </w:rPr>
        <w:t>The Board is engaged in ongoing succession planning (the “Board Succession Plan”), which is led by the Nominating and Governance Committee. The Board Succession Plan addresses upcoming retirements, committee membership and rotation, class balancing, skill set requirements and gaps, and planning for unforeseen events. The Board Succession Plan is also directly linked to the recruitment of new directors.</w:t>
      </w:r>
    </w:p>
    <w:p>
      <w:pPr>
        <w:spacing w:after="0" w:line="200" w:lineRule="exact"/>
        <w:rPr>
          <w:sz w:val="20"/>
          <w:szCs w:val="20"/>
          <w:color w:val="auto"/>
        </w:rPr>
      </w:pPr>
    </w:p>
    <w:p>
      <w:pPr>
        <w:spacing w:after="0" w:line="266"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RETIREMENT POLICY</w:t>
      </w:r>
    </w:p>
    <w:p>
      <w:pPr>
        <w:spacing w:after="0" w:line="214" w:lineRule="exact"/>
        <w:rPr>
          <w:sz w:val="20"/>
          <w:szCs w:val="20"/>
          <w:color w:val="auto"/>
        </w:rPr>
      </w:pPr>
    </w:p>
    <w:p>
      <w:pPr>
        <w:ind w:left="640" w:right="100"/>
        <w:spacing w:after="0" w:line="254" w:lineRule="auto"/>
        <w:rPr>
          <w:sz w:val="20"/>
          <w:szCs w:val="20"/>
          <w:color w:val="auto"/>
        </w:rPr>
      </w:pPr>
      <w:r>
        <w:rPr>
          <w:rFonts w:ascii="Arial" w:cs="Arial" w:eastAsia="Arial" w:hAnsi="Arial"/>
          <w:sz w:val="20"/>
          <w:szCs w:val="20"/>
          <w:color w:val="auto"/>
        </w:rPr>
        <w:t>In general, no Director may be nominated as a candidate for re-election as part of the slate of Directors that we propose, nor may any person be nominated as a candidate for election, after he or she has reached age</w:t>
      </w:r>
    </w:p>
    <w:p>
      <w:pPr>
        <w:spacing w:after="0" w:line="1" w:lineRule="exact"/>
        <w:rPr>
          <w:sz w:val="20"/>
          <w:szCs w:val="20"/>
          <w:color w:val="auto"/>
        </w:rPr>
      </w:pPr>
    </w:p>
    <w:p>
      <w:pPr>
        <w:ind w:left="640" w:right="60" w:hanging="6"/>
        <w:spacing w:after="0" w:line="236" w:lineRule="auto"/>
        <w:tabs>
          <w:tab w:leader="none" w:pos="987" w:val="left"/>
        </w:tabs>
        <w:numPr>
          <w:ilvl w:val="0"/>
          <w:numId w:val="18"/>
        </w:numPr>
        <w:rPr>
          <w:rFonts w:ascii="Arial" w:cs="Arial" w:eastAsia="Arial" w:hAnsi="Arial"/>
          <w:sz w:val="21"/>
          <w:szCs w:val="21"/>
          <w:color w:val="auto"/>
        </w:rPr>
      </w:pPr>
      <w:r>
        <w:rPr>
          <w:rFonts w:ascii="Arial" w:cs="Arial" w:eastAsia="Arial" w:hAnsi="Arial"/>
          <w:sz w:val="21"/>
          <w:szCs w:val="21"/>
          <w:color w:val="auto"/>
        </w:rPr>
        <w:t>Directors are not subject to specific term limits. Due to the complexity of the utility industry, we value the insight that a Director is able to develop over a period of time. The Board believes that tenure provides an enhanced contribution to the Board, including the benefits of valuable experience and familiarity. However, the Board seeks to balance tenure on the Board in the context of overall demographics, as well as to protect against an entrenched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149225</wp:posOffset>
            </wp:positionV>
            <wp:extent cx="6337300" cy="825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620"/>
          </w:cols>
          <w:pgMar w:left="320" w:top="470" w:right="9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DIRECTORS’ STOCK OWNERSHIP AND RETENTION POLICY</w:t>
      </w:r>
    </w:p>
    <w:p>
      <w:pPr>
        <w:spacing w:after="0" w:line="214" w:lineRule="exact"/>
        <w:rPr>
          <w:sz w:val="20"/>
          <w:szCs w:val="20"/>
          <w:color w:val="auto"/>
        </w:rPr>
      </w:pPr>
    </w:p>
    <w:p>
      <w:pPr>
        <w:ind w:left="640" w:right="20"/>
        <w:spacing w:after="0" w:line="235" w:lineRule="auto"/>
        <w:rPr>
          <w:sz w:val="20"/>
          <w:szCs w:val="20"/>
          <w:color w:val="auto"/>
        </w:rPr>
      </w:pPr>
      <w:r>
        <w:rPr>
          <w:rFonts w:ascii="Arial" w:cs="Arial" w:eastAsia="Arial" w:hAnsi="Arial"/>
          <w:sz w:val="21"/>
          <w:szCs w:val="21"/>
          <w:color w:val="auto"/>
        </w:rPr>
        <w:t>The Board believes that its members should make the financial commitment to own a significant number of shares of our common stock to properly align their interests with those of our shareholders. All non-employee Directors must own shares of common stock in the equivalent value of three times the current annual cash retainer for Board service. Shares of restricted stock and restricted stock units (“RSUs”) counted towards this total. The ownership requirement is calculated annually on January 1, and as of January 1, 2026, the ownership requirement is $240,000 in value. Ms. Alonzo, Ms. Awad, Mr. Brown,</w:t>
      </w:r>
    </w:p>
    <w:p>
      <w:pPr>
        <w:spacing w:after="0" w:line="5" w:lineRule="exact"/>
        <w:rPr>
          <w:sz w:val="20"/>
          <w:szCs w:val="20"/>
          <w:color w:val="auto"/>
        </w:rPr>
      </w:pPr>
    </w:p>
    <w:p>
      <w:pPr>
        <w:ind w:left="640" w:right="100"/>
        <w:spacing w:after="0" w:line="234" w:lineRule="auto"/>
        <w:rPr>
          <w:sz w:val="20"/>
          <w:szCs w:val="20"/>
          <w:color w:val="auto"/>
        </w:rPr>
      </w:pPr>
      <w:r>
        <w:rPr>
          <w:rFonts w:ascii="Arial" w:cs="Arial" w:eastAsia="Arial" w:hAnsi="Arial"/>
          <w:sz w:val="21"/>
          <w:szCs w:val="21"/>
          <w:color w:val="auto"/>
        </w:rPr>
        <w:t>Mr. Collin, Ms. Foster, Mr. Green, Ms. Vogel and Mr. Whiteley meet the stock ownership requirement. Any new Director who joins the Board has four years from the date of first election to the Board by shareholders to accumulate the required number of shares of common stock, which currently applies to Ms. Lewis-Raymond and Ms. Kountze, both of whom were first elected in 2025. All members of the Board are required to hold all forms of equity received from the Company until retirement or other separation from our Company. For Board members, this includes all forms of equity received as part of the annual retainer for Board service. The Board, in its sole discretion, may approve a waiver to this policy as circumstances may warrant. To date, no such waivers have been proposed or approved.</w:t>
      </w:r>
    </w:p>
    <w:p>
      <w:pPr>
        <w:spacing w:after="0" w:line="200" w:lineRule="exact"/>
        <w:rPr>
          <w:sz w:val="20"/>
          <w:szCs w:val="20"/>
          <w:color w:val="auto"/>
        </w:rPr>
      </w:pPr>
    </w:p>
    <w:p>
      <w:pPr>
        <w:spacing w:after="0" w:line="291"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INSIDER TRADING POLICY</w:t>
      </w:r>
    </w:p>
    <w:p>
      <w:pPr>
        <w:spacing w:after="0" w:line="214" w:lineRule="exact"/>
        <w:rPr>
          <w:sz w:val="20"/>
          <w:szCs w:val="20"/>
          <w:color w:val="auto"/>
        </w:rPr>
      </w:pPr>
    </w:p>
    <w:p>
      <w:pPr>
        <w:ind w:left="640" w:right="40"/>
        <w:spacing w:after="0" w:line="236" w:lineRule="auto"/>
        <w:rPr>
          <w:sz w:val="20"/>
          <w:szCs w:val="20"/>
          <w:color w:val="auto"/>
        </w:rPr>
      </w:pPr>
      <w:r>
        <w:rPr>
          <w:rFonts w:ascii="Arial" w:cs="Arial" w:eastAsia="Arial" w:hAnsi="Arial"/>
          <w:sz w:val="21"/>
          <w:szCs w:val="21"/>
          <w:color w:val="auto"/>
        </w:rPr>
        <w:t>Our Insider Trading Policy (the “Trading Policy”) was approved by the Board and became effective on November 1, 2024. The purpose of the Trading Policy is to communicate to our Directors, officer, employees and each of their immediate family members (collectively, the “Insiders”) the restrictions and reporting responsibilities for transactions involving our common stock. The Trading Policy has been reasonably designed to promote compliance with insider trading laws, rules, regulations, and NYSE listing standards applicable to the Company. We do not currently have a written policy in place governing transactions by the Company involving our common stock. The Trading Policy is administered by the Board, and the Board is authorized to interpret, construe and/or to make all determinations necessary, appropriate, or advisable for the administration of the Trading Policy. The Board may amend or terminate the Trading Policy from time to time in its discretion to the extent permitted under any rules or standards adopted by the SEC and the NYSE.</w:t>
      </w:r>
    </w:p>
    <w:p>
      <w:pPr>
        <w:spacing w:after="0" w:line="200" w:lineRule="exact"/>
        <w:rPr>
          <w:sz w:val="20"/>
          <w:szCs w:val="20"/>
          <w:color w:val="auto"/>
        </w:rPr>
      </w:pPr>
    </w:p>
    <w:p>
      <w:pPr>
        <w:spacing w:after="0" w:line="284"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RESIGNATION POLICY</w:t>
      </w:r>
    </w:p>
    <w:p>
      <w:pPr>
        <w:spacing w:after="0" w:line="214" w:lineRule="exact"/>
        <w:rPr>
          <w:sz w:val="20"/>
          <w:szCs w:val="20"/>
          <w:color w:val="auto"/>
        </w:rPr>
      </w:pPr>
    </w:p>
    <w:p>
      <w:pPr>
        <w:ind w:left="640" w:right="80"/>
        <w:spacing w:after="0" w:line="237" w:lineRule="auto"/>
        <w:rPr>
          <w:sz w:val="20"/>
          <w:szCs w:val="20"/>
          <w:color w:val="auto"/>
        </w:rPr>
      </w:pPr>
      <w:r>
        <w:rPr>
          <w:rFonts w:ascii="Arial" w:cs="Arial" w:eastAsia="Arial" w:hAnsi="Arial"/>
          <w:sz w:val="21"/>
          <w:szCs w:val="21"/>
          <w:color w:val="auto"/>
        </w:rPr>
        <w:t>A Director is required to tender his or her resignation if he or she receives a “withhold” vote greater than 50% of the shares voted at any annual meeting of shareholders in an uncontested election. If an incumbent Director fails to receive the required vote for re-election, the Nominating and Governance Committee will act on an expedited basis to determine whether to recommend the acceptance of the Director’s resignation and will submit such recommendation for prompt consideration by the Board. The Director whose resignation is under consideration shall abstain from participating in any decision regarding that resignation. The Nominating and Governance Committee and the Board may consider any factors they deem relevant in deciding whether to accept a Director’s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150495</wp:posOffset>
            </wp:positionV>
            <wp:extent cx="6337300" cy="825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620"/>
          </w:cols>
          <w:pgMar w:left="320" w:top="470" w:right="9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80"/>
        <w:spacing w:after="0" w:line="237" w:lineRule="auto"/>
        <w:rPr>
          <w:sz w:val="20"/>
          <w:szCs w:val="20"/>
          <w:color w:val="auto"/>
        </w:rPr>
      </w:pPr>
      <w:r>
        <w:rPr>
          <w:rFonts w:ascii="Arial" w:cs="Arial" w:eastAsia="Arial" w:hAnsi="Arial"/>
          <w:sz w:val="21"/>
          <w:szCs w:val="21"/>
          <w:color w:val="auto"/>
        </w:rPr>
        <w:t>The Board nominates for election or re-election to the Board only candidates who agree to tender, promptly following the annual meeting at which they face election or re-election as Director, irrevocable resignations that will be effective upon (i) the failure to receive the required vote at the annual meeting at which they face re-election and (ii) Board acceptance of such resignation. In addition, the Board fills board seat vacancies and new directorships only with candidates who agree to tender, promptly following their appointment to the Board, the same form of resignation tendered by other Directors in accordance with this policy. All candidates proposed for election or re-election at the Annual Meeting have agreed in writing to abide by this policy.</w:t>
      </w:r>
    </w:p>
    <w:p>
      <w:pPr>
        <w:sectPr>
          <w:pgSz w:w="11900" w:h="16838" w:orient="portrait"/>
          <w:cols w:equalWidth="0" w:num="1">
            <w:col w:w="10620"/>
          </w:cols>
          <w:pgMar w:left="320" w:top="470" w:right="9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MEETING ATTENDANCE</w:t>
      </w:r>
    </w:p>
    <w:p>
      <w:pPr>
        <w:spacing w:after="0" w:line="240"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Directors are expected to make a determined effort to attend all meetings of the Board and applicable committees upon which they serve. In 2025, the Board held four meetings, and its committees held a total of 16 meetings, collectively. No Director attended less than 75% of the aggregate number of meetings of the Board and applicable committees. In 2025, Board meeting attendance was 99%, with only one director missing one committee meeting. Directors are encouraged to attend the Annual Meeting, although there is no formal requirement to attend. In 2025, all members of the Board attended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84" w:right="20" w:hanging="284"/>
        <w:spacing w:after="0" w:line="274" w:lineRule="auto"/>
        <w:tabs>
          <w:tab w:leader="none" w:pos="214" w:val="left"/>
        </w:tabs>
        <w:numPr>
          <w:ilvl w:val="0"/>
          <w:numId w:val="19"/>
        </w:numPr>
        <w:rPr>
          <w:rFonts w:ascii="Arial" w:cs="Arial" w:eastAsia="Arial" w:hAnsi="Arial"/>
          <w:sz w:val="21"/>
          <w:szCs w:val="21"/>
          <w:b w:val="1"/>
          <w:bCs w:val="1"/>
          <w:color w:val="auto"/>
        </w:rPr>
      </w:pPr>
      <w:r>
        <w:rPr>
          <w:rFonts w:ascii="Arial" w:cs="Arial" w:eastAsia="Arial" w:hAnsi="Arial"/>
          <w:sz w:val="21"/>
          <w:szCs w:val="21"/>
          <w:b w:val="1"/>
          <w:bCs w:val="1"/>
          <w:color w:val="auto"/>
        </w:rPr>
        <w:t> 2025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-737235</wp:posOffset>
            </wp:positionV>
            <wp:extent cx="1254125" cy="15265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54125" cy="1526540"/>
                    </a:xfrm>
                    <a:prstGeom prst="rect">
                      <a:avLst/>
                    </a:prstGeom>
                    <a:noFill/>
                  </pic:spPr>
                </pic:pic>
              </a:graphicData>
            </a:graphic>
          </wp:anchor>
        </w:drawing>
      </w:r>
    </w:p>
    <w:p>
      <w:pPr>
        <w:spacing w:after="0" w:line="128" w:lineRule="exact"/>
        <w:rPr>
          <w:sz w:val="20"/>
          <w:szCs w:val="20"/>
          <w:color w:val="auto"/>
        </w:rPr>
      </w:pPr>
    </w:p>
    <w:p>
      <w:pPr>
        <w:ind w:left="504"/>
        <w:spacing w:after="0"/>
        <w:rPr>
          <w:sz w:val="20"/>
          <w:szCs w:val="20"/>
          <w:color w:val="auto"/>
        </w:rPr>
      </w:pPr>
      <w:r>
        <w:rPr>
          <w:rFonts w:ascii="Arial" w:cs="Arial" w:eastAsia="Arial" w:hAnsi="Arial"/>
          <w:sz w:val="31"/>
          <w:szCs w:val="31"/>
          <w:b w:val="1"/>
          <w:bCs w:val="1"/>
          <w:color w:val="auto"/>
        </w:rPr>
        <w:t>99%</w:t>
      </w:r>
    </w:p>
    <w:p>
      <w:pPr>
        <w:spacing w:after="0" w:line="934" w:lineRule="exact"/>
        <w:rPr>
          <w:sz w:val="20"/>
          <w:szCs w:val="20"/>
          <w:color w:val="auto"/>
        </w:rPr>
      </w:pPr>
    </w:p>
    <w:p>
      <w:pPr>
        <w:sectPr>
          <w:pgSz w:w="11900" w:h="16838" w:orient="portrait"/>
          <w:cols w:equalWidth="0" w:num="2">
            <w:col w:w="8380" w:space="396"/>
            <w:col w:w="1844"/>
          </w:cols>
          <w:pgMar w:left="320" w:top="470" w:right="959" w:bottom="1440" w:gutter="0" w:footer="0" w:header="0"/>
          <w:type w:val="continuous"/>
        </w:sectPr>
      </w:pPr>
    </w:p>
    <w:p>
      <w:pPr>
        <w:spacing w:after="0" w:line="300"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EXECUTIVE SESSIONS</w:t>
      </w:r>
    </w:p>
    <w:p>
      <w:pPr>
        <w:spacing w:after="0" w:line="214" w:lineRule="exact"/>
        <w:rPr>
          <w:sz w:val="20"/>
          <w:szCs w:val="20"/>
          <w:color w:val="auto"/>
        </w:rPr>
      </w:pPr>
    </w:p>
    <w:p>
      <w:pPr>
        <w:jc w:val="both"/>
        <w:ind w:left="640" w:right="200"/>
        <w:spacing w:after="0" w:line="243" w:lineRule="auto"/>
        <w:rPr>
          <w:sz w:val="20"/>
          <w:szCs w:val="20"/>
          <w:color w:val="auto"/>
        </w:rPr>
      </w:pPr>
      <w:r>
        <w:rPr>
          <w:rFonts w:ascii="Arial" w:cs="Arial" w:eastAsia="Arial" w:hAnsi="Arial"/>
          <w:sz w:val="21"/>
          <w:szCs w:val="21"/>
          <w:color w:val="auto"/>
        </w:rPr>
        <w:t>Non-employee members of the Board have the opportunity to meet in executive session, without members of management present, either prior to the start or following the adjournment of each Board and committee meeting. During 2025, the Board met in executive session on four occasions. Mr. Green, the Lead Director in 2025, presided at all four meetings.</w:t>
      </w:r>
    </w:p>
    <w:p>
      <w:pPr>
        <w:spacing w:after="0" w:line="200" w:lineRule="exact"/>
        <w:rPr>
          <w:sz w:val="20"/>
          <w:szCs w:val="20"/>
          <w:color w:val="auto"/>
        </w:rPr>
      </w:pPr>
    </w:p>
    <w:p>
      <w:pPr>
        <w:spacing w:after="0" w:line="281"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ANNUAL EVALUATION</w:t>
      </w:r>
    </w:p>
    <w:p>
      <w:pPr>
        <w:spacing w:after="0" w:line="214" w:lineRule="exact"/>
        <w:rPr>
          <w:sz w:val="20"/>
          <w:szCs w:val="20"/>
          <w:color w:val="auto"/>
        </w:rPr>
      </w:pPr>
    </w:p>
    <w:p>
      <w:pPr>
        <w:ind w:left="640" w:right="60"/>
        <w:spacing w:after="0"/>
        <w:rPr>
          <w:sz w:val="20"/>
          <w:szCs w:val="20"/>
          <w:color w:val="auto"/>
        </w:rPr>
      </w:pPr>
      <w:r>
        <w:rPr>
          <w:rFonts w:ascii="Arial" w:cs="Arial" w:eastAsia="Arial" w:hAnsi="Arial"/>
          <w:sz w:val="21"/>
          <w:szCs w:val="21"/>
          <w:color w:val="auto"/>
        </w:rPr>
        <w:t>We seek guidance and insight from all Board members on key Board, Company, and industry-related issues annually. This exercise has proven to be a beneficial communication tool, a measurement of Board philosophy, and a commitment to excellence in corporate governance. In 2025, all Board members participated in the evaluation process, which consisted of two parts – the evaluation questionnaire and the self-assessment.</w:t>
      </w: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Evaluation Questionnaire</w:t>
      </w:r>
    </w:p>
    <w:p>
      <w:pPr>
        <w:spacing w:after="0" w:line="200" w:lineRule="exact"/>
        <w:rPr>
          <w:sz w:val="20"/>
          <w:szCs w:val="20"/>
          <w:color w:val="auto"/>
        </w:rPr>
      </w:pPr>
    </w:p>
    <w:p>
      <w:pPr>
        <w:ind w:left="640" w:right="260"/>
        <w:spacing w:after="0" w:line="267" w:lineRule="auto"/>
        <w:rPr>
          <w:sz w:val="20"/>
          <w:szCs w:val="20"/>
          <w:color w:val="auto"/>
        </w:rPr>
      </w:pPr>
      <w:r>
        <w:rPr>
          <w:rFonts w:ascii="Arial" w:cs="Arial" w:eastAsia="Arial" w:hAnsi="Arial"/>
          <w:sz w:val="20"/>
          <w:szCs w:val="20"/>
          <w:color w:val="auto"/>
        </w:rPr>
        <w:t>The evaluation questionnaire (the “Questionnaire”) provides a platform for expression of thoughts and opinions regarding various issues facing the Company, the Board as a whole, as well as any committee(s) upon which individual Board members may serve. Its intended use is as a communication tool to enhance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131445</wp:posOffset>
            </wp:positionV>
            <wp:extent cx="6337300" cy="825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620"/>
          </w:cols>
          <w:pgMar w:left="320" w:top="470" w:right="9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40"/>
        <w:spacing w:after="0" w:line="243" w:lineRule="auto"/>
        <w:rPr>
          <w:sz w:val="20"/>
          <w:szCs w:val="20"/>
          <w:color w:val="auto"/>
        </w:rPr>
      </w:pPr>
      <w:r>
        <w:rPr>
          <w:rFonts w:ascii="Arial" w:cs="Arial" w:eastAsia="Arial" w:hAnsi="Arial"/>
          <w:sz w:val="21"/>
          <w:szCs w:val="21"/>
          <w:color w:val="auto"/>
        </w:rPr>
        <w:t>the Board’s overall effectiveness in a changing business environment. Board effectiveness contributes to the sustainability of our Company over the long term, and therefore is of vital importance to shareholders and all stakeholders. The Questionnaire is presented as a series of questions requiring qualitative responses to reflect individual opinions and viewpoints.</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Self-Assessment</w:t>
      </w:r>
    </w:p>
    <w:p>
      <w:pPr>
        <w:spacing w:after="0" w:line="96" w:lineRule="exact"/>
        <w:rPr>
          <w:sz w:val="20"/>
          <w:szCs w:val="20"/>
          <w:color w:val="auto"/>
        </w:rPr>
      </w:pPr>
    </w:p>
    <w:p>
      <w:pPr>
        <w:ind w:left="640" w:right="60"/>
        <w:spacing w:after="0" w:line="248" w:lineRule="auto"/>
        <w:rPr>
          <w:sz w:val="20"/>
          <w:szCs w:val="20"/>
          <w:color w:val="auto"/>
        </w:rPr>
      </w:pPr>
      <w:r>
        <w:rPr>
          <w:rFonts w:ascii="Arial" w:cs="Arial" w:eastAsia="Arial" w:hAnsi="Arial"/>
          <w:sz w:val="21"/>
          <w:szCs w:val="21"/>
          <w:color w:val="auto"/>
        </w:rPr>
        <w:t>The individual Board member self-assessment is a voluntary confidential personal improvement tool intended to encourage honest reflection on personal characteristics, behavior, and aspirations with regard to service on the Board.</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Skills and Demographics Declaration</w:t>
      </w:r>
    </w:p>
    <w:p>
      <w:pPr>
        <w:spacing w:after="0" w:line="96" w:lineRule="exact"/>
        <w:rPr>
          <w:sz w:val="20"/>
          <w:szCs w:val="20"/>
          <w:color w:val="auto"/>
        </w:rPr>
      </w:pPr>
    </w:p>
    <w:p>
      <w:pPr>
        <w:ind w:left="640" w:right="20"/>
        <w:spacing w:after="0"/>
        <w:rPr>
          <w:sz w:val="20"/>
          <w:szCs w:val="20"/>
          <w:color w:val="auto"/>
        </w:rPr>
      </w:pPr>
      <w:r>
        <w:rPr>
          <w:rFonts w:ascii="Arial" w:cs="Arial" w:eastAsia="Arial" w:hAnsi="Arial"/>
          <w:sz w:val="21"/>
          <w:szCs w:val="21"/>
          <w:color w:val="auto"/>
        </w:rPr>
        <w:t xml:space="preserve">The skills and demographics declaration is included in the annual evaluation process to provide a means for each Board member to identify their strongest skill sets and to self-identify demographics. This information is used to inform ongoing accuracy of the Skills Matrix for Board succession planning needs, and to ensure accurate disclosure of these items in our public documents. See the section entitled </w:t>
      </w:r>
      <w:r>
        <w:rPr>
          <w:rFonts w:ascii="Arial" w:cs="Arial" w:eastAsia="Arial" w:hAnsi="Arial"/>
          <w:sz w:val="21"/>
          <w:szCs w:val="21"/>
          <w:i w:val="1"/>
          <w:iCs w:val="1"/>
          <w:color w:val="auto"/>
        </w:rPr>
        <w:t>Qualifications and Skills</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of Directors </w:t>
      </w:r>
      <w:r>
        <w:rPr>
          <w:rFonts w:ascii="Arial" w:cs="Arial" w:eastAsia="Arial" w:hAnsi="Arial"/>
          <w:sz w:val="21"/>
          <w:szCs w:val="21"/>
          <w:color w:val="auto"/>
        </w:rPr>
        <w:t>for additional information on the Skills Matrix.</w:t>
      </w:r>
    </w:p>
    <w:p>
      <w:pPr>
        <w:spacing w:after="0" w:line="200" w:lineRule="exact"/>
        <w:rPr>
          <w:sz w:val="20"/>
          <w:szCs w:val="20"/>
          <w:color w:val="auto"/>
        </w:rPr>
      </w:pPr>
    </w:p>
    <w:p>
      <w:pPr>
        <w:spacing w:after="0" w:line="286"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CODE OF ETHICS</w:t>
      </w:r>
    </w:p>
    <w:p>
      <w:pPr>
        <w:spacing w:after="0" w:line="214" w:lineRule="exact"/>
        <w:rPr>
          <w:sz w:val="20"/>
          <w:szCs w:val="20"/>
          <w:color w:val="auto"/>
        </w:rPr>
      </w:pPr>
    </w:p>
    <w:p>
      <w:pPr>
        <w:ind w:left="640" w:right="80"/>
        <w:spacing w:after="0" w:line="236" w:lineRule="auto"/>
        <w:rPr>
          <w:sz w:val="20"/>
          <w:szCs w:val="20"/>
          <w:color w:val="auto"/>
        </w:rPr>
      </w:pPr>
      <w:r>
        <w:rPr>
          <w:rFonts w:ascii="Arial" w:cs="Arial" w:eastAsia="Arial" w:hAnsi="Arial"/>
          <w:sz w:val="21"/>
          <w:szCs w:val="21"/>
          <w:color w:val="auto"/>
        </w:rPr>
        <w:t xml:space="preserve">Our Code of Ethics (the “Code of Ethics”) is a robust statement of our high standards for ethical behavior, legal compliance and financial disclosure, and is applicable to all of our Directors, officers and employees. The Board unanimously approved the Code of Ethics in 2004, and along with all officers and employees, annually affirms understanding of, and agreement and compliance with, the Code of Ethics. The Nominating and Governance Committee reviews the Code of Ethics annually for any required or desirable revisions. Should the Board adopt any changes to, or waivers of, the Code of Ethics, those changes or waivers will be promptly disclosed and posted on our website as noted below. To date, there have been no changes to or waivers requested or granted with regard to the Code of Ethics. The Nominating and Governance Committee last reviewed the Code of Ethics on January 27, 2026. A copy of the Code of Ethics can be reviewed on our website at </w:t>
      </w:r>
      <w:r>
        <w:rPr>
          <w:rFonts w:ascii="Arial" w:cs="Arial" w:eastAsia="Arial" w:hAnsi="Arial"/>
          <w:sz w:val="21"/>
          <w:szCs w:val="21"/>
          <w:u w:val="single" w:color="auto"/>
          <w:color w:val="4289F7"/>
        </w:rPr>
        <w:t>unitil.com/investors</w:t>
      </w:r>
      <w:r>
        <w:rPr>
          <w:rFonts w:ascii="Arial" w:cs="Arial" w:eastAsia="Arial" w:hAnsi="Arial"/>
          <w:sz w:val="21"/>
          <w:szCs w:val="21"/>
          <w:color w:val="auto"/>
        </w:rPr>
        <w:t>.</w:t>
      </w:r>
    </w:p>
    <w:p>
      <w:pPr>
        <w:spacing w:after="0" w:line="200" w:lineRule="exact"/>
        <w:rPr>
          <w:sz w:val="20"/>
          <w:szCs w:val="20"/>
          <w:color w:val="auto"/>
        </w:rPr>
      </w:pPr>
    </w:p>
    <w:p>
      <w:pPr>
        <w:spacing w:after="0" w:line="288"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MANAGEMENT SUCCESSION PLANNING</w:t>
      </w:r>
    </w:p>
    <w:p>
      <w:pPr>
        <w:spacing w:after="0" w:line="214" w:lineRule="exact"/>
        <w:rPr>
          <w:sz w:val="20"/>
          <w:szCs w:val="20"/>
          <w:color w:val="auto"/>
        </w:rPr>
      </w:pPr>
    </w:p>
    <w:p>
      <w:pPr>
        <w:ind w:left="640" w:right="60"/>
        <w:spacing w:after="0" w:line="236" w:lineRule="auto"/>
        <w:rPr>
          <w:sz w:val="20"/>
          <w:szCs w:val="20"/>
          <w:color w:val="auto"/>
        </w:rPr>
      </w:pPr>
      <w:r>
        <w:rPr>
          <w:rFonts w:ascii="Arial" w:cs="Arial" w:eastAsia="Arial" w:hAnsi="Arial"/>
          <w:sz w:val="21"/>
          <w:szCs w:val="21"/>
          <w:color w:val="auto"/>
        </w:rPr>
        <w:t>Effective executive leadership is critical to our success. The Board oversees the senior management succession planning process to ensure that effective plans are in place for succession of the CEO, as well as other key senior management positions. The management succession plan is ongoing and fluid, addressing contingencies for retirement, resignation, death, disability, or other untimely departure of the CEO and/or other members of senior management for a smooth transition on both an interim and long-term basis. The management succession plan is evaluated regularly for gaps and other risk factors. As a result of the most recent evaluation, the management succession plan was expanded and developed further to include middle management and other key positions, including long-serving employees nearing retirement. To date, 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153035</wp:posOffset>
            </wp:positionV>
            <wp:extent cx="6337300" cy="825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620"/>
          </w:cols>
          <w:pgMar w:left="320" w:top="470" w:right="9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120"/>
        <w:spacing w:after="0" w:line="239" w:lineRule="auto"/>
        <w:rPr>
          <w:sz w:val="20"/>
          <w:szCs w:val="20"/>
          <w:color w:val="auto"/>
        </w:rPr>
      </w:pPr>
      <w:r>
        <w:rPr>
          <w:rFonts w:ascii="Arial" w:cs="Arial" w:eastAsia="Arial" w:hAnsi="Arial"/>
          <w:sz w:val="21"/>
          <w:szCs w:val="21"/>
          <w:color w:val="auto"/>
        </w:rPr>
        <w:t>key internal candidates have been identified as potential future leaders of our Company. Senior management continues to mentor this group on executive leadership development, strategy development, corporate decision-making, and outlook for long-term growth. In addition, we also have a comprehensive Crisis Succession Plan for key officers to establish clear succession protocol in the event of an emergency or other unplanned event. The Crisis Succession Plan is a stand-alone plan and does not replace or reduce our ongoing management succession planning efforts.</w:t>
      </w:r>
    </w:p>
    <w:p>
      <w:pPr>
        <w:spacing w:after="0" w:line="200" w:lineRule="exact"/>
        <w:rPr>
          <w:sz w:val="20"/>
          <w:szCs w:val="20"/>
          <w:color w:val="auto"/>
        </w:rPr>
      </w:pPr>
    </w:p>
    <w:p>
      <w:pPr>
        <w:spacing w:after="0" w:line="284"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EXECUTIVE COMPENSATION RECOVERY POLICY</w:t>
      </w:r>
    </w:p>
    <w:p>
      <w:pPr>
        <w:spacing w:after="0" w:line="214" w:lineRule="exact"/>
        <w:rPr>
          <w:sz w:val="20"/>
          <w:szCs w:val="20"/>
          <w:color w:val="auto"/>
        </w:rPr>
      </w:pPr>
    </w:p>
    <w:p>
      <w:pPr>
        <w:ind w:left="640" w:right="100"/>
        <w:spacing w:after="0"/>
        <w:rPr>
          <w:sz w:val="20"/>
          <w:szCs w:val="20"/>
          <w:color w:val="auto"/>
        </w:rPr>
      </w:pPr>
      <w:r>
        <w:rPr>
          <w:rFonts w:ascii="Arial" w:cs="Arial" w:eastAsia="Arial" w:hAnsi="Arial"/>
          <w:sz w:val="21"/>
          <w:szCs w:val="21"/>
          <w:color w:val="auto"/>
        </w:rPr>
        <w:t>In October 2022, the SEC adopted final new rules related to the recovery of erroneously awarded performance-based compensation. Following that adoption, the NYSE proposed final rules which were adopted in June 2023 in accordance with the NYSE’s mandate pursuant to the SEC’s final rules. The Board of Directors approved our revised Executive Compensation Recovery Policy (the “Policy”), described below, on November 1, 2023.</w:t>
      </w:r>
    </w:p>
    <w:p>
      <w:pPr>
        <w:spacing w:after="0" w:line="170" w:lineRule="exact"/>
        <w:rPr>
          <w:sz w:val="20"/>
          <w:szCs w:val="20"/>
          <w:color w:val="auto"/>
        </w:rPr>
      </w:pPr>
    </w:p>
    <w:p>
      <w:pPr>
        <w:ind w:left="640" w:right="20"/>
        <w:spacing w:after="0" w:line="247" w:lineRule="auto"/>
        <w:rPr>
          <w:sz w:val="20"/>
          <w:szCs w:val="20"/>
          <w:color w:val="auto"/>
        </w:rPr>
      </w:pPr>
      <w:r>
        <w:rPr>
          <w:rFonts w:ascii="Arial" w:cs="Arial" w:eastAsia="Arial" w:hAnsi="Arial"/>
          <w:sz w:val="20"/>
          <w:szCs w:val="20"/>
          <w:color w:val="auto"/>
        </w:rPr>
        <w:t>The purpose of the Policy is to provide for the recovery of certain executive compensation in the event of an accounting restatement resulting from material non-compliance with financial reporting requirements under the securities laws. In the event we are required to prepare an accounting restatement of our financial statements due to material non-compliance with any financial reporting requirement, we generally will be entitled to recover any excess performance-based compensation received by any current or former Covered Executive</w:t>
      </w:r>
      <w:r>
        <w:rPr>
          <w:rFonts w:ascii="Arial" w:cs="Arial" w:eastAsia="Arial" w:hAnsi="Arial"/>
          <w:sz w:val="14"/>
          <w:szCs w:val="14"/>
          <w:color w:val="auto"/>
        </w:rPr>
        <w:t>3</w:t>
      </w:r>
      <w:r>
        <w:rPr>
          <w:rFonts w:ascii="Arial" w:cs="Arial" w:eastAsia="Arial" w:hAnsi="Arial"/>
          <w:sz w:val="20"/>
          <w:szCs w:val="20"/>
          <w:color w:val="auto"/>
        </w:rPr>
        <w:t xml:space="preserve"> during the three-year period immediately preceding the date on which we are required to prepare an accounting restatement. “Performance-based compensation”</w:t>
      </w:r>
      <w:r>
        <w:rPr>
          <w:rFonts w:ascii="Arial" w:cs="Arial" w:eastAsia="Arial" w:hAnsi="Arial"/>
          <w:sz w:val="14"/>
          <w:szCs w:val="14"/>
          <w:color w:val="auto"/>
        </w:rPr>
        <w:t>4</w:t>
      </w:r>
      <w:r>
        <w:rPr>
          <w:rFonts w:ascii="Arial" w:cs="Arial" w:eastAsia="Arial" w:hAnsi="Arial"/>
          <w:sz w:val="20"/>
          <w:szCs w:val="20"/>
          <w:color w:val="auto"/>
        </w:rPr>
        <w:t xml:space="preserve"> is defined as all annual incentives and long-term incentives (whether in cash, in equity, or otherwise) granted, earned, vested or unvested with performance features based wholly or in part on our Company’s or a specified group’s attainment of a financial reporting measure. “Financial reporting measure” is defined as a measure that is determined and presented in accordance with the accounting principles used in preparing our financial statements, and any measure(s) that are derived wholly or in part from such measure. We shall recover any erroneously awarded performance-based compensation in accordance with the Policy, with the exception that if the conditions of Rule 10D-1 of the Exchange Act and the listing standards of the NYSE are met, and the Compensation Committee determines that recovery would be impractical or cost prohibitive.</w:t>
      </w:r>
    </w:p>
    <w:p>
      <w:pPr>
        <w:spacing w:after="0" w:line="166" w:lineRule="exact"/>
        <w:rPr>
          <w:sz w:val="20"/>
          <w:szCs w:val="20"/>
          <w:color w:val="auto"/>
        </w:rPr>
      </w:pPr>
    </w:p>
    <w:p>
      <w:pPr>
        <w:ind w:left="640" w:right="980"/>
        <w:spacing w:after="0" w:line="264" w:lineRule="auto"/>
        <w:rPr>
          <w:sz w:val="20"/>
          <w:szCs w:val="20"/>
          <w:color w:val="auto"/>
        </w:rPr>
      </w:pPr>
      <w:r>
        <w:rPr>
          <w:rFonts w:ascii="Arial" w:cs="Arial" w:eastAsia="Arial" w:hAnsi="Arial"/>
          <w:sz w:val="21"/>
          <w:szCs w:val="21"/>
          <w:color w:val="auto"/>
        </w:rPr>
        <w:t>All actions taken under this policy will comply with Section 10D of the Exchange Act and the listing standards of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59055</wp:posOffset>
            </wp:positionV>
            <wp:extent cx="20218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113" w:lineRule="exact"/>
        <w:rPr>
          <w:sz w:val="20"/>
          <w:szCs w:val="20"/>
          <w:color w:val="auto"/>
        </w:rPr>
      </w:pPr>
    </w:p>
    <w:p>
      <w:pPr>
        <w:ind w:left="820" w:right="320" w:hanging="186"/>
        <w:spacing w:after="0" w:line="213" w:lineRule="auto"/>
        <w:tabs>
          <w:tab w:leader="none" w:pos="820" w:val="left"/>
        </w:tabs>
        <w:numPr>
          <w:ilvl w:val="0"/>
          <w:numId w:val="20"/>
        </w:numPr>
        <w:rPr>
          <w:rFonts w:ascii="Arial" w:cs="Arial" w:eastAsia="Arial" w:hAnsi="Arial"/>
          <w:sz w:val="22"/>
          <w:szCs w:val="22"/>
          <w:color w:val="auto"/>
          <w:vertAlign w:val="superscript"/>
        </w:rPr>
      </w:pPr>
      <w:r>
        <w:rPr>
          <w:rFonts w:ascii="Arial" w:cs="Arial" w:eastAsia="Arial" w:hAnsi="Arial"/>
          <w:sz w:val="15"/>
          <w:szCs w:val="15"/>
          <w:color w:val="auto"/>
        </w:rPr>
        <w:t>The term “Covered Executive” includes the Company’s: Chief executive officer; president; chief financial officer; chief accounting officer or controller; any vice president in charge of a principal business unit, division or function; any other officer who performs a policy-making</w:t>
      </w:r>
    </w:p>
    <w:p>
      <w:pPr>
        <w:ind w:left="820"/>
        <w:spacing w:after="0" w:line="232" w:lineRule="auto"/>
        <w:rPr>
          <w:sz w:val="20"/>
          <w:szCs w:val="20"/>
          <w:color w:val="auto"/>
        </w:rPr>
      </w:pPr>
      <w:r>
        <w:rPr>
          <w:rFonts w:ascii="Arial" w:cs="Arial" w:eastAsia="Arial" w:hAnsi="Arial"/>
          <w:sz w:val="16"/>
          <w:szCs w:val="16"/>
          <w:color w:val="auto"/>
        </w:rPr>
        <w:t>function</w:t>
      </w:r>
    </w:p>
    <w:p>
      <w:pPr>
        <w:spacing w:after="0" w:line="1" w:lineRule="exact"/>
        <w:rPr>
          <w:sz w:val="20"/>
          <w:szCs w:val="20"/>
          <w:color w:val="auto"/>
        </w:rPr>
      </w:pPr>
    </w:p>
    <w:p>
      <w:pPr>
        <w:ind w:left="820" w:right="140" w:hanging="186"/>
        <w:spacing w:after="0" w:line="212" w:lineRule="auto"/>
        <w:tabs>
          <w:tab w:leader="none" w:pos="820" w:val="left"/>
        </w:tabs>
        <w:numPr>
          <w:ilvl w:val="0"/>
          <w:numId w:val="21"/>
        </w:numPr>
        <w:rPr>
          <w:rFonts w:ascii="Arial" w:cs="Arial" w:eastAsia="Arial" w:hAnsi="Arial"/>
          <w:sz w:val="22"/>
          <w:szCs w:val="22"/>
          <w:color w:val="auto"/>
          <w:vertAlign w:val="superscript"/>
        </w:rPr>
      </w:pPr>
      <w:r>
        <w:rPr>
          <w:rFonts w:ascii="Arial" w:cs="Arial" w:eastAsia="Arial" w:hAnsi="Arial"/>
          <w:sz w:val="15"/>
          <w:szCs w:val="15"/>
          <w:color w:val="auto"/>
        </w:rPr>
        <w:t>For the purposes of the Executive Compensation Recovery Policy, performance-based compensation is defined as all annual incentives and long-term incentives, whether in cash, in equity, or otherwise, with performance features based on our collective or a group’s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150495</wp:posOffset>
            </wp:positionV>
            <wp:extent cx="6337300" cy="825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620"/>
          </w:cols>
          <w:pgMar w:left="320" w:top="470" w:right="9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EXECUTIVE STOCK OWNERSHIP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-160020</wp:posOffset>
            </wp:positionV>
            <wp:extent cx="2466975" cy="17246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66975" cy="1724660"/>
                    </a:xfrm>
                    <a:prstGeom prst="rect">
                      <a:avLst/>
                    </a:prstGeom>
                    <a:noFill/>
                  </pic:spPr>
                </pic:pic>
              </a:graphicData>
            </a:graphic>
          </wp:anchor>
        </w:drawing>
      </w:r>
    </w:p>
    <w:p>
      <w:pPr>
        <w:spacing w:after="0" w:line="220" w:lineRule="exact"/>
        <w:rPr>
          <w:sz w:val="20"/>
          <w:szCs w:val="20"/>
          <w:color w:val="auto"/>
        </w:rPr>
      </w:pPr>
    </w:p>
    <w:p>
      <w:pPr>
        <w:ind w:left="640" w:right="4400"/>
        <w:spacing w:after="0" w:line="236" w:lineRule="auto"/>
        <w:rPr>
          <w:sz w:val="20"/>
          <w:szCs w:val="20"/>
          <w:color w:val="auto"/>
        </w:rPr>
      </w:pPr>
      <w:r>
        <w:rPr>
          <w:rFonts w:ascii="Arial" w:cs="Arial" w:eastAsia="Arial" w:hAnsi="Arial"/>
          <w:sz w:val="21"/>
          <w:szCs w:val="21"/>
          <w:color w:val="auto"/>
        </w:rPr>
        <w:t>All Named Executive Officers are required to own shares of our common stock in the equivalent value of a multiple of base salary. All shares of our common stock that are owned directly or beneficially, shares of restricted stock that are awarded, whether vested or unvested, as well any shares of Unitil common stock held in the Tax Deferred Savings and Investment Plan count towards the required total. Any newly appointed Named Executive Officer will have four years from the date of appointment to obtain the</w:t>
      </w:r>
    </w:p>
    <w:p>
      <w:pPr>
        <w:sectPr>
          <w:pgSz w:w="11900" w:h="16838" w:orient="portrait"/>
          <w:cols w:equalWidth="0" w:num="1">
            <w:col w:w="10620"/>
          </w:cols>
          <w:pgMar w:left="320" w:top="470" w:right="959" w:bottom="1440" w:gutter="0" w:footer="0" w:header="0"/>
        </w:sectPr>
      </w:pPr>
    </w:p>
    <w:p>
      <w:pPr>
        <w:spacing w:after="0" w:line="380" w:lineRule="exact"/>
        <w:rPr>
          <w:sz w:val="20"/>
          <w:szCs w:val="20"/>
          <w:color w:val="auto"/>
        </w:rPr>
      </w:pPr>
    </w:p>
    <w:p>
      <w:pPr>
        <w:ind w:left="740" w:hanging="106"/>
        <w:spacing w:after="0"/>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  Chairman and CEO</w:t>
      </w:r>
    </w:p>
    <w:p>
      <w:pPr>
        <w:spacing w:after="0" w:line="28" w:lineRule="exact"/>
        <w:rPr>
          <w:rFonts w:ascii="Arial" w:cs="Arial" w:eastAsia="Arial" w:hAnsi="Arial"/>
          <w:sz w:val="17"/>
          <w:szCs w:val="17"/>
          <w:color w:val="auto"/>
        </w:rPr>
      </w:pPr>
    </w:p>
    <w:p>
      <w:pPr>
        <w:ind w:left="740" w:hanging="106"/>
        <w:spacing w:after="0"/>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  President</w:t>
      </w:r>
    </w:p>
    <w:p>
      <w:pPr>
        <w:ind w:left="740" w:hanging="106"/>
        <w:spacing w:after="0"/>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  Chief Financial Officer</w:t>
      </w:r>
    </w:p>
    <w:p>
      <w:pPr>
        <w:ind w:left="740" w:hanging="106"/>
        <w:spacing w:after="0"/>
        <w:tabs>
          <w:tab w:leader="none" w:pos="7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  All Other Named Executive Officers 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-536575</wp:posOffset>
            </wp:positionV>
            <wp:extent cx="3201670" cy="5943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01670" cy="594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1"/>
          <w:szCs w:val="11"/>
          <w:color w:val="auto"/>
        </w:rPr>
        <w:t>4X </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3X </w:t>
      </w: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3X </w:t>
      </w: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2X </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520"/>
        <w:spacing w:after="0" w:line="243" w:lineRule="auto"/>
        <w:rPr>
          <w:sz w:val="20"/>
          <w:szCs w:val="20"/>
          <w:color w:val="auto"/>
        </w:rPr>
      </w:pPr>
      <w:r>
        <w:rPr>
          <w:rFonts w:ascii="Arial" w:cs="Arial" w:eastAsia="Arial" w:hAnsi="Arial"/>
          <w:sz w:val="21"/>
          <w:szCs w:val="21"/>
          <w:color w:val="auto"/>
        </w:rPr>
        <w:t>required shares of stock. As of the date of this proxy statement, all current Named Executive Officers have met the stock ownership requirement.</w:t>
      </w:r>
    </w:p>
    <w:p>
      <w:pPr>
        <w:spacing w:after="0" w:line="200" w:lineRule="exact"/>
        <w:rPr>
          <w:sz w:val="20"/>
          <w:szCs w:val="20"/>
          <w:color w:val="auto"/>
        </w:rPr>
      </w:pPr>
    </w:p>
    <w:p>
      <w:pPr>
        <w:sectPr>
          <w:pgSz w:w="11900" w:h="16838" w:orient="portrait"/>
          <w:cols w:equalWidth="0" w:num="3">
            <w:col w:w="4520" w:space="720"/>
            <w:col w:w="260" w:space="380"/>
            <w:col w:w="4740"/>
          </w:cols>
          <w:pgMar w:left="320" w:top="470" w:right="959" w:bottom="1440" w:gutter="0" w:footer="0" w:header="0"/>
          <w:type w:val="continuous"/>
        </w:sectPr>
      </w:pPr>
    </w:p>
    <w:p>
      <w:pPr>
        <w:spacing w:after="0" w:line="281"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EXECUTIVE STOCK RETENTION POLICY</w:t>
      </w:r>
    </w:p>
    <w:p>
      <w:pPr>
        <w:spacing w:after="0" w:line="214" w:lineRule="exact"/>
        <w:rPr>
          <w:sz w:val="20"/>
          <w:szCs w:val="20"/>
          <w:color w:val="auto"/>
        </w:rPr>
      </w:pPr>
    </w:p>
    <w:p>
      <w:pPr>
        <w:ind w:left="640" w:right="20"/>
        <w:spacing w:after="0"/>
        <w:rPr>
          <w:sz w:val="20"/>
          <w:szCs w:val="20"/>
          <w:color w:val="auto"/>
        </w:rPr>
      </w:pPr>
      <w:r>
        <w:rPr>
          <w:rFonts w:ascii="Arial" w:cs="Arial" w:eastAsia="Arial" w:hAnsi="Arial"/>
          <w:sz w:val="21"/>
          <w:szCs w:val="21"/>
          <w:color w:val="auto"/>
        </w:rPr>
        <w:t>The Board believes that our executive officers should own a significant number of shares of our common stock to properly align their interests with those of shareholders. All Named Executive Officers are required to hold all forms of equity received as compensation until retirement or other separation from our Company. The Board, in its sole discretion, may approve a waiver to this policy as circumstances may warrant. To date, no such waivers have been proposed or approved.</w:t>
      </w:r>
    </w:p>
    <w:p>
      <w:pPr>
        <w:spacing w:after="0" w:line="200" w:lineRule="exact"/>
        <w:rPr>
          <w:sz w:val="20"/>
          <w:szCs w:val="20"/>
          <w:color w:val="auto"/>
        </w:rPr>
      </w:pPr>
    </w:p>
    <w:p>
      <w:pPr>
        <w:spacing w:after="0" w:line="286"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PROHIBITION ON HEDGING AND/OR PLEDGING COMPANY STOCK POLICY</w:t>
      </w:r>
    </w:p>
    <w:p>
      <w:pPr>
        <w:spacing w:after="0" w:line="214" w:lineRule="exact"/>
        <w:rPr>
          <w:sz w:val="20"/>
          <w:szCs w:val="20"/>
          <w:color w:val="auto"/>
        </w:rPr>
      </w:pPr>
    </w:p>
    <w:p>
      <w:pPr>
        <w:ind w:left="640" w:right="60"/>
        <w:spacing w:after="0"/>
        <w:rPr>
          <w:sz w:val="20"/>
          <w:szCs w:val="20"/>
          <w:color w:val="auto"/>
        </w:rPr>
      </w:pPr>
      <w:r>
        <w:rPr>
          <w:rFonts w:ascii="Arial" w:cs="Arial" w:eastAsia="Arial" w:hAnsi="Arial"/>
          <w:sz w:val="21"/>
          <w:szCs w:val="21"/>
          <w:color w:val="auto"/>
        </w:rPr>
        <w:t xml:space="preserve">All members of our Board and our executive officers are prohibited from engaging in short sales or engaging in any hedging transaction with respect to our common stock, as well as engaging in any transactions that result in pledging, or using as collateral, shares of our common stock in order to secure personal loans or other obligations, including any shares that may be held in a margin account. For more information, see the section entitled </w:t>
      </w:r>
      <w:r>
        <w:rPr>
          <w:rFonts w:ascii="Arial" w:cs="Arial" w:eastAsia="Arial" w:hAnsi="Arial"/>
          <w:sz w:val="21"/>
          <w:szCs w:val="21"/>
          <w:i w:val="1"/>
          <w:iCs w:val="1"/>
          <w:color w:val="auto"/>
        </w:rPr>
        <w:t>Insider Trading Policy</w:t>
      </w:r>
      <w:r>
        <w:rPr>
          <w:rFonts w:ascii="Arial" w:cs="Arial" w:eastAsia="Arial" w:hAnsi="Arial"/>
          <w:sz w:val="21"/>
          <w:szCs w:val="21"/>
          <w:color w:val="auto"/>
        </w:rPr>
        <w:t>, above.</w:t>
      </w:r>
    </w:p>
    <w:p>
      <w:pPr>
        <w:spacing w:after="0" w:line="200" w:lineRule="exact"/>
        <w:rPr>
          <w:sz w:val="20"/>
          <w:szCs w:val="20"/>
          <w:color w:val="auto"/>
        </w:rPr>
      </w:pPr>
    </w:p>
    <w:p>
      <w:pPr>
        <w:spacing w:after="0" w:line="286"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TRANSACTIONS WITH RELATED PERSONS</w:t>
      </w:r>
    </w:p>
    <w:p>
      <w:pPr>
        <w:spacing w:after="0" w:line="214" w:lineRule="exact"/>
        <w:rPr>
          <w:sz w:val="20"/>
          <w:szCs w:val="20"/>
          <w:color w:val="auto"/>
        </w:rPr>
      </w:pPr>
    </w:p>
    <w:p>
      <w:pPr>
        <w:ind w:left="640" w:right="20"/>
        <w:spacing w:after="0" w:line="237" w:lineRule="auto"/>
        <w:rPr>
          <w:sz w:val="20"/>
          <w:szCs w:val="20"/>
          <w:color w:val="auto"/>
        </w:rPr>
      </w:pPr>
      <w:r>
        <w:rPr>
          <w:rFonts w:ascii="Arial" w:cs="Arial" w:eastAsia="Arial" w:hAnsi="Arial"/>
          <w:sz w:val="21"/>
          <w:szCs w:val="21"/>
          <w:color w:val="auto"/>
        </w:rPr>
        <w:t>The Audit Committee is responsible for reviewing and approving, as appropriate, all Related Person Transactions (as defined below), in accordance with its charter (the “Audit Committee Charter”) and as prescribed in the NYSE Listed Company Manual, Section 314, Related Person Transactions. As a result, the Committee has adopted procedures for such review and approval and included such procedures in our Governance Guidelines. We had no Related Person Transactions requiring disclosure in 2025, and there are no Related Person Transactions requiring disclosure currently proposed for 2026. “Related Person” and “Related Person Transaction” are defined in Item 404(a) of Regulation S-K (“Regulation S-K”), as prescribed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150495</wp:posOffset>
            </wp:positionV>
            <wp:extent cx="6337300" cy="825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620"/>
          </w:cols>
          <w:pgMar w:left="320" w:top="470" w:right="9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80"/>
        <w:spacing w:after="0" w:line="237" w:lineRule="auto"/>
        <w:rPr>
          <w:sz w:val="20"/>
          <w:szCs w:val="20"/>
          <w:color w:val="auto"/>
        </w:rPr>
      </w:pPr>
      <w:r>
        <w:rPr>
          <w:rFonts w:ascii="Arial" w:cs="Arial" w:eastAsia="Arial" w:hAnsi="Arial"/>
          <w:sz w:val="21"/>
          <w:szCs w:val="21"/>
          <w:color w:val="auto"/>
        </w:rPr>
        <w:t>Transactions between us or one or more of our subsidiaries and one or more Related Person may present risks or conflicts of interest or the appearance of conflicts of interest. Our Code of Ethics generally requires all employees, officers and Directors to avoid engagement in activities or relationships that conflict, or would be perceived to conflict, with our interests or adversely affect our reputation. It is understood, however, that certain relationships or transactions may arise that would be deemed acceptable and appropriate upon full disclosure of the transaction, following review and approval to ensure there is a legitimate business reason for the transaction and that the terms of the transaction are no less favorable to us than could be obtained from an unrelated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142240</wp:posOffset>
            </wp:positionV>
            <wp:extent cx="6337300" cy="257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37300" cy="2574290"/>
                    </a:xfrm>
                    <a:prstGeom prst="rect">
                      <a:avLst/>
                    </a:prstGeom>
                    <a:noFill/>
                  </pic:spPr>
                </pic:pic>
              </a:graphicData>
            </a:graphic>
          </wp:anchor>
        </w:drawing>
      </w:r>
    </w:p>
    <w:p>
      <w:pPr>
        <w:sectPr>
          <w:pgSz w:w="11900" w:h="16838" w:orient="portrait"/>
          <w:cols w:equalWidth="0" w:num="1">
            <w:col w:w="10620"/>
          </w:cols>
          <w:pgMar w:left="320" w:top="470" w:right="959" w:bottom="1440" w:gutter="0" w:footer="0" w:header="0"/>
        </w:sectPr>
      </w:pPr>
    </w:p>
    <w:p>
      <w:pPr>
        <w:spacing w:after="0" w:line="322" w:lineRule="exact"/>
        <w:rPr>
          <w:sz w:val="20"/>
          <w:szCs w:val="20"/>
          <w:color w:val="auto"/>
        </w:rPr>
      </w:pPr>
    </w:p>
    <w:p>
      <w:pPr>
        <w:jc w:val="center"/>
        <w:ind w:left="640"/>
        <w:spacing w:after="0"/>
        <w:rPr>
          <w:sz w:val="20"/>
          <w:szCs w:val="20"/>
          <w:color w:val="auto"/>
        </w:rPr>
      </w:pPr>
      <w:r>
        <w:rPr>
          <w:rFonts w:ascii="Arial" w:cs="Arial" w:eastAsia="Arial" w:hAnsi="Arial"/>
          <w:sz w:val="17"/>
          <w:szCs w:val="17"/>
          <w:b w:val="1"/>
          <w:bCs w:val="1"/>
          <w:color w:val="auto"/>
        </w:rPr>
        <w:t>Related Person Transactions</w:t>
      </w:r>
    </w:p>
    <w:p>
      <w:pPr>
        <w:spacing w:after="0" w:line="17" w:lineRule="exact"/>
        <w:rPr>
          <w:sz w:val="20"/>
          <w:szCs w:val="20"/>
          <w:color w:val="auto"/>
        </w:rPr>
      </w:pPr>
    </w:p>
    <w:p>
      <w:pPr>
        <w:jc w:val="center"/>
        <w:ind w:left="640"/>
        <w:spacing w:after="0"/>
        <w:rPr>
          <w:sz w:val="20"/>
          <w:szCs w:val="20"/>
          <w:color w:val="auto"/>
        </w:rPr>
      </w:pPr>
      <w:r>
        <w:rPr>
          <w:rFonts w:ascii="Arial" w:cs="Arial" w:eastAsia="Arial" w:hAnsi="Arial"/>
          <w:sz w:val="17"/>
          <w:szCs w:val="17"/>
          <w:b w:val="1"/>
          <w:bCs w:val="1"/>
          <w:color w:val="auto"/>
        </w:rPr>
        <w:t>Review &amp; Approval Procedure</w:t>
      </w:r>
    </w:p>
    <w:p>
      <w:pPr>
        <w:jc w:val="center"/>
        <w:ind w:left="640"/>
        <w:spacing w:after="0"/>
        <w:rPr>
          <w:sz w:val="20"/>
          <w:szCs w:val="20"/>
          <w:color w:val="auto"/>
        </w:rPr>
      </w:pPr>
      <w:r>
        <w:rPr>
          <w:rFonts w:ascii="Arial" w:cs="Arial" w:eastAsia="Arial" w:hAnsi="Arial"/>
          <w:sz w:val="17"/>
          <w:szCs w:val="17"/>
          <w:b w:val="1"/>
          <w:bCs w:val="1"/>
          <w:color w:val="auto"/>
        </w:rPr>
        <w:t>Requirements</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 All Related Person Transactions and all material terms of</w:t>
      </w:r>
    </w:p>
    <w:p>
      <w:pPr>
        <w:spacing w:after="0" w:line="93" w:lineRule="exact"/>
        <w:rPr>
          <w:sz w:val="20"/>
          <w:szCs w:val="20"/>
          <w:color w:val="auto"/>
        </w:rPr>
      </w:pPr>
    </w:p>
    <w:p>
      <w:pPr>
        <w:ind w:left="980" w:right="60"/>
        <w:spacing w:after="0" w:line="243" w:lineRule="auto"/>
        <w:rPr>
          <w:sz w:val="20"/>
          <w:szCs w:val="20"/>
          <w:color w:val="auto"/>
        </w:rPr>
      </w:pPr>
      <w:r>
        <w:rPr>
          <w:rFonts w:ascii="Arial" w:cs="Arial" w:eastAsia="Arial" w:hAnsi="Arial"/>
          <w:sz w:val="17"/>
          <w:szCs w:val="17"/>
          <w:color w:val="auto"/>
        </w:rPr>
        <w:t>the transactions shall be communicated to the Audit Committee for evaluation, including, but not limited to the approximate dollar value of the amount involved in the transaction, and all material facts as to the Related Person’s direct or indirect interest in, or relationship to, the Related Person Transaction.</w:t>
      </w:r>
    </w:p>
    <w:p>
      <w:pPr>
        <w:spacing w:after="0" w:line="9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 Each Related Person Transaction, and any material</w:t>
      </w:r>
    </w:p>
    <w:p>
      <w:pPr>
        <w:spacing w:after="0" w:line="93" w:lineRule="exact"/>
        <w:rPr>
          <w:sz w:val="20"/>
          <w:szCs w:val="20"/>
          <w:color w:val="auto"/>
        </w:rPr>
      </w:pPr>
    </w:p>
    <w:p>
      <w:pPr>
        <w:ind w:left="980"/>
        <w:spacing w:after="0" w:line="249" w:lineRule="auto"/>
        <w:rPr>
          <w:sz w:val="20"/>
          <w:szCs w:val="20"/>
          <w:color w:val="auto"/>
        </w:rPr>
      </w:pPr>
      <w:r>
        <w:rPr>
          <w:rFonts w:ascii="Arial" w:cs="Arial" w:eastAsia="Arial" w:hAnsi="Arial"/>
          <w:sz w:val="17"/>
          <w:szCs w:val="17"/>
          <w:color w:val="auto"/>
        </w:rPr>
        <w:t>amendment or modification to any Related Person Transaction, must be reviewed and approved by the Audit Committee.</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  Related Person Transactions</w:t>
      </w:r>
    </w:p>
    <w:p>
      <w:pPr>
        <w:spacing w:after="0" w:line="1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  Basis for Audit Committee</w:t>
      </w:r>
    </w:p>
    <w:p>
      <w:pPr>
        <w:ind w:left="1160"/>
        <w:spacing w:after="0"/>
        <w:rPr>
          <w:sz w:val="20"/>
          <w:szCs w:val="20"/>
          <w:color w:val="auto"/>
        </w:rPr>
      </w:pPr>
      <w:r>
        <w:rPr>
          <w:rFonts w:ascii="Arial" w:cs="Arial" w:eastAsia="Arial" w:hAnsi="Arial"/>
          <w:sz w:val="17"/>
          <w:szCs w:val="17"/>
          <w:b w:val="1"/>
          <w:bCs w:val="1"/>
          <w:color w:val="auto"/>
        </w:rPr>
        <w:t>  Evaluation of Transactions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  Information provided by members of the Board during the</w:t>
      </w:r>
    </w:p>
    <w:p>
      <w:pPr>
        <w:spacing w:after="0" w:line="93" w:lineRule="exact"/>
        <w:rPr>
          <w:sz w:val="20"/>
          <w:szCs w:val="20"/>
          <w:color w:val="auto"/>
        </w:rPr>
      </w:pPr>
    </w:p>
    <w:p>
      <w:pPr>
        <w:ind w:left="180" w:right="120"/>
        <w:spacing w:after="0" w:line="260" w:lineRule="auto"/>
        <w:rPr>
          <w:sz w:val="20"/>
          <w:szCs w:val="20"/>
          <w:color w:val="auto"/>
        </w:rPr>
      </w:pPr>
      <w:r>
        <w:rPr>
          <w:rFonts w:ascii="Arial" w:cs="Arial" w:eastAsia="Arial" w:hAnsi="Arial"/>
          <w:sz w:val="17"/>
          <w:szCs w:val="17"/>
          <w:color w:val="auto"/>
        </w:rPr>
        <w:t>required annual affirmation of independence, at which the members of the Audit Committee will be present</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  Applicable responses on Directors’ and Officers’</w:t>
      </w:r>
    </w:p>
    <w:p>
      <w:pPr>
        <w:spacing w:after="0" w:line="93" w:lineRule="exact"/>
        <w:rPr>
          <w:sz w:val="20"/>
          <w:szCs w:val="20"/>
          <w:color w:val="auto"/>
        </w:rPr>
      </w:pPr>
    </w:p>
    <w:p>
      <w:pPr>
        <w:ind w:left="180" w:right="320"/>
        <w:spacing w:after="0" w:line="249" w:lineRule="auto"/>
        <w:rPr>
          <w:sz w:val="20"/>
          <w:szCs w:val="20"/>
          <w:color w:val="auto"/>
        </w:rPr>
      </w:pPr>
      <w:r>
        <w:rPr>
          <w:rFonts w:ascii="Arial" w:cs="Arial" w:eastAsia="Arial" w:hAnsi="Arial"/>
          <w:sz w:val="17"/>
          <w:szCs w:val="17"/>
          <w:color w:val="auto"/>
        </w:rPr>
        <w:t>Questionnaires submitted by Directors and officers and provided to the Audit Committee by the Corporate Secretary or Internal Auditor</w:t>
      </w:r>
    </w:p>
    <w:p>
      <w:pPr>
        <w:spacing w:after="0" w:line="91" w:lineRule="exact"/>
        <w:rPr>
          <w:sz w:val="20"/>
          <w:szCs w:val="20"/>
          <w:color w:val="auto"/>
        </w:rPr>
      </w:pPr>
    </w:p>
    <w:p>
      <w:pPr>
        <w:ind w:left="180" w:right="60" w:hanging="81"/>
        <w:spacing w:after="0" w:line="359" w:lineRule="auto"/>
        <w:rPr>
          <w:sz w:val="20"/>
          <w:szCs w:val="20"/>
          <w:color w:val="auto"/>
        </w:rPr>
      </w:pPr>
      <w:r>
        <w:rPr>
          <w:rFonts w:ascii="Arial" w:cs="Arial" w:eastAsia="Arial" w:hAnsi="Arial"/>
          <w:sz w:val="17"/>
          <w:szCs w:val="17"/>
          <w:color w:val="auto"/>
        </w:rPr>
        <w:t>  Background information on nominees for Director provided by the Nominating and Governance Committee</w:t>
      </w:r>
    </w:p>
    <w:p>
      <w:pPr>
        <w:spacing w:after="0" w:line="13" w:lineRule="exact"/>
        <w:rPr>
          <w:sz w:val="20"/>
          <w:szCs w:val="20"/>
          <w:color w:val="auto"/>
        </w:rPr>
      </w:pPr>
    </w:p>
    <w:p>
      <w:pPr>
        <w:ind w:left="180" w:right="160" w:hanging="81"/>
        <w:spacing w:after="0" w:line="359" w:lineRule="auto"/>
        <w:rPr>
          <w:sz w:val="20"/>
          <w:szCs w:val="20"/>
          <w:color w:val="auto"/>
        </w:rPr>
      </w:pPr>
      <w:r>
        <w:rPr>
          <w:rFonts w:ascii="Arial" w:cs="Arial" w:eastAsia="Arial" w:hAnsi="Arial"/>
          <w:sz w:val="17"/>
          <w:szCs w:val="17"/>
          <w:color w:val="auto"/>
        </w:rPr>
        <w:t>  Any other applicable information provided by any Director or officer of the Company</w:t>
      </w:r>
    </w:p>
    <w:p>
      <w:pPr>
        <w:spacing w:after="0" w:line="200" w:lineRule="exact"/>
        <w:rPr>
          <w:sz w:val="20"/>
          <w:szCs w:val="20"/>
          <w:color w:val="auto"/>
        </w:rPr>
      </w:pPr>
    </w:p>
    <w:p>
      <w:pPr>
        <w:sectPr>
          <w:pgSz w:w="11900" w:h="16838" w:orient="portrait"/>
          <w:cols w:equalWidth="0" w:num="2">
            <w:col w:w="5400" w:space="520"/>
            <w:col w:w="4700"/>
          </w:cols>
          <w:pgMar w:left="320" w:top="470" w:right="959" w:bottom="1440" w:gutter="0" w:footer="0" w:header="0"/>
          <w:type w:val="continuous"/>
        </w:sectPr>
      </w:pPr>
    </w:p>
    <w:p>
      <w:pPr>
        <w:spacing w:after="0" w:line="258" w:lineRule="exact"/>
        <w:rPr>
          <w:sz w:val="20"/>
          <w:szCs w:val="20"/>
          <w:color w:val="auto"/>
        </w:rPr>
      </w:pPr>
    </w:p>
    <w:p>
      <w:pPr>
        <w:ind w:left="640" w:right="120"/>
        <w:spacing w:after="0" w:line="237" w:lineRule="auto"/>
        <w:rPr>
          <w:sz w:val="20"/>
          <w:szCs w:val="20"/>
          <w:color w:val="auto"/>
        </w:rPr>
      </w:pPr>
      <w:r>
        <w:rPr>
          <w:rFonts w:ascii="Arial" w:cs="Arial" w:eastAsia="Arial" w:hAnsi="Arial"/>
          <w:sz w:val="21"/>
          <w:szCs w:val="21"/>
          <w:color w:val="auto"/>
        </w:rPr>
        <w:t xml:space="preserve">In connection with the review and approval, if appropriate, of any Related Person Transaction, the Audit Committee will consider whether the transaction will compromise our professional standards included in our Code of Ethics. In the case of any Related Person Transaction involving an outside Director or nominee for Director, the Committee will also consider whether the transaction will compromise the Director’s status as an independent Director as prescribed in the NYSE Listed Company Manual, Section 303A, Independent Directors. The procedures followed by the Committee to evaluate transactions with Related Persons are also available on the Corporate Governance page of the Investor Relations section of our website at </w:t>
      </w:r>
      <w:r>
        <w:rPr>
          <w:rFonts w:ascii="Arial" w:cs="Arial" w:eastAsia="Arial" w:hAnsi="Arial"/>
          <w:sz w:val="21"/>
          <w:szCs w:val="21"/>
          <w:u w:val="single" w:color="auto"/>
          <w:color w:val="4289F7"/>
        </w:rPr>
        <w:t>unitil.com/investors</w:t>
      </w:r>
      <w:r>
        <w:rPr>
          <w:rFonts w:ascii="Arial" w:cs="Arial" w:eastAsia="Arial" w:hAnsi="Arial"/>
          <w:sz w:val="21"/>
          <w:szCs w:val="21"/>
          <w:color w:val="000000"/>
        </w:rPr>
        <w:t>.</w:t>
      </w:r>
    </w:p>
    <w:p>
      <w:pPr>
        <w:spacing w:after="0" w:line="200" w:lineRule="exact"/>
        <w:rPr>
          <w:sz w:val="20"/>
          <w:szCs w:val="20"/>
          <w:color w:val="auto"/>
        </w:rPr>
      </w:pPr>
    </w:p>
    <w:p>
      <w:pPr>
        <w:spacing w:after="0" w:line="287"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COMMUNICATION WITH THE BOARD</w:t>
      </w:r>
    </w:p>
    <w:p>
      <w:pPr>
        <w:spacing w:after="0" w:line="214" w:lineRule="exact"/>
        <w:rPr>
          <w:sz w:val="20"/>
          <w:szCs w:val="20"/>
          <w:color w:val="auto"/>
        </w:rPr>
      </w:pPr>
    </w:p>
    <w:p>
      <w:pPr>
        <w:ind w:left="640" w:right="40"/>
        <w:spacing w:after="0" w:line="238" w:lineRule="auto"/>
        <w:rPr>
          <w:sz w:val="20"/>
          <w:szCs w:val="20"/>
          <w:color w:val="auto"/>
        </w:rPr>
      </w:pPr>
      <w:r>
        <w:rPr>
          <w:rFonts w:ascii="Arial" w:cs="Arial" w:eastAsia="Arial" w:hAnsi="Arial"/>
          <w:sz w:val="21"/>
          <w:szCs w:val="21"/>
          <w:color w:val="auto"/>
        </w:rPr>
        <w:t xml:space="preserve">Shareholders and other interested parties who desire to communicate with the Board, a committee of the Board, the non-management or independent Directors as a group, or an individual member of the Board may do so in writing by sending a letter c/o Corporate Secretary, Unitil Corporation, 6 Liberty Lane West, Hampton, New Hampshire 03842-1720 or via email to </w:t>
      </w:r>
      <w:r>
        <w:rPr>
          <w:rFonts w:ascii="Arial" w:cs="Arial" w:eastAsia="Arial" w:hAnsi="Arial"/>
          <w:sz w:val="21"/>
          <w:szCs w:val="21"/>
          <w:u w:val="single" w:color="auto"/>
          <w:color w:val="4289F7"/>
        </w:rPr>
        <w:t>simpsoncb@unitil.com</w:t>
      </w:r>
      <w:r>
        <w:rPr>
          <w:rFonts w:ascii="Arial" w:cs="Arial" w:eastAsia="Arial" w:hAnsi="Arial"/>
          <w:sz w:val="21"/>
          <w:szCs w:val="21"/>
          <w:color w:val="auto"/>
        </w:rPr>
        <w:t>. The Corporate Secretary will screen all correspondence for security purposes, and will also determine whether the communication relates to business matters that are relevant to us. If the correspondence meets these standards, it will be promptly forwarded to the appropriate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148590</wp:posOffset>
            </wp:positionV>
            <wp:extent cx="6337300" cy="825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620"/>
          </w:cols>
          <w:pgMar w:left="320" w:top="470" w:right="9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NOMINATIONS</w:t>
      </w:r>
    </w:p>
    <w:p>
      <w:pPr>
        <w:spacing w:after="0" w:line="214" w:lineRule="exact"/>
        <w:rPr>
          <w:sz w:val="20"/>
          <w:szCs w:val="20"/>
          <w:color w:val="auto"/>
        </w:rPr>
      </w:pPr>
    </w:p>
    <w:p>
      <w:pPr>
        <w:ind w:left="640" w:right="200"/>
        <w:spacing w:after="0" w:line="255" w:lineRule="auto"/>
        <w:rPr>
          <w:sz w:val="20"/>
          <w:szCs w:val="20"/>
          <w:color w:val="auto"/>
        </w:rPr>
      </w:pPr>
      <w:r>
        <w:rPr>
          <w:rFonts w:ascii="Arial" w:cs="Arial" w:eastAsia="Arial" w:hAnsi="Arial"/>
          <w:sz w:val="20"/>
          <w:szCs w:val="20"/>
          <w:color w:val="auto"/>
        </w:rPr>
        <w:t>The Nominating and Governance Committee is responsible for recommending to the Board the slate of Director nominees for election by our shareholders. The Board reviews and, as appropriate, approves all Director nominees to be presented to our shareholders for election. As provided in Article III of our Bylaws, any vacancy occurring in the Board, whether due to the death, resignation or other inability to serve of any Director previously elected may be filled by the affirmative vote of a majority of the remaining Directors.</w:t>
      </w: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General Nomination Process</w:t>
      </w:r>
    </w:p>
    <w:p>
      <w:pPr>
        <w:spacing w:after="0" w:line="214" w:lineRule="exact"/>
        <w:rPr>
          <w:sz w:val="20"/>
          <w:szCs w:val="20"/>
          <w:color w:val="auto"/>
        </w:rPr>
      </w:pPr>
    </w:p>
    <w:p>
      <w:pPr>
        <w:ind w:left="640" w:right="40"/>
        <w:spacing w:after="0" w:line="235" w:lineRule="auto"/>
        <w:rPr>
          <w:sz w:val="20"/>
          <w:szCs w:val="20"/>
          <w:color w:val="auto"/>
        </w:rPr>
      </w:pPr>
      <w:r>
        <w:rPr>
          <w:rFonts w:ascii="Arial" w:cs="Arial" w:eastAsia="Arial" w:hAnsi="Arial"/>
          <w:sz w:val="21"/>
          <w:szCs w:val="21"/>
          <w:color w:val="auto"/>
        </w:rPr>
        <w:t xml:space="preserve">The Nominating and Governance Committee determines the required selection criteria and qualifications for Director nominees based upon the needs of the Company at the time nominees are considered. See also the section entitled </w:t>
      </w:r>
      <w:r>
        <w:rPr>
          <w:rFonts w:ascii="Arial" w:cs="Arial" w:eastAsia="Arial" w:hAnsi="Arial"/>
          <w:sz w:val="21"/>
          <w:szCs w:val="21"/>
          <w:i w:val="1"/>
          <w:iCs w:val="1"/>
          <w:color w:val="auto"/>
        </w:rPr>
        <w:t>Qualifications and Skills of Directors</w:t>
      </w:r>
      <w:r>
        <w:rPr>
          <w:rFonts w:ascii="Arial" w:cs="Arial" w:eastAsia="Arial" w:hAnsi="Arial"/>
          <w:sz w:val="21"/>
          <w:szCs w:val="21"/>
          <w:color w:val="auto"/>
        </w:rPr>
        <w:t xml:space="preserve"> below. Director candidates will be selected based on input from Directors, executive officers, and if the Committee deems appropriate, a third-party search firm. Minimum criteria for Director nominees are set forth below, as well as in the Corporate Governance Guidelines. A candidate must possess the ability to apply good business judgment and must be in a position to properly exercise his or her duties of loyalty and care. Candidates with potential conflicts of interest will be identified and disqualified, as appropriate. The Committee shall ensure there is a robust and diverse initial pool of director candidates. In addition, the Committee will consider criteria including independence, proven leadership capabilities, business experience, areas of expertise, board size and culture, and factors relating to the composition of the Board. The Committee will consider these criteria for nominees identified by the Committee, by other Directors, by shareholders, or through another source. When current Board members are considered for nomination for re-election, the Committee also considers prior Board contributions, performance, meeting preparedness and attendance records.</w:t>
      </w:r>
    </w:p>
    <w:p>
      <w:pPr>
        <w:spacing w:after="0" w:line="172" w:lineRule="exact"/>
        <w:rPr>
          <w:sz w:val="20"/>
          <w:szCs w:val="20"/>
          <w:color w:val="auto"/>
        </w:rPr>
      </w:pPr>
    </w:p>
    <w:p>
      <w:pPr>
        <w:ind w:left="640" w:right="40"/>
        <w:spacing w:after="0" w:line="236" w:lineRule="auto"/>
        <w:rPr>
          <w:sz w:val="20"/>
          <w:szCs w:val="20"/>
          <w:color w:val="auto"/>
        </w:rPr>
      </w:pPr>
      <w:r>
        <w:rPr>
          <w:rFonts w:ascii="Arial" w:cs="Arial" w:eastAsia="Arial" w:hAnsi="Arial"/>
          <w:sz w:val="21"/>
          <w:szCs w:val="21"/>
          <w:color w:val="auto"/>
        </w:rPr>
        <w:t>The Committee makes a preliminary assessment of each proposed nominee based upon his or her resume and biographical information, an indication of his or her willingness to serve and other background information. This information is evaluated against the criteria set forth above as well as our specific needs at the time. Based upon a preliminary assessment of the candidate(s), those who appear best suited to meet our needs may be invited to participate in a series of interviews, which are used for further evaluation. On the basis of information collected during this process, the Committee determines which nominee(s) to recommend to the Board for approval to submit for election at the next annual meeting of shareholders, or to fill vacancies on the Board that occur between shareholder meetings. The Committee uses the same process for evaluating all nominees, regardless of the source of the nomination. The Board may elect, at its discretion, to participate in an additional round(s) of interviews with one or all candidate(s) recommended by the Committee.</w:t>
      </w:r>
    </w:p>
    <w:p>
      <w:pPr>
        <w:spacing w:after="0" w:line="169" w:lineRule="exact"/>
        <w:rPr>
          <w:sz w:val="20"/>
          <w:szCs w:val="20"/>
          <w:color w:val="auto"/>
        </w:rPr>
      </w:pPr>
    </w:p>
    <w:p>
      <w:pPr>
        <w:ind w:left="640" w:right="40"/>
        <w:spacing w:after="0" w:line="243" w:lineRule="auto"/>
        <w:rPr>
          <w:sz w:val="20"/>
          <w:szCs w:val="20"/>
          <w:color w:val="auto"/>
        </w:rPr>
      </w:pPr>
      <w:r>
        <w:rPr>
          <w:rFonts w:ascii="Arial" w:cs="Arial" w:eastAsia="Arial" w:hAnsi="Arial"/>
          <w:sz w:val="21"/>
          <w:szCs w:val="21"/>
          <w:color w:val="auto"/>
        </w:rPr>
        <w:t>The Committee’s comprehensive recruitment process resulted in the addition of eight outstanding and highly qualified Board members from 2019 through 2025, all of whom have varied and extensive experience and expertise, and complement the Board’s strong skill set for long-term sustainability and ongoing value creation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146685</wp:posOffset>
            </wp:positionV>
            <wp:extent cx="6337300" cy="825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620"/>
          </w:cols>
          <w:pgMar w:left="320" w:top="470" w:right="9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Shareholder Nominations</w:t>
      </w:r>
    </w:p>
    <w:p>
      <w:pPr>
        <w:spacing w:after="0" w:line="200" w:lineRule="exact"/>
        <w:rPr>
          <w:sz w:val="20"/>
          <w:szCs w:val="20"/>
          <w:color w:val="auto"/>
        </w:rPr>
      </w:pPr>
    </w:p>
    <w:p>
      <w:pPr>
        <w:ind w:left="640" w:right="60"/>
        <w:spacing w:after="0" w:line="248" w:lineRule="auto"/>
        <w:rPr>
          <w:sz w:val="20"/>
          <w:szCs w:val="20"/>
          <w:color w:val="auto"/>
        </w:rPr>
      </w:pPr>
      <w:r>
        <w:rPr>
          <w:rFonts w:ascii="Arial" w:cs="Arial" w:eastAsia="Arial" w:hAnsi="Arial"/>
          <w:sz w:val="20"/>
          <w:szCs w:val="20"/>
          <w:color w:val="auto"/>
        </w:rPr>
        <w:t xml:space="preserve">Shareholders who wish to recommend a nominee for consideration by the Committee may do so by sending the following information to the Committee c/o the Corporate Secretary at the address listed in the section entitled </w:t>
      </w:r>
      <w:r>
        <w:rPr>
          <w:rFonts w:ascii="Arial" w:cs="Arial" w:eastAsia="Arial" w:hAnsi="Arial"/>
          <w:sz w:val="20"/>
          <w:szCs w:val="20"/>
          <w:i w:val="1"/>
          <w:iCs w:val="1"/>
          <w:color w:val="auto"/>
        </w:rPr>
        <w:t>Corporate Governance – Governance Policies of the Board—Communication with the Board</w:t>
      </w:r>
      <w:r>
        <w:rPr>
          <w:rFonts w:ascii="Arial" w:cs="Arial" w:eastAsia="Arial" w:hAnsi="Arial"/>
          <w:sz w:val="20"/>
          <w:szCs w:val="20"/>
          <w:color w:val="auto"/>
        </w:rPr>
        <w:t>: (1) the name of the candidate with brief biographical information and his or her resume; (2) contact information for the candidate and a document evidencing the candidate’s willingness to serve as a Director if elected; and</w:t>
      </w:r>
    </w:p>
    <w:p>
      <w:pPr>
        <w:spacing w:after="0" w:line="1" w:lineRule="exact"/>
        <w:rPr>
          <w:sz w:val="20"/>
          <w:szCs w:val="20"/>
          <w:color w:val="auto"/>
        </w:rPr>
      </w:pPr>
    </w:p>
    <w:p>
      <w:pPr>
        <w:ind w:left="640" w:right="660" w:hanging="6"/>
        <w:spacing w:after="0" w:line="245" w:lineRule="auto"/>
        <w:tabs>
          <w:tab w:leader="none" w:pos="952" w:val="left"/>
        </w:tabs>
        <w:numPr>
          <w:ilvl w:val="0"/>
          <w:numId w:val="23"/>
        </w:numPr>
        <w:rPr>
          <w:rFonts w:ascii="Arial" w:cs="Arial" w:eastAsia="Arial" w:hAnsi="Arial"/>
          <w:sz w:val="21"/>
          <w:szCs w:val="21"/>
          <w:color w:val="auto"/>
        </w:rPr>
      </w:pPr>
      <w:r>
        <w:rPr>
          <w:rFonts w:ascii="Arial" w:cs="Arial" w:eastAsia="Arial" w:hAnsi="Arial"/>
          <w:sz w:val="21"/>
          <w:szCs w:val="21"/>
          <w:color w:val="auto"/>
        </w:rPr>
        <w:t>a signed statement as to the submitting shareholder’s current status as a shareholder and proof of ownership of the number of shares currently held.</w:t>
      </w:r>
    </w:p>
    <w:p>
      <w:pPr>
        <w:spacing w:after="0" w:line="163" w:lineRule="exact"/>
        <w:rPr>
          <w:sz w:val="20"/>
          <w:szCs w:val="20"/>
          <w:color w:val="auto"/>
        </w:rPr>
      </w:pPr>
    </w:p>
    <w:p>
      <w:pPr>
        <w:ind w:left="640" w:right="80"/>
        <w:spacing w:after="0" w:line="264" w:lineRule="auto"/>
        <w:rPr>
          <w:sz w:val="20"/>
          <w:szCs w:val="20"/>
          <w:color w:val="auto"/>
        </w:rPr>
      </w:pPr>
      <w:r>
        <w:rPr>
          <w:rFonts w:ascii="Arial" w:cs="Arial" w:eastAsia="Arial" w:hAnsi="Arial"/>
          <w:sz w:val="21"/>
          <w:szCs w:val="21"/>
          <w:color w:val="auto"/>
        </w:rPr>
        <w:t xml:space="preserve">Additionally, nominations of persons for election to the Board made by any of our shareholders must comply with all procedures set forth in </w:t>
      </w:r>
      <w:r>
        <w:rPr>
          <w:rFonts w:ascii="Arial" w:cs="Arial" w:eastAsia="Arial" w:hAnsi="Arial"/>
          <w:sz w:val="21"/>
          <w:szCs w:val="21"/>
          <w:i w:val="1"/>
          <w:iCs w:val="1"/>
          <w:color w:val="auto"/>
        </w:rPr>
        <w:t>Article IV – Nomination of Directors</w:t>
      </w:r>
      <w:r>
        <w:rPr>
          <w:rFonts w:ascii="Arial" w:cs="Arial" w:eastAsia="Arial" w:hAnsi="Arial"/>
          <w:sz w:val="21"/>
          <w:szCs w:val="21"/>
          <w:color w:val="auto"/>
        </w:rPr>
        <w:t xml:space="preserve"> of our Bylaws.</w:t>
      </w:r>
    </w:p>
    <w:p>
      <w:pPr>
        <w:spacing w:after="0" w:line="144" w:lineRule="exact"/>
        <w:rPr>
          <w:sz w:val="20"/>
          <w:szCs w:val="20"/>
          <w:color w:val="auto"/>
        </w:rPr>
      </w:pPr>
    </w:p>
    <w:p>
      <w:pPr>
        <w:ind w:left="640" w:right="400"/>
        <w:spacing w:after="0" w:line="264" w:lineRule="auto"/>
        <w:rPr>
          <w:sz w:val="20"/>
          <w:szCs w:val="20"/>
          <w:color w:val="auto"/>
        </w:rPr>
      </w:pPr>
      <w:r>
        <w:rPr>
          <w:rFonts w:ascii="Arial" w:cs="Arial" w:eastAsia="Arial" w:hAnsi="Arial"/>
          <w:sz w:val="21"/>
          <w:szCs w:val="21"/>
          <w:color w:val="auto"/>
        </w:rPr>
        <w:t>No candidates for Director nominees were submitted to the Committee by any shareholder in connection with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3319780</wp:posOffset>
            </wp:positionH>
            <wp:positionV relativeFrom="paragraph">
              <wp:posOffset>125095</wp:posOffset>
            </wp:positionV>
            <wp:extent cx="3424555" cy="2722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4555" cy="2722880"/>
                    </a:xfrm>
                    <a:prstGeom prst="rect">
                      <a:avLst/>
                    </a:prstGeom>
                    <a:noFill/>
                  </pic:spPr>
                </pic:pic>
              </a:graphicData>
            </a:graphic>
          </wp:anchor>
        </w:drawing>
      </w:r>
    </w:p>
    <w:p>
      <w:pPr>
        <w:sectPr>
          <w:pgSz w:w="11900" w:h="16838" w:orient="portrait"/>
          <w:cols w:equalWidth="0" w:num="1">
            <w:col w:w="10620"/>
          </w:cols>
          <w:pgMar w:left="320" w:top="470" w:right="959" w:bottom="1440" w:gutter="0" w:footer="0" w:header="0"/>
        </w:sectPr>
      </w:pPr>
    </w:p>
    <w:p>
      <w:pPr>
        <w:spacing w:after="0" w:line="252"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SHAREHOLDER RIGHTS</w:t>
      </w:r>
    </w:p>
    <w:p>
      <w:pPr>
        <w:spacing w:after="0" w:line="292" w:lineRule="exact"/>
        <w:rPr>
          <w:sz w:val="20"/>
          <w:szCs w:val="20"/>
          <w:color w:val="auto"/>
        </w:rPr>
      </w:pPr>
    </w:p>
    <w:p>
      <w:pPr>
        <w:ind w:left="640"/>
        <w:spacing w:after="0" w:line="259" w:lineRule="auto"/>
        <w:rPr>
          <w:sz w:val="20"/>
          <w:szCs w:val="20"/>
          <w:color w:val="auto"/>
        </w:rPr>
      </w:pPr>
      <w:r>
        <w:rPr>
          <w:rFonts w:ascii="Arial" w:cs="Arial" w:eastAsia="Arial" w:hAnsi="Arial"/>
          <w:sz w:val="20"/>
          <w:szCs w:val="20"/>
          <w:color w:val="auto"/>
        </w:rPr>
        <w:t>Our shareholders are entitled to certain rights granted in our Bylaws and Articles of Incorporation, as well as those prescribed by the New Hampshire Business Corporation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1911350</wp:posOffset>
            </wp:positionV>
            <wp:extent cx="29210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21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9"/>
          <w:szCs w:val="19"/>
          <w:b w:val="1"/>
          <w:bCs w:val="1"/>
          <w:color w:val="auto"/>
        </w:rPr>
        <w:t>Shareholder Rights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  We do not have classes of stock with unequal voting rights.</w:t>
      </w:r>
    </w:p>
    <w:p>
      <w:pPr>
        <w:spacing w:after="0" w:line="207" w:lineRule="exact"/>
        <w:rPr>
          <w:sz w:val="20"/>
          <w:szCs w:val="20"/>
          <w:color w:val="auto"/>
        </w:rPr>
      </w:pPr>
    </w:p>
    <w:p>
      <w:pPr>
        <w:ind w:left="180" w:right="760" w:hanging="81"/>
        <w:spacing w:after="0" w:line="359" w:lineRule="auto"/>
        <w:rPr>
          <w:sz w:val="20"/>
          <w:szCs w:val="20"/>
          <w:color w:val="auto"/>
        </w:rPr>
      </w:pPr>
      <w:r>
        <w:rPr>
          <w:rFonts w:ascii="Arial" w:cs="Arial" w:eastAsia="Arial" w:hAnsi="Arial"/>
          <w:sz w:val="17"/>
          <w:szCs w:val="17"/>
          <w:color w:val="auto"/>
        </w:rPr>
        <w:t>  All shareholders are entitled to vote for all current director nominees.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  We do not have a poison pill in effect.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  No shareholder has a preemptive right.</w:t>
      </w:r>
    </w:p>
    <w:p>
      <w:pPr>
        <w:spacing w:after="0" w:line="195" w:lineRule="exact"/>
        <w:rPr>
          <w:sz w:val="20"/>
          <w:szCs w:val="20"/>
          <w:color w:val="auto"/>
        </w:rPr>
      </w:pPr>
    </w:p>
    <w:p>
      <w:pPr>
        <w:ind w:left="180" w:right="80" w:hanging="81"/>
        <w:spacing w:after="0" w:line="359" w:lineRule="auto"/>
        <w:rPr>
          <w:sz w:val="20"/>
          <w:szCs w:val="20"/>
          <w:color w:val="auto"/>
        </w:rPr>
      </w:pPr>
      <w:r>
        <w:rPr>
          <w:rFonts w:ascii="Arial" w:cs="Arial" w:eastAsia="Arial" w:hAnsi="Arial"/>
          <w:sz w:val="17"/>
          <w:szCs w:val="17"/>
          <w:color w:val="auto"/>
        </w:rPr>
        <w:t>  The Board is authorized to issue only shares of common stock, no  par value; no preferred stock is authorized.</w:t>
      </w:r>
    </w:p>
    <w:p>
      <w:pPr>
        <w:spacing w:after="0" w:line="13" w:lineRule="exact"/>
        <w:rPr>
          <w:sz w:val="20"/>
          <w:szCs w:val="20"/>
          <w:color w:val="auto"/>
        </w:rPr>
      </w:pPr>
    </w:p>
    <w:p>
      <w:pPr>
        <w:ind w:left="180" w:right="40" w:hanging="81"/>
        <w:spacing w:after="0" w:line="359" w:lineRule="auto"/>
        <w:rPr>
          <w:sz w:val="20"/>
          <w:szCs w:val="20"/>
          <w:color w:val="auto"/>
        </w:rPr>
      </w:pPr>
      <w:r>
        <w:rPr>
          <w:rFonts w:ascii="Arial" w:cs="Arial" w:eastAsia="Arial" w:hAnsi="Arial"/>
          <w:sz w:val="17"/>
          <w:szCs w:val="17"/>
          <w:color w:val="auto"/>
        </w:rPr>
        <w:t>  Our Articles of Incorporation and our Bylaws may be amended by   shareholders with a simple majority vote.</w:t>
      </w:r>
    </w:p>
    <w:p>
      <w:pPr>
        <w:spacing w:after="0" w:line="13" w:lineRule="exact"/>
        <w:rPr>
          <w:sz w:val="20"/>
          <w:szCs w:val="20"/>
          <w:color w:val="auto"/>
        </w:rPr>
      </w:pPr>
    </w:p>
    <w:p>
      <w:pPr>
        <w:ind w:left="180" w:right="140" w:hanging="81"/>
        <w:spacing w:after="0" w:line="359" w:lineRule="auto"/>
        <w:rPr>
          <w:sz w:val="20"/>
          <w:szCs w:val="20"/>
          <w:color w:val="auto"/>
        </w:rPr>
      </w:pPr>
      <w:r>
        <w:rPr>
          <w:rFonts w:ascii="Arial" w:cs="Arial" w:eastAsia="Arial" w:hAnsi="Arial"/>
          <w:sz w:val="17"/>
          <w:szCs w:val="17"/>
          <w:color w:val="auto"/>
        </w:rPr>
        <w:t>  Shareholder approval is required to materially modify our 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224790</wp:posOffset>
            </wp:positionV>
            <wp:extent cx="3325495" cy="825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25495" cy="825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400"/>
            <w:col w:w="5300"/>
          </w:cols>
          <w:pgMar w:left="320" w:top="470" w:right="959" w:bottom="1440" w:gutter="0" w:footer="0" w:header="0"/>
          <w:type w:val="continuous"/>
        </w:sectPr>
      </w:pPr>
    </w:p>
    <w:p>
      <w:pPr>
        <w:spacing w:after="0" w:line="371"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620"/>
          </w:cols>
          <w:pgMar w:left="320" w:top="470" w:right="9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3219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37300" cy="321945"/>
                    </a:xfrm>
                    <a:prstGeom prst="rect">
                      <a:avLst/>
                    </a:prstGeom>
                    <a:noFill/>
                  </pic:spPr>
                </pic:pic>
              </a:graphicData>
            </a:graphic>
          </wp:anchor>
        </w:drawing>
      </w:r>
    </w:p>
    <w:p>
      <w:pPr>
        <w:spacing w:after="0" w:line="361" w:lineRule="exact"/>
        <w:rPr>
          <w:sz w:val="20"/>
          <w:szCs w:val="20"/>
          <w:color w:val="auto"/>
        </w:rPr>
      </w:pPr>
    </w:p>
    <w:p>
      <w:pPr>
        <w:ind w:left="2340"/>
        <w:spacing w:after="0"/>
        <w:rPr>
          <w:sz w:val="20"/>
          <w:szCs w:val="20"/>
          <w:color w:val="auto"/>
        </w:rPr>
      </w:pPr>
      <w:r>
        <w:rPr>
          <w:rFonts w:ascii="Arial" w:cs="Arial" w:eastAsia="Arial" w:hAnsi="Arial"/>
          <w:sz w:val="31"/>
          <w:szCs w:val="31"/>
          <w:b w:val="1"/>
          <w:bCs w:val="1"/>
          <w:color w:val="auto"/>
        </w:rPr>
        <w:t>QUALIFICATIONS &amp; SKILLS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64135</wp:posOffset>
            </wp:positionV>
            <wp:extent cx="63373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01" w:lineRule="exact"/>
        <w:rPr>
          <w:sz w:val="20"/>
          <w:szCs w:val="20"/>
          <w:color w:val="auto"/>
        </w:rPr>
      </w:pPr>
    </w:p>
    <w:p>
      <w:pPr>
        <w:ind w:left="640" w:right="120"/>
        <w:spacing w:after="0" w:line="248" w:lineRule="auto"/>
        <w:rPr>
          <w:sz w:val="20"/>
          <w:szCs w:val="20"/>
          <w:color w:val="auto"/>
        </w:rPr>
      </w:pPr>
      <w:r>
        <w:rPr>
          <w:rFonts w:ascii="Arial" w:cs="Arial" w:eastAsia="Arial" w:hAnsi="Arial"/>
          <w:sz w:val="21"/>
          <w:szCs w:val="21"/>
          <w:color w:val="auto"/>
        </w:rPr>
        <w:t>The Board believes there are general qualifications that all Directors must exhibit, and other qualifications, attributes, skills and experience that should be represented on the Board as a whole, but not necessarily by each Director.</w:t>
      </w:r>
    </w:p>
    <w:p>
      <w:pPr>
        <w:spacing w:after="0" w:line="373"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Qualifications Required of All Directors</w:t>
      </w:r>
    </w:p>
    <w:p>
      <w:pPr>
        <w:spacing w:after="0" w:line="214" w:lineRule="exact"/>
        <w:rPr>
          <w:sz w:val="20"/>
          <w:szCs w:val="20"/>
          <w:color w:val="auto"/>
        </w:rPr>
      </w:pPr>
    </w:p>
    <w:p>
      <w:pPr>
        <w:ind w:left="640" w:right="40"/>
        <w:spacing w:after="0" w:line="235" w:lineRule="auto"/>
        <w:rPr>
          <w:sz w:val="20"/>
          <w:szCs w:val="20"/>
          <w:color w:val="auto"/>
        </w:rPr>
      </w:pPr>
      <w:r>
        <w:rPr>
          <w:rFonts w:ascii="Arial" w:cs="Arial" w:eastAsia="Arial" w:hAnsi="Arial"/>
          <w:sz w:val="21"/>
          <w:szCs w:val="21"/>
          <w:color w:val="auto"/>
        </w:rPr>
        <w:t>The Board requires that each Director be a person of high integrity and superior ethical character with a proven record of leadership and accomplishment in his or her chosen field. Each Director must demonstrate innovative and independent thinking, understand complex principles of business, finance, and utility regulation, and demonstrate familiarity with and respect for corporate governance requirements and practices. Directors must also comply unequivocally with the Code of Ethics, and be free of conflicts or potential conflicts of interest, and a sufficient number of Directors must meet the requirements of independence as set forth by the NYSE, as appropriate. Directors must be willing and able to dedicate the proper amount of time and effort to service on the Board as necessary to fulfill his or her responsibilities as a Director. Independent members of the Board may not serve on more than four boards of for-profit companies in addition to the Unitil Board. Non-independent members of the Board may not serve on more than two boards of for-profit companies in addition to the Unitil Board. Service on boards of non-profit organizations, other industry associations, and community or civic groups is not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154305</wp:posOffset>
            </wp:positionV>
            <wp:extent cx="6337300" cy="908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620"/>
          </w:cols>
          <w:pgMar w:left="320" w:top="470" w:right="9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Qualifications, Attributes, Skills and Experience to be Represented on the Board</w:t>
      </w:r>
    </w:p>
    <w:p>
      <w:pPr>
        <w:spacing w:after="0" w:line="214" w:lineRule="exact"/>
        <w:rPr>
          <w:sz w:val="20"/>
          <w:szCs w:val="20"/>
          <w:color w:val="auto"/>
        </w:rPr>
      </w:pPr>
    </w:p>
    <w:p>
      <w:pPr>
        <w:ind w:left="640" w:right="100"/>
        <w:spacing w:after="0" w:line="235" w:lineRule="auto"/>
        <w:rPr>
          <w:sz w:val="20"/>
          <w:szCs w:val="20"/>
          <w:color w:val="auto"/>
        </w:rPr>
      </w:pPr>
      <w:r>
        <w:rPr>
          <w:rFonts w:ascii="Arial" w:cs="Arial" w:eastAsia="Arial" w:hAnsi="Arial"/>
          <w:sz w:val="21"/>
          <w:szCs w:val="21"/>
          <w:color w:val="auto"/>
        </w:rPr>
        <w:t>The Board has identified certain qualifications, skills, experience and backgrounds that it believes are important to be represented on the Board. The Nominating and Governance Committee is charged with the responsibility of tracking the Directors’ professional experience and skill sets with a board inventory matrix (the “Skills Matrix”). The Skills Matrix is composed of 13 categories of skills and attributes considered by the Board and the Committee to be advantageous to the regulated utility business, as well as for a company of our size and complexity. The Committee uses this information to assess overall Board composition and to identify existing and potential gaps. This information is also used for recruiting and evaluation purposes when there is a vacancy, or an expected vacancy, on the Board. The Skills Matrix has proven to be a valuable tool in this assessment exercise. The Board strives to represent a meaningful cross-section of business and industry experience, education, and specialized skill sets with individuals who add quality to our corporate governance framework, and who fairly and without compromise execute their fiduciary duty to serve the best interests of our shareholders and all of our stakeholders.</w:t>
      </w:r>
    </w:p>
    <w:p>
      <w:pPr>
        <w:spacing w:after="0" w:line="177" w:lineRule="exact"/>
        <w:rPr>
          <w:sz w:val="20"/>
          <w:szCs w:val="20"/>
          <w:color w:val="auto"/>
        </w:rPr>
      </w:pPr>
    </w:p>
    <w:p>
      <w:pPr>
        <w:ind w:left="640" w:right="320"/>
        <w:spacing w:after="0" w:line="254" w:lineRule="auto"/>
        <w:rPr>
          <w:sz w:val="20"/>
          <w:szCs w:val="20"/>
          <w:color w:val="auto"/>
        </w:rPr>
      </w:pPr>
      <w:r>
        <w:rPr>
          <w:rFonts w:ascii="Arial" w:cs="Arial" w:eastAsia="Arial" w:hAnsi="Arial"/>
          <w:sz w:val="20"/>
          <w:szCs w:val="20"/>
          <w:color w:val="auto"/>
        </w:rPr>
        <w:t>The Skill Sets Summary provides a snapshot of key qualifications and experience that the Board believes should be represented for optimal oversight of our business and the effective exercise of its fiduciary duty</w:t>
      </w:r>
    </w:p>
    <w:p>
      <w:pPr>
        <w:spacing w:after="0" w:line="1" w:lineRule="exact"/>
        <w:rPr>
          <w:sz w:val="20"/>
          <w:szCs w:val="20"/>
          <w:color w:val="auto"/>
        </w:rPr>
      </w:pPr>
    </w:p>
    <w:p>
      <w:pPr>
        <w:ind w:left="6520" w:right="40"/>
        <w:spacing w:after="0" w:line="236" w:lineRule="auto"/>
        <w:rPr>
          <w:sz w:val="20"/>
          <w:szCs w:val="20"/>
          <w:color w:val="auto"/>
        </w:rPr>
      </w:pPr>
      <w:r>
        <w:rPr>
          <w:rFonts w:ascii="Arial" w:cs="Arial" w:eastAsia="Arial" w:hAnsi="Arial"/>
          <w:sz w:val="21"/>
          <w:szCs w:val="21"/>
          <w:color w:val="auto"/>
        </w:rPr>
        <w:t>to shareholders. The information provided in the Skill Sets Summary was determined using the skills and demographics declaration where each Board member self-identifies their strongest skill 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-485140</wp:posOffset>
            </wp:positionV>
            <wp:extent cx="3614420" cy="2821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14420" cy="2821940"/>
                    </a:xfrm>
                    <a:prstGeom prst="rect">
                      <a:avLst/>
                    </a:prstGeom>
                    <a:noFill/>
                  </pic:spPr>
                </pic:pic>
              </a:graphicData>
            </a:graphic>
          </wp:anchor>
        </w:drawing>
      </w:r>
    </w:p>
    <w:p>
      <w:pPr>
        <w:spacing w:after="0" w:line="150" w:lineRule="exact"/>
        <w:rPr>
          <w:sz w:val="20"/>
          <w:szCs w:val="20"/>
          <w:color w:val="auto"/>
        </w:rPr>
      </w:pPr>
    </w:p>
    <w:p>
      <w:pPr>
        <w:ind w:left="6520"/>
        <w:spacing w:after="0" w:line="245" w:lineRule="auto"/>
        <w:rPr>
          <w:sz w:val="20"/>
          <w:szCs w:val="20"/>
          <w:color w:val="auto"/>
        </w:rPr>
      </w:pPr>
      <w:r>
        <w:rPr>
          <w:rFonts w:ascii="Arial" w:cs="Arial" w:eastAsia="Arial" w:hAnsi="Arial"/>
          <w:sz w:val="20"/>
          <w:szCs w:val="20"/>
          <w:color w:val="auto"/>
        </w:rPr>
        <w:t>Directors standing for re-election are also evaluated by the Committee for recommendation to the Board using a set procedure based on the expectations of Board members, which is reviewed annually. The evaluation includes contribution to the Board and committees served upon; unique skills, expertise and attributes; attendance and preparedness; and willingness to continue serving. Overall continuity and chemistry of the Board are also considerations, as well as factors relating to the composition of the Board, such as size and structure, and the backgrounds, perspectives, experience and skills among its members. The evaluation also includes a discussion with Mr. Meissner to address any</w:t>
      </w:r>
    </w:p>
    <w:p>
      <w:pPr>
        <w:spacing w:after="0" w:line="5" w:lineRule="exact"/>
        <w:rPr>
          <w:sz w:val="20"/>
          <w:szCs w:val="20"/>
          <w:color w:val="auto"/>
        </w:rPr>
      </w:pPr>
    </w:p>
    <w:p>
      <w:pPr>
        <w:ind w:left="640" w:right="320"/>
        <w:spacing w:after="0" w:line="239" w:lineRule="auto"/>
        <w:rPr>
          <w:sz w:val="20"/>
          <w:szCs w:val="20"/>
          <w:color w:val="auto"/>
        </w:rPr>
      </w:pPr>
      <w:r>
        <w:rPr>
          <w:rFonts w:ascii="Arial" w:cs="Arial" w:eastAsia="Arial" w:hAnsi="Arial"/>
          <w:sz w:val="21"/>
          <w:szCs w:val="21"/>
          <w:color w:val="auto"/>
        </w:rPr>
        <w:t>concerns, desire to continue serving, or any other matters. Tenure on the Board is considered to be a uniquely valuable qualification in the highly regulated utility industry, although the Board recognizes that a range of tenure is beneficial to avoid complacency and/or Board entrenchment.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147955</wp:posOffset>
            </wp:positionV>
            <wp:extent cx="6337300" cy="825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620"/>
          </w:cols>
          <w:pgMar w:left="320" w:top="470" w:right="9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40"/>
        <w:spacing w:after="0" w:line="243" w:lineRule="auto"/>
        <w:rPr>
          <w:sz w:val="20"/>
          <w:szCs w:val="20"/>
          <w:color w:val="auto"/>
        </w:rPr>
      </w:pPr>
      <w:r>
        <w:rPr>
          <w:rFonts w:ascii="Arial" w:cs="Arial" w:eastAsia="Arial" w:hAnsi="Arial"/>
          <w:sz w:val="21"/>
          <w:szCs w:val="21"/>
          <w:color w:val="auto"/>
        </w:rPr>
        <w:t>The Nominating and Governance Committee reviews the Skills Matrix to ensure it continues to reflect the most relevant and essential expertise and identify any gaps in advance of the recruitment of new Board members. It is expected that the Committee will review the Skills Matrix before year-end 2026 and make any necessary changes at that time.</w:t>
      </w:r>
    </w:p>
    <w:p>
      <w:pPr>
        <w:spacing w:after="0" w:line="200" w:lineRule="exact"/>
        <w:rPr>
          <w:sz w:val="20"/>
          <w:szCs w:val="20"/>
          <w:color w:val="auto"/>
        </w:rPr>
      </w:pPr>
    </w:p>
    <w:p>
      <w:pPr>
        <w:spacing w:after="0" w:line="272"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BOARD COMPOSITION</w:t>
      </w:r>
    </w:p>
    <w:p>
      <w:pPr>
        <w:spacing w:after="0" w:line="216" w:lineRule="exact"/>
        <w:rPr>
          <w:sz w:val="20"/>
          <w:szCs w:val="20"/>
          <w:color w:val="auto"/>
        </w:rPr>
      </w:pPr>
    </w:p>
    <w:p>
      <w:pPr>
        <w:ind w:left="640"/>
        <w:spacing w:after="0" w:line="239" w:lineRule="auto"/>
        <w:rPr>
          <w:sz w:val="20"/>
          <w:szCs w:val="20"/>
          <w:color w:val="auto"/>
        </w:rPr>
      </w:pPr>
      <w:r>
        <w:rPr>
          <w:rFonts w:ascii="Arial" w:cs="Arial" w:eastAsia="Arial" w:hAnsi="Arial"/>
          <w:sz w:val="21"/>
          <w:szCs w:val="21"/>
          <w:color w:val="auto"/>
        </w:rPr>
        <w:t>The Board’s policy is to ensure the composition of the Board reflects a balance of expertise and professional and life experience. To advance the Board’s policy, the Nominating and Governance Committee ensures that the initial list of candidates from which Board nominees are chosen includes one or more qualified candidates with wide-ranging demographics and targeted expertise as identified for the desired nominee(s). Also, any external search firm retained must also include in its initial list of candidates one or more qualified candidates within the same parameters.</w:t>
      </w:r>
    </w:p>
    <w:p>
      <w:pPr>
        <w:spacing w:after="0" w:line="168" w:lineRule="exact"/>
        <w:rPr>
          <w:sz w:val="20"/>
          <w:szCs w:val="20"/>
          <w:color w:val="auto"/>
        </w:rPr>
      </w:pPr>
    </w:p>
    <w:p>
      <w:pPr>
        <w:ind w:left="640" w:right="160"/>
        <w:spacing w:after="0" w:line="236" w:lineRule="auto"/>
        <w:rPr>
          <w:sz w:val="20"/>
          <w:szCs w:val="20"/>
          <w:color w:val="auto"/>
        </w:rPr>
      </w:pPr>
      <w:r>
        <w:rPr>
          <w:rFonts w:ascii="Arial" w:cs="Arial" w:eastAsia="Arial" w:hAnsi="Arial"/>
          <w:sz w:val="21"/>
          <w:szCs w:val="21"/>
          <w:color w:val="auto"/>
        </w:rPr>
        <w:t>The Board’s objective is to create a balanced and effective Board with experience-driven viewpoints and deep expertise. In pursuit of the objective, the Board seeks to create and maintain a well-functioning board, to build shareholder value, and ultimately, for the sustainability of our Company over the long term. The Board seeks to maintain a balanced demographic mix including competencies, background, perspectives, and life and professional experience, amongst other things, in the evaluation of all candidates for Board membership. The Board also considers how the experience and skill set of any new Director nominee complements those of existing Directors and fellow Director nominees. The Board feels strongly that a variety of points of view and both professional and life experiences contribute to a more effective decision-making process.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Skills and Demographics Declaration</w:t>
      </w:r>
    </w:p>
    <w:p>
      <w:pPr>
        <w:spacing w:after="0" w:line="96" w:lineRule="exact"/>
        <w:rPr>
          <w:sz w:val="20"/>
          <w:szCs w:val="20"/>
          <w:color w:val="auto"/>
        </w:rPr>
      </w:pPr>
    </w:p>
    <w:p>
      <w:pPr>
        <w:ind w:left="640" w:right="20"/>
        <w:spacing w:after="0" w:line="238" w:lineRule="auto"/>
        <w:rPr>
          <w:sz w:val="20"/>
          <w:szCs w:val="20"/>
          <w:color w:val="auto"/>
        </w:rPr>
      </w:pPr>
      <w:r>
        <w:rPr>
          <w:rFonts w:ascii="Arial" w:cs="Arial" w:eastAsia="Arial" w:hAnsi="Arial"/>
          <w:sz w:val="21"/>
          <w:szCs w:val="21"/>
          <w:color w:val="auto"/>
        </w:rPr>
        <w:t>The skills and demographics declaration is included in the Board’s general evaluation process to provide a means for each Board member to declare their strongest skill sets and to self-identify demographics. This information is used to inform ongoing accuracy of the Skills Matrix for Board succession planning needs, and to ensure accuracy in our disclosure of these items in our public documents. The most recent skills and demographics declaration was completed in 2024. The information gathered in this exercise is reflected in the skill sets summary in the prior section of this proxy statement. It is anticipated that Board members will complete the next skills and demographics declaration prior to year-end 2026.</w:t>
      </w: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SECTION 16(a) BENEFICIAL OWNERSHIP REPORTING COMPLIANCE</w:t>
      </w:r>
    </w:p>
    <w:p>
      <w:pPr>
        <w:spacing w:after="0" w:line="216" w:lineRule="exact"/>
        <w:rPr>
          <w:sz w:val="20"/>
          <w:szCs w:val="20"/>
          <w:color w:val="auto"/>
        </w:rPr>
      </w:pPr>
    </w:p>
    <w:p>
      <w:pPr>
        <w:ind w:left="640" w:right="880"/>
        <w:spacing w:after="0" w:line="264" w:lineRule="auto"/>
        <w:rPr>
          <w:sz w:val="20"/>
          <w:szCs w:val="20"/>
          <w:color w:val="auto"/>
        </w:rPr>
      </w:pPr>
      <w:r>
        <w:rPr>
          <w:rFonts w:ascii="Arial" w:cs="Arial" w:eastAsia="Arial" w:hAnsi="Arial"/>
          <w:sz w:val="21"/>
          <w:szCs w:val="21"/>
          <w:color w:val="auto"/>
        </w:rPr>
        <w:t xml:space="preserve">The subsection entitled </w:t>
      </w:r>
      <w:r>
        <w:rPr>
          <w:rFonts w:ascii="Arial" w:cs="Arial" w:eastAsia="Arial" w:hAnsi="Arial"/>
          <w:sz w:val="21"/>
          <w:szCs w:val="21"/>
          <w:i w:val="1"/>
          <w:iCs w:val="1"/>
          <w:color w:val="auto"/>
        </w:rPr>
        <w:t>Section 16(a) Beneficial Ownership Reporting Compliance</w:t>
      </w:r>
      <w:r>
        <w:rPr>
          <w:rFonts w:ascii="Arial" w:cs="Arial" w:eastAsia="Arial" w:hAnsi="Arial"/>
          <w:sz w:val="21"/>
          <w:szCs w:val="21"/>
          <w:color w:val="auto"/>
        </w:rPr>
        <w:t xml:space="preserve"> within the </w:t>
      </w:r>
      <w:r>
        <w:rPr>
          <w:rFonts w:ascii="Arial" w:cs="Arial" w:eastAsia="Arial" w:hAnsi="Arial"/>
          <w:sz w:val="21"/>
          <w:szCs w:val="21"/>
          <w:i w:val="1"/>
          <w:iCs w:val="1"/>
          <w:color w:val="auto"/>
        </w:rPr>
        <w:t>Share</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Ownership </w:t>
      </w:r>
      <w:r>
        <w:rPr>
          <w:rFonts w:ascii="Arial" w:cs="Arial" w:eastAsia="Arial" w:hAnsi="Arial"/>
          <w:sz w:val="21"/>
          <w:szCs w:val="21"/>
          <w:color w:val="auto"/>
        </w:rPr>
        <w:t>section of this proxy statement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133350</wp:posOffset>
            </wp:positionV>
            <wp:extent cx="6337300" cy="825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620"/>
          </w:cols>
          <w:pgMar w:left="320" w:top="470" w:right="9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3467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37300" cy="346710"/>
                    </a:xfrm>
                    <a:prstGeom prst="rect">
                      <a:avLst/>
                    </a:prstGeom>
                    <a:noFill/>
                  </pic:spPr>
                </pic:pic>
              </a:graphicData>
            </a:graphic>
          </wp:anchor>
        </w:drawing>
      </w:r>
    </w:p>
    <w:p>
      <w:pPr>
        <w:spacing w:after="0" w:line="374" w:lineRule="exact"/>
        <w:rPr>
          <w:sz w:val="20"/>
          <w:szCs w:val="20"/>
          <w:color w:val="auto"/>
        </w:rPr>
      </w:pPr>
    </w:p>
    <w:p>
      <w:pPr>
        <w:ind w:left="4340"/>
        <w:spacing w:after="0"/>
        <w:rPr>
          <w:sz w:val="20"/>
          <w:szCs w:val="20"/>
          <w:color w:val="auto"/>
        </w:rPr>
      </w:pPr>
      <w:r>
        <w:rPr>
          <w:rFonts w:ascii="Arial" w:cs="Arial" w:eastAsia="Arial" w:hAnsi="Arial"/>
          <w:sz w:val="31"/>
          <w:szCs w:val="31"/>
          <w:b w:val="1"/>
          <w:bCs w:val="1"/>
          <w:color w:val="auto"/>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80645</wp:posOffset>
            </wp:positionV>
            <wp:extent cx="63373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83" w:lineRule="exact"/>
        <w:rPr>
          <w:sz w:val="20"/>
          <w:szCs w:val="20"/>
          <w:color w:val="auto"/>
        </w:rPr>
      </w:pPr>
    </w:p>
    <w:p>
      <w:pPr>
        <w:ind w:left="3740"/>
        <w:spacing w:after="0"/>
        <w:rPr>
          <w:sz w:val="20"/>
          <w:szCs w:val="20"/>
          <w:color w:val="auto"/>
        </w:rPr>
      </w:pPr>
      <w:r>
        <w:rPr>
          <w:rFonts w:ascii="Arial" w:cs="Arial" w:eastAsia="Arial" w:hAnsi="Arial"/>
          <w:sz w:val="24"/>
          <w:szCs w:val="24"/>
          <w:b w:val="1"/>
          <w:bCs w:val="1"/>
          <w:color w:val="auto"/>
        </w:rPr>
        <w:t>Our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-160020</wp:posOffset>
            </wp:positionV>
            <wp:extent cx="1237615" cy="12706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37615" cy="1270635"/>
                    </a:xfrm>
                    <a:prstGeom prst="rect">
                      <a:avLst/>
                    </a:prstGeom>
                    <a:noFill/>
                  </pic:spPr>
                </pic:pic>
              </a:graphicData>
            </a:graphic>
          </wp:anchor>
        </w:drawing>
      </w:r>
    </w:p>
    <w:p>
      <w:pPr>
        <w:spacing w:after="0" w:line="220" w:lineRule="exact"/>
        <w:rPr>
          <w:sz w:val="20"/>
          <w:szCs w:val="20"/>
          <w:color w:val="auto"/>
        </w:rPr>
      </w:pPr>
    </w:p>
    <w:p>
      <w:pPr>
        <w:ind w:left="3740"/>
        <w:spacing w:after="0"/>
        <w:rPr>
          <w:sz w:val="20"/>
          <w:szCs w:val="20"/>
          <w:color w:val="auto"/>
        </w:rPr>
      </w:pPr>
      <w:r>
        <w:rPr>
          <w:rFonts w:ascii="Arial" w:cs="Arial" w:eastAsia="Arial" w:hAnsi="Arial"/>
          <w:sz w:val="21"/>
          <w:szCs w:val="21"/>
          <w:color w:val="auto"/>
        </w:rPr>
        <w:t>Sustainability is a defining characteristic of our future success.</w:t>
      </w:r>
    </w:p>
    <w:p>
      <w:pPr>
        <w:spacing w:after="0" w:line="226" w:lineRule="exact"/>
        <w:rPr>
          <w:sz w:val="20"/>
          <w:szCs w:val="20"/>
          <w:color w:val="auto"/>
        </w:rPr>
      </w:pPr>
    </w:p>
    <w:p>
      <w:pPr>
        <w:ind w:left="3740" w:right="220"/>
        <w:spacing w:after="0" w:line="259" w:lineRule="auto"/>
        <w:rPr>
          <w:sz w:val="20"/>
          <w:szCs w:val="20"/>
          <w:color w:val="auto"/>
        </w:rPr>
      </w:pPr>
      <w:r>
        <w:rPr>
          <w:rFonts w:ascii="Arial" w:cs="Arial" w:eastAsia="Arial" w:hAnsi="Arial"/>
          <w:sz w:val="20"/>
          <w:szCs w:val="20"/>
          <w:color w:val="auto"/>
        </w:rPr>
        <w:t>We have embraced the rapidly changing landscape of the utility industry as we prepare to meet the ever-changing energy needs of tomorrow and beyond. We are committed to sustainable practices and our corporate responsibilities as we work to expand clean energy choices for our</w:t>
      </w:r>
    </w:p>
    <w:p>
      <w:pPr>
        <w:spacing w:after="0" w:line="34" w:lineRule="exact"/>
        <w:rPr>
          <w:sz w:val="20"/>
          <w:szCs w:val="20"/>
          <w:color w:val="auto"/>
        </w:rPr>
      </w:pPr>
    </w:p>
    <w:p>
      <w:pPr>
        <w:ind w:left="640" w:right="380"/>
        <w:spacing w:after="0" w:line="237" w:lineRule="auto"/>
        <w:rPr>
          <w:sz w:val="20"/>
          <w:szCs w:val="20"/>
          <w:color w:val="auto"/>
        </w:rPr>
      </w:pPr>
      <w:r>
        <w:rPr>
          <w:rFonts w:ascii="Arial" w:cs="Arial" w:eastAsia="Arial" w:hAnsi="Arial"/>
          <w:sz w:val="21"/>
          <w:szCs w:val="21"/>
          <w:color w:val="auto"/>
        </w:rPr>
        <w:t>customers and ensure a reliable and affordable energy supply. Our commitment to a sustainable future reflects a broad set of objectives including operational excellence, superior customer service, affordable rates, service to our communities, environmental stewardship, a steadfast commitment to safety, and the growth and well-being of our employees. Sustainability is fully embedded in our key initiatives and strategies, our leadership development and workforce planning, our RISE values (Respect, Integrity, Stewardship and Excellence) and the tone at the top. Further, as defined in the Board Charter, the Board maintains oversight responsibility of our Company’s sustainability commitment, objective, and strategic initiatives.</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Commitment to our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-135890</wp:posOffset>
            </wp:positionV>
            <wp:extent cx="923925" cy="13531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23925" cy="1353185"/>
                    </a:xfrm>
                    <a:prstGeom prst="rect">
                      <a:avLst/>
                    </a:prstGeom>
                    <a:noFill/>
                  </pic:spPr>
                </pic:pic>
              </a:graphicData>
            </a:graphic>
          </wp:anchor>
        </w:drawing>
      </w:r>
    </w:p>
    <w:p>
      <w:pPr>
        <w:spacing w:after="0" w:line="89" w:lineRule="exact"/>
        <w:rPr>
          <w:sz w:val="20"/>
          <w:szCs w:val="20"/>
          <w:color w:val="auto"/>
        </w:rPr>
      </w:pPr>
    </w:p>
    <w:p>
      <w:pPr>
        <w:ind w:left="640" w:right="2920"/>
        <w:spacing w:after="0" w:line="238" w:lineRule="auto"/>
        <w:rPr>
          <w:sz w:val="20"/>
          <w:szCs w:val="20"/>
          <w:color w:val="auto"/>
        </w:rPr>
      </w:pPr>
      <w:r>
        <w:rPr>
          <w:rFonts w:ascii="Arial" w:cs="Arial" w:eastAsia="Arial" w:hAnsi="Arial"/>
          <w:sz w:val="21"/>
          <w:szCs w:val="21"/>
          <w:color w:val="auto"/>
        </w:rPr>
        <w:t>We are committed to reduce Company-wide direct greenhouse gas emissions from 2019 levels by at least 50 percent by 2030, and to achieve net-zero emissions by 2050. These goals are part of our overall commitment to environmental stewardship, sustainability and corporate responsibility, and are consistent with goals established under the Paris Climate Agreement. We continue to make good progress toward meeting our goals in 2030 and 2050.</w:t>
      </w:r>
    </w:p>
    <w:p>
      <w:pPr>
        <w:spacing w:after="0" w:line="37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Commitment to our Culture and our Employees</w:t>
      </w:r>
    </w:p>
    <w:p>
      <w:pPr>
        <w:spacing w:after="0" w:line="109" w:lineRule="exact"/>
        <w:rPr>
          <w:sz w:val="20"/>
          <w:szCs w:val="20"/>
          <w:color w:val="auto"/>
        </w:rPr>
      </w:pPr>
    </w:p>
    <w:p>
      <w:pPr>
        <w:ind w:left="640" w:right="120"/>
        <w:spacing w:after="0" w:line="261" w:lineRule="auto"/>
        <w:rPr>
          <w:sz w:val="20"/>
          <w:szCs w:val="20"/>
          <w:color w:val="auto"/>
        </w:rPr>
      </w:pPr>
      <w:r>
        <w:rPr>
          <w:rFonts w:ascii="Arial" w:cs="Arial" w:eastAsia="Arial" w:hAnsi="Arial"/>
          <w:sz w:val="20"/>
          <w:szCs w:val="20"/>
          <w:color w:val="auto"/>
        </w:rPr>
        <w:t>Our long-term success is dependent on both what we do and how we do it. Our employees are our greatest asset and human capital management is paramount to our long-term success. Our employees reflect a</w:t>
      </w:r>
    </w:p>
    <w:p>
      <w:pPr>
        <w:spacing w:after="0" w:line="1" w:lineRule="exact"/>
        <w:rPr>
          <w:sz w:val="20"/>
          <w:szCs w:val="20"/>
          <w:color w:val="auto"/>
        </w:rPr>
      </w:pPr>
    </w:p>
    <w:p>
      <w:pPr>
        <w:ind w:left="3040" w:right="120"/>
        <w:spacing w:after="0" w:line="232" w:lineRule="auto"/>
        <w:rPr>
          <w:sz w:val="20"/>
          <w:szCs w:val="20"/>
          <w:color w:val="auto"/>
        </w:rPr>
      </w:pPr>
      <w:r>
        <w:rPr>
          <w:rFonts w:ascii="Arial" w:cs="Arial" w:eastAsia="Arial" w:hAnsi="Arial"/>
          <w:sz w:val="21"/>
          <w:szCs w:val="21"/>
          <w:color w:val="auto"/>
        </w:rPr>
        <w:t>long-standing culture of dedication to inspired teamwork, constant collaboration, loyalty, and the insistence on the highest possible standards for ethical business practices. Our RISE values set the tone for our actions with all stakeholders, both internal and external. These values are shared by all employees in our organization, and are a source of pride and inspiration. We believe that, collectively, employees with individual differences, life experiences, and self-expression will lead not only to a better culture, but also to our long-term success and to greater achievements along the way. We are committed to an inclusive workplace in which employees feel valued and respected,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-1280160</wp:posOffset>
            </wp:positionV>
            <wp:extent cx="1229360" cy="12293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29360" cy="1229360"/>
                    </a:xfrm>
                    <a:prstGeom prst="rect">
                      <a:avLst/>
                    </a:prstGeom>
                    <a:noFill/>
                  </pic:spPr>
                </pic:pic>
              </a:graphicData>
            </a:graphic>
          </wp:anchor>
        </w:drawing>
      </w:r>
    </w:p>
    <w:p>
      <w:pPr>
        <w:ind w:left="640" w:right="980"/>
        <w:spacing w:after="0" w:line="245" w:lineRule="auto"/>
        <w:rPr>
          <w:sz w:val="20"/>
          <w:szCs w:val="20"/>
          <w:color w:val="auto"/>
        </w:rPr>
      </w:pPr>
      <w:r>
        <w:rPr>
          <w:rFonts w:ascii="Arial" w:cs="Arial" w:eastAsia="Arial" w:hAnsi="Arial"/>
          <w:sz w:val="21"/>
          <w:szCs w:val="21"/>
          <w:color w:val="auto"/>
        </w:rPr>
        <w:t>embrace the genuine benefits that focused and effective human capital management brings to our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144780</wp:posOffset>
            </wp:positionV>
            <wp:extent cx="6337300" cy="825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620"/>
          </w:cols>
          <w:pgMar w:left="320" w:top="470" w:right="9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Our Approach</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Tying Sustainability to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5241925</wp:posOffset>
            </wp:positionH>
            <wp:positionV relativeFrom="paragraph">
              <wp:posOffset>-135890</wp:posOffset>
            </wp:positionV>
            <wp:extent cx="1221105" cy="12293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21105" cy="1229360"/>
                    </a:xfrm>
                    <a:prstGeom prst="rect">
                      <a:avLst/>
                    </a:prstGeom>
                    <a:noFill/>
                  </pic:spPr>
                </pic:pic>
              </a:graphicData>
            </a:graphic>
          </wp:anchor>
        </w:drawing>
      </w:r>
    </w:p>
    <w:p>
      <w:pPr>
        <w:spacing w:after="0" w:line="89" w:lineRule="exact"/>
        <w:rPr>
          <w:sz w:val="20"/>
          <w:szCs w:val="20"/>
          <w:color w:val="auto"/>
        </w:rPr>
      </w:pPr>
    </w:p>
    <w:p>
      <w:pPr>
        <w:ind w:left="640" w:right="3000"/>
        <w:spacing w:after="0" w:line="237" w:lineRule="auto"/>
        <w:rPr>
          <w:sz w:val="20"/>
          <w:szCs w:val="20"/>
          <w:color w:val="auto"/>
        </w:rPr>
      </w:pPr>
      <w:r>
        <w:rPr>
          <w:rFonts w:ascii="Arial" w:cs="Arial" w:eastAsia="Arial" w:hAnsi="Arial"/>
          <w:sz w:val="21"/>
          <w:szCs w:val="21"/>
          <w:color w:val="auto"/>
        </w:rPr>
        <w:t>Effective and informed strategic planning is essential to achieving our long-term operational and financial goals within a changing environmental and social landscape. Sustainability is embedded as a core element in our decision-making process to assist in guiding our strategic direction. Continuous focus on our strategic objectives and management of the critical success factors outlined in our Strategic Plan will ensure sustainable and beneficial growth for our shareholders, customers, employees, and all other stakeholders.</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Aligning Sustainability and Risk Management</w:t>
      </w:r>
    </w:p>
    <w:p>
      <w:pPr>
        <w:spacing w:after="0" w:line="96" w:lineRule="exact"/>
        <w:rPr>
          <w:sz w:val="20"/>
          <w:szCs w:val="20"/>
          <w:color w:val="auto"/>
        </w:rPr>
      </w:pPr>
    </w:p>
    <w:p>
      <w:pPr>
        <w:ind w:left="640" w:right="40"/>
        <w:spacing w:after="0" w:line="239" w:lineRule="auto"/>
        <w:rPr>
          <w:sz w:val="20"/>
          <w:szCs w:val="20"/>
          <w:color w:val="auto"/>
        </w:rPr>
      </w:pPr>
      <w:r>
        <w:rPr>
          <w:rFonts w:ascii="Arial" w:cs="Arial" w:eastAsia="Arial" w:hAnsi="Arial"/>
          <w:sz w:val="21"/>
          <w:szCs w:val="21"/>
          <w:color w:val="auto"/>
        </w:rPr>
        <w:t>As climate-related risks evolve, so does the need to align sustainability and the assessment of risk. Our goal is to continuously enhance our understanding of enterprise-wide risk and uncertainty with comprehensive evaluation of current risks, scenario planning, and quantitative analysis. These tools strengthen our ability to successfully integrate sustainability into our strategic decision-making processes. By doing so, we are better able to assess operational, environmental, and social uncertainties and weigh their potential implications for our strategic priorities.</w:t>
      </w:r>
    </w:p>
    <w:p>
      <w:pPr>
        <w:spacing w:after="0" w:line="380"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Our Practices and Priorities</w:t>
      </w:r>
    </w:p>
    <w:p>
      <w:pPr>
        <w:spacing w:after="0" w:line="214" w:lineRule="exact"/>
        <w:rPr>
          <w:sz w:val="20"/>
          <w:szCs w:val="20"/>
          <w:color w:val="auto"/>
        </w:rPr>
      </w:pPr>
    </w:p>
    <w:p>
      <w:pPr>
        <w:ind w:left="640" w:right="80"/>
        <w:spacing w:after="0" w:line="243" w:lineRule="auto"/>
        <w:rPr>
          <w:sz w:val="20"/>
          <w:szCs w:val="20"/>
          <w:color w:val="auto"/>
        </w:rPr>
      </w:pPr>
      <w:r>
        <w:rPr>
          <w:rFonts w:ascii="Arial" w:cs="Arial" w:eastAsia="Arial" w:hAnsi="Arial"/>
          <w:sz w:val="21"/>
          <w:szCs w:val="21"/>
          <w:color w:val="auto"/>
        </w:rPr>
        <w:t>Our values state clearly that sustainability initiatives are fundamental to and firmly rooted in our culture. This top-to-bottom emphasis on the very nature of sustainability helps ensure long-term benefits and value creation, and reflects our commitment to our corporate responsibilities to our shareholders, employees, customers, and society at large.</w:t>
      </w:r>
    </w:p>
    <w:p>
      <w:pPr>
        <w:spacing w:after="0" w:line="166" w:lineRule="exact"/>
        <w:rPr>
          <w:sz w:val="20"/>
          <w:szCs w:val="20"/>
          <w:color w:val="auto"/>
        </w:rPr>
      </w:pPr>
    </w:p>
    <w:p>
      <w:pPr>
        <w:ind w:left="640" w:right="100"/>
        <w:spacing w:after="0" w:line="248" w:lineRule="auto"/>
        <w:rPr>
          <w:sz w:val="20"/>
          <w:szCs w:val="20"/>
          <w:color w:val="auto"/>
        </w:rPr>
      </w:pPr>
      <w:r>
        <w:rPr>
          <w:rFonts w:ascii="Arial" w:cs="Arial" w:eastAsia="Arial" w:hAnsi="Arial"/>
          <w:sz w:val="21"/>
          <w:szCs w:val="21"/>
          <w:color w:val="auto"/>
        </w:rPr>
        <w:t>There are five key areas we believe are central to our Company and our industry as the transition to a sustainable future continues. By looking closely at each area, we have identified practices and priorities that demonstrate our commitment to long-term sustainability.</w:t>
      </w:r>
    </w:p>
    <w:p>
      <w:pPr>
        <w:spacing w:after="0" w:line="190" w:lineRule="exact"/>
        <w:rPr>
          <w:sz w:val="20"/>
          <w:szCs w:val="20"/>
          <w:color w:val="auto"/>
        </w:rPr>
      </w:pPr>
    </w:p>
    <w:p>
      <w:pPr>
        <w:ind w:left="1840"/>
        <w:spacing w:after="0"/>
        <w:rPr>
          <w:sz w:val="20"/>
          <w:szCs w:val="20"/>
          <w:color w:val="auto"/>
        </w:rPr>
      </w:pPr>
      <w:r>
        <w:rPr>
          <w:rFonts w:ascii="Arial" w:cs="Arial" w:eastAsia="Arial" w:hAnsi="Arial"/>
          <w:sz w:val="19"/>
          <w:szCs w:val="19"/>
          <w:b w:val="1"/>
          <w:bCs w:val="1"/>
          <w:color w:val="auto"/>
        </w:rPr>
        <w:t>GOVERNANCE &amp; 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-24130</wp:posOffset>
            </wp:positionV>
            <wp:extent cx="577850" cy="5861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7850" cy="586105"/>
                    </a:xfrm>
                    <a:prstGeom prst="rect">
                      <a:avLst/>
                    </a:prstGeom>
                    <a:noFill/>
                  </pic:spPr>
                </pic:pic>
              </a:graphicData>
            </a:graphic>
          </wp:anchor>
        </w:drawing>
      </w:r>
    </w:p>
    <w:p>
      <w:pPr>
        <w:spacing w:after="0" w:line="88" w:lineRule="exact"/>
        <w:rPr>
          <w:sz w:val="20"/>
          <w:szCs w:val="20"/>
          <w:color w:val="auto"/>
        </w:rPr>
      </w:pPr>
    </w:p>
    <w:p>
      <w:pPr>
        <w:ind w:left="1840" w:right="140"/>
        <w:spacing w:after="0" w:line="263" w:lineRule="auto"/>
        <w:rPr>
          <w:sz w:val="20"/>
          <w:szCs w:val="20"/>
          <w:color w:val="auto"/>
        </w:rPr>
      </w:pPr>
      <w:r>
        <w:rPr>
          <w:rFonts w:ascii="Arial" w:cs="Arial" w:eastAsia="Arial" w:hAnsi="Arial"/>
          <w:sz w:val="19"/>
          <w:szCs w:val="19"/>
          <w:color w:val="auto"/>
        </w:rPr>
        <w:t>Comprehensive and effective corporate governance is key to the long-term success, sustainability, and ethical operation of our Company, including the successful transition to a clean energy future.</w:t>
      </w:r>
    </w:p>
    <w:p>
      <w:pPr>
        <w:spacing w:after="0" w:line="169" w:lineRule="exact"/>
        <w:rPr>
          <w:sz w:val="20"/>
          <w:szCs w:val="20"/>
          <w:color w:val="auto"/>
        </w:rPr>
      </w:pPr>
    </w:p>
    <w:p>
      <w:pPr>
        <w:ind w:left="1840"/>
        <w:spacing w:after="0"/>
        <w:rPr>
          <w:sz w:val="20"/>
          <w:szCs w:val="20"/>
          <w:color w:val="auto"/>
        </w:rPr>
      </w:pPr>
      <w:r>
        <w:rPr>
          <w:rFonts w:ascii="Arial" w:cs="Arial" w:eastAsia="Arial" w:hAnsi="Arial"/>
          <w:sz w:val="19"/>
          <w:szCs w:val="19"/>
          <w:b w:val="1"/>
          <w:bCs w:val="1"/>
          <w:color w:val="auto"/>
        </w:rPr>
        <w:t>PRIORITIES IN THIS AREA</w:t>
      </w:r>
    </w:p>
    <w:p>
      <w:pPr>
        <w:spacing w:after="0" w:line="108"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•  effective risk management and informed strategic planning</w:t>
      </w:r>
    </w:p>
    <w:p>
      <w:pPr>
        <w:ind w:left="1840"/>
        <w:spacing w:after="0" w:line="236" w:lineRule="auto"/>
        <w:rPr>
          <w:sz w:val="20"/>
          <w:szCs w:val="20"/>
          <w:color w:val="auto"/>
        </w:rPr>
      </w:pPr>
      <w:r>
        <w:rPr>
          <w:rFonts w:ascii="Arial" w:cs="Arial" w:eastAsia="Arial" w:hAnsi="Arial"/>
          <w:sz w:val="19"/>
          <w:szCs w:val="19"/>
          <w:color w:val="auto"/>
        </w:rPr>
        <w:t>•  financial strength and sustainable value creation</w:t>
      </w:r>
    </w:p>
    <w:p>
      <w:pPr>
        <w:ind w:left="1840"/>
        <w:spacing w:after="0"/>
        <w:rPr>
          <w:sz w:val="20"/>
          <w:szCs w:val="20"/>
          <w:color w:val="auto"/>
        </w:rPr>
      </w:pPr>
      <w:r>
        <w:rPr>
          <w:rFonts w:ascii="Arial" w:cs="Arial" w:eastAsia="Arial" w:hAnsi="Arial"/>
          <w:sz w:val="19"/>
          <w:szCs w:val="19"/>
          <w:color w:val="auto"/>
        </w:rPr>
        <w:t>•  transparent business practices and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160655</wp:posOffset>
            </wp:positionV>
            <wp:extent cx="6337300" cy="908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620"/>
          </w:cols>
          <w:pgMar w:left="320" w:top="470" w:right="9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8" w:lineRule="exact"/>
        <w:rPr>
          <w:sz w:val="20"/>
          <w:szCs w:val="20"/>
          <w:color w:val="auto"/>
        </w:rPr>
      </w:pPr>
    </w:p>
    <w:p>
      <w:pPr>
        <w:ind w:left="1840"/>
        <w:spacing w:after="0"/>
        <w:rPr>
          <w:sz w:val="20"/>
          <w:szCs w:val="20"/>
          <w:color w:val="auto"/>
        </w:rPr>
      </w:pPr>
      <w:r>
        <w:rPr>
          <w:rFonts w:ascii="Arial" w:cs="Arial" w:eastAsia="Arial" w:hAnsi="Arial"/>
          <w:sz w:val="19"/>
          <w:szCs w:val="19"/>
          <w:b w:val="1"/>
          <w:bCs w:val="1"/>
          <w:color w:val="auto"/>
        </w:rPr>
        <w:t>ENERGY &amp; THE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-123190</wp:posOffset>
            </wp:positionV>
            <wp:extent cx="577850" cy="5861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7850" cy="586105"/>
                    </a:xfrm>
                    <a:prstGeom prst="rect">
                      <a:avLst/>
                    </a:prstGeom>
                    <a:noFill/>
                  </pic:spPr>
                </pic:pic>
              </a:graphicData>
            </a:graphic>
          </wp:anchor>
        </w:drawing>
      </w:r>
    </w:p>
    <w:p>
      <w:pPr>
        <w:spacing w:after="0" w:line="88" w:lineRule="exact"/>
        <w:rPr>
          <w:sz w:val="20"/>
          <w:szCs w:val="20"/>
          <w:color w:val="auto"/>
        </w:rPr>
      </w:pPr>
    </w:p>
    <w:p>
      <w:pPr>
        <w:ind w:left="1840" w:right="80"/>
        <w:spacing w:after="0" w:line="263" w:lineRule="auto"/>
        <w:rPr>
          <w:sz w:val="20"/>
          <w:szCs w:val="20"/>
          <w:color w:val="auto"/>
        </w:rPr>
      </w:pPr>
      <w:r>
        <w:rPr>
          <w:rFonts w:ascii="Arial" w:cs="Arial" w:eastAsia="Arial" w:hAnsi="Arial"/>
          <w:sz w:val="19"/>
          <w:szCs w:val="19"/>
          <w:color w:val="auto"/>
        </w:rPr>
        <w:t>Proactive energy resource planning with a strong emphasis toward lowering greenhouse gas emissions is a central philosophy and a critical element in a sustainable future.</w:t>
      </w:r>
    </w:p>
    <w:p>
      <w:pPr>
        <w:spacing w:after="0" w:line="169" w:lineRule="exact"/>
        <w:rPr>
          <w:sz w:val="20"/>
          <w:szCs w:val="20"/>
          <w:color w:val="auto"/>
        </w:rPr>
      </w:pPr>
    </w:p>
    <w:p>
      <w:pPr>
        <w:ind w:left="1840"/>
        <w:spacing w:after="0"/>
        <w:rPr>
          <w:sz w:val="20"/>
          <w:szCs w:val="20"/>
          <w:color w:val="auto"/>
        </w:rPr>
      </w:pPr>
      <w:r>
        <w:rPr>
          <w:rFonts w:ascii="Arial" w:cs="Arial" w:eastAsia="Arial" w:hAnsi="Arial"/>
          <w:sz w:val="19"/>
          <w:szCs w:val="19"/>
          <w:b w:val="1"/>
          <w:bCs w:val="1"/>
          <w:color w:val="auto"/>
        </w:rPr>
        <w:t>PRIORITIES IN THIS AREA</w:t>
      </w:r>
    </w:p>
    <w:p>
      <w:pPr>
        <w:spacing w:after="0" w:line="108"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•  reduction of greenhouse gas emissions</w:t>
      </w:r>
    </w:p>
    <w:p>
      <w:pPr>
        <w:spacing w:after="0" w:line="7" w:lineRule="exact"/>
        <w:rPr>
          <w:sz w:val="20"/>
          <w:szCs w:val="20"/>
          <w:color w:val="auto"/>
        </w:rPr>
      </w:pPr>
    </w:p>
    <w:p>
      <w:pPr>
        <w:ind w:left="1840" w:right="3020"/>
        <w:spacing w:after="0" w:line="228" w:lineRule="auto"/>
        <w:rPr>
          <w:sz w:val="20"/>
          <w:szCs w:val="20"/>
          <w:color w:val="auto"/>
        </w:rPr>
      </w:pPr>
      <w:r>
        <w:rPr>
          <w:rFonts w:ascii="Arial" w:cs="Arial" w:eastAsia="Arial" w:hAnsi="Arial"/>
          <w:sz w:val="19"/>
          <w:szCs w:val="19"/>
          <w:color w:val="auto"/>
        </w:rPr>
        <w:t>•  facilitation of distributed energy resources and storage alternatives •  utility-scale renewables and lower emissions •  end use efficiency and demand response</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•  overall environmental stewardship</w:t>
      </w:r>
    </w:p>
    <w:p>
      <w:pPr>
        <w:spacing w:after="0" w:line="190" w:lineRule="exact"/>
        <w:rPr>
          <w:sz w:val="20"/>
          <w:szCs w:val="20"/>
          <w:color w:val="auto"/>
        </w:rPr>
      </w:pPr>
    </w:p>
    <w:p>
      <w:pPr>
        <w:ind w:left="1840"/>
        <w:spacing w:after="0"/>
        <w:rPr>
          <w:sz w:val="20"/>
          <w:szCs w:val="20"/>
          <w:color w:val="auto"/>
        </w:rPr>
      </w:pPr>
      <w:r>
        <w:rPr>
          <w:rFonts w:ascii="Arial" w:cs="Arial" w:eastAsia="Arial" w:hAnsi="Arial"/>
          <w:sz w:val="19"/>
          <w:szCs w:val="19"/>
          <w:b w:val="1"/>
          <w:bCs w:val="1"/>
          <w:color w:val="auto"/>
        </w:rPr>
        <w:t>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-24130</wp:posOffset>
            </wp:positionV>
            <wp:extent cx="577850" cy="5861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7850" cy="586105"/>
                    </a:xfrm>
                    <a:prstGeom prst="rect">
                      <a:avLst/>
                    </a:prstGeom>
                    <a:noFill/>
                  </pic:spPr>
                </pic:pic>
              </a:graphicData>
            </a:graphic>
          </wp:anchor>
        </w:drawing>
      </w:r>
    </w:p>
    <w:p>
      <w:pPr>
        <w:spacing w:after="0" w:line="88" w:lineRule="exact"/>
        <w:rPr>
          <w:sz w:val="20"/>
          <w:szCs w:val="20"/>
          <w:color w:val="auto"/>
        </w:rPr>
      </w:pPr>
    </w:p>
    <w:p>
      <w:pPr>
        <w:ind w:left="1840" w:right="260"/>
        <w:spacing w:after="0" w:line="245" w:lineRule="auto"/>
        <w:rPr>
          <w:sz w:val="20"/>
          <w:szCs w:val="20"/>
          <w:color w:val="auto"/>
        </w:rPr>
      </w:pPr>
      <w:r>
        <w:rPr>
          <w:rFonts w:ascii="Arial" w:cs="Arial" w:eastAsia="Arial" w:hAnsi="Arial"/>
          <w:sz w:val="19"/>
          <w:szCs w:val="19"/>
          <w:color w:val="auto"/>
        </w:rPr>
        <w:t>The people who make up our workforce are what makes us special. Recruiting, valuing, and retaining quality, highly motivated employees assures that our culture continues to thrive and our Mission is successful.</w:t>
      </w:r>
    </w:p>
    <w:p>
      <w:pPr>
        <w:spacing w:after="0" w:line="187" w:lineRule="exact"/>
        <w:rPr>
          <w:sz w:val="20"/>
          <w:szCs w:val="20"/>
          <w:color w:val="auto"/>
        </w:rPr>
      </w:pPr>
    </w:p>
    <w:p>
      <w:pPr>
        <w:ind w:left="1840"/>
        <w:spacing w:after="0"/>
        <w:rPr>
          <w:sz w:val="20"/>
          <w:szCs w:val="20"/>
          <w:color w:val="auto"/>
        </w:rPr>
      </w:pPr>
      <w:r>
        <w:rPr>
          <w:rFonts w:ascii="Arial" w:cs="Arial" w:eastAsia="Arial" w:hAnsi="Arial"/>
          <w:sz w:val="19"/>
          <w:szCs w:val="19"/>
          <w:b w:val="1"/>
          <w:bCs w:val="1"/>
          <w:color w:val="auto"/>
        </w:rPr>
        <w:t>PRIORITIES IN THIS AREA</w:t>
      </w:r>
    </w:p>
    <w:p>
      <w:pPr>
        <w:spacing w:after="0" w:line="108"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•  workplace safety and sustainability</w:t>
      </w:r>
    </w:p>
    <w:p>
      <w:pPr>
        <w:ind w:left="1840"/>
        <w:spacing w:after="0" w:line="236" w:lineRule="auto"/>
        <w:rPr>
          <w:sz w:val="20"/>
          <w:szCs w:val="20"/>
          <w:color w:val="auto"/>
        </w:rPr>
      </w:pPr>
      <w:r>
        <w:rPr>
          <w:rFonts w:ascii="Arial" w:cs="Arial" w:eastAsia="Arial" w:hAnsi="Arial"/>
          <w:sz w:val="19"/>
          <w:szCs w:val="19"/>
          <w:color w:val="auto"/>
        </w:rPr>
        <w:t>•  employee education and career development</w:t>
      </w:r>
    </w:p>
    <w:p>
      <w:pPr>
        <w:ind w:left="1840"/>
        <w:spacing w:after="0"/>
        <w:rPr>
          <w:sz w:val="20"/>
          <w:szCs w:val="20"/>
          <w:color w:val="auto"/>
        </w:rPr>
      </w:pPr>
      <w:r>
        <w:rPr>
          <w:rFonts w:ascii="Arial" w:cs="Arial" w:eastAsia="Arial" w:hAnsi="Arial"/>
          <w:sz w:val="19"/>
          <w:szCs w:val="19"/>
          <w:color w:val="auto"/>
        </w:rPr>
        <w:t>•  workplace opportunity and employee engagement</w:t>
      </w:r>
    </w:p>
    <w:p>
      <w:pPr>
        <w:spacing w:after="0" w:line="190" w:lineRule="exact"/>
        <w:rPr>
          <w:sz w:val="20"/>
          <w:szCs w:val="20"/>
          <w:color w:val="auto"/>
        </w:rPr>
      </w:pPr>
    </w:p>
    <w:p>
      <w:pPr>
        <w:ind w:left="1840"/>
        <w:spacing w:after="0"/>
        <w:rPr>
          <w:sz w:val="20"/>
          <w:szCs w:val="20"/>
          <w:color w:val="auto"/>
        </w:rPr>
      </w:pPr>
      <w:r>
        <w:rPr>
          <w:rFonts w:ascii="Arial" w:cs="Arial" w:eastAsia="Arial" w:hAnsi="Arial"/>
          <w:sz w:val="19"/>
          <w:szCs w:val="19"/>
          <w:b w:val="1"/>
          <w:bCs w:val="1"/>
          <w:color w:val="auto"/>
        </w:rPr>
        <w:t>SAFETY &amp; RELIABILITY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-24130</wp:posOffset>
            </wp:positionV>
            <wp:extent cx="577850" cy="5861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7850" cy="586105"/>
                    </a:xfrm>
                    <a:prstGeom prst="rect">
                      <a:avLst/>
                    </a:prstGeom>
                    <a:noFill/>
                  </pic:spPr>
                </pic:pic>
              </a:graphicData>
            </a:graphic>
          </wp:anchor>
        </w:drawing>
      </w:r>
    </w:p>
    <w:p>
      <w:pPr>
        <w:spacing w:after="0" w:line="88" w:lineRule="exact"/>
        <w:rPr>
          <w:sz w:val="20"/>
          <w:szCs w:val="20"/>
          <w:color w:val="auto"/>
        </w:rPr>
      </w:pPr>
    </w:p>
    <w:p>
      <w:pPr>
        <w:ind w:left="1840" w:right="240"/>
        <w:spacing w:after="0" w:line="245" w:lineRule="auto"/>
        <w:rPr>
          <w:sz w:val="20"/>
          <w:szCs w:val="20"/>
          <w:color w:val="auto"/>
        </w:rPr>
      </w:pPr>
      <w:r>
        <w:rPr>
          <w:rFonts w:ascii="Arial" w:cs="Arial" w:eastAsia="Arial" w:hAnsi="Arial"/>
          <w:sz w:val="19"/>
          <w:szCs w:val="19"/>
          <w:color w:val="auto"/>
        </w:rPr>
        <w:t>Safety and reliability are paramount to the effective delivery of electricity and natural gas to our customers. Electric reliability and gas emergency response time are also each tied directly to a metric we measure for our short-term Incentive Plan.</w:t>
      </w:r>
    </w:p>
    <w:p>
      <w:pPr>
        <w:spacing w:after="0" w:line="187" w:lineRule="exact"/>
        <w:rPr>
          <w:sz w:val="20"/>
          <w:szCs w:val="20"/>
          <w:color w:val="auto"/>
        </w:rPr>
      </w:pPr>
    </w:p>
    <w:p>
      <w:pPr>
        <w:ind w:left="1840"/>
        <w:spacing w:after="0"/>
        <w:rPr>
          <w:sz w:val="20"/>
          <w:szCs w:val="20"/>
          <w:color w:val="auto"/>
        </w:rPr>
      </w:pPr>
      <w:r>
        <w:rPr>
          <w:rFonts w:ascii="Arial" w:cs="Arial" w:eastAsia="Arial" w:hAnsi="Arial"/>
          <w:sz w:val="19"/>
          <w:szCs w:val="19"/>
          <w:b w:val="1"/>
          <w:bCs w:val="1"/>
          <w:color w:val="auto"/>
        </w:rPr>
        <w:t>PRIORITIES IN THIS AREA</w:t>
      </w:r>
    </w:p>
    <w:p>
      <w:pPr>
        <w:spacing w:after="0" w:line="108"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•  system reliability and resiliency</w:t>
      </w:r>
    </w:p>
    <w:p>
      <w:pPr>
        <w:ind w:left="1840"/>
        <w:spacing w:after="0" w:line="236" w:lineRule="auto"/>
        <w:rPr>
          <w:sz w:val="20"/>
          <w:szCs w:val="20"/>
          <w:color w:val="auto"/>
        </w:rPr>
      </w:pPr>
      <w:r>
        <w:rPr>
          <w:rFonts w:ascii="Arial" w:cs="Arial" w:eastAsia="Arial" w:hAnsi="Arial"/>
          <w:sz w:val="19"/>
          <w:szCs w:val="19"/>
          <w:color w:val="auto"/>
        </w:rPr>
        <w:t>•  integrity of gas delivery infrastructure</w:t>
      </w:r>
    </w:p>
    <w:p>
      <w:pPr>
        <w:ind w:left="1840"/>
        <w:spacing w:after="0" w:line="228" w:lineRule="auto"/>
        <w:rPr>
          <w:sz w:val="20"/>
          <w:szCs w:val="20"/>
          <w:color w:val="auto"/>
        </w:rPr>
      </w:pPr>
      <w:r>
        <w:rPr>
          <w:rFonts w:ascii="Arial" w:cs="Arial" w:eastAsia="Arial" w:hAnsi="Arial"/>
          <w:sz w:val="19"/>
          <w:szCs w:val="19"/>
          <w:color w:val="auto"/>
        </w:rPr>
        <w:t>•  emergency preparedness</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•  data privacy and cyber security</w:t>
      </w:r>
    </w:p>
    <w:p>
      <w:pPr>
        <w:spacing w:after="0" w:line="190" w:lineRule="exact"/>
        <w:rPr>
          <w:sz w:val="20"/>
          <w:szCs w:val="20"/>
          <w:color w:val="auto"/>
        </w:rPr>
      </w:pPr>
    </w:p>
    <w:p>
      <w:pPr>
        <w:ind w:left="1840"/>
        <w:spacing w:after="0"/>
        <w:rPr>
          <w:sz w:val="20"/>
          <w:szCs w:val="20"/>
          <w:color w:val="auto"/>
        </w:rPr>
      </w:pPr>
      <w:r>
        <w:rPr>
          <w:rFonts w:ascii="Arial" w:cs="Arial" w:eastAsia="Arial" w:hAnsi="Arial"/>
          <w:sz w:val="19"/>
          <w:szCs w:val="19"/>
          <w:b w:val="1"/>
          <w:bCs w:val="1"/>
          <w:color w:val="auto"/>
        </w:rPr>
        <w:t>CUSTOMER ENGAGEMENT &amp;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-24130</wp:posOffset>
            </wp:positionV>
            <wp:extent cx="577850" cy="5861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7850" cy="586105"/>
                    </a:xfrm>
                    <a:prstGeom prst="rect">
                      <a:avLst/>
                    </a:prstGeom>
                    <a:noFill/>
                  </pic:spPr>
                </pic:pic>
              </a:graphicData>
            </a:graphic>
          </wp:anchor>
        </w:drawing>
      </w:r>
    </w:p>
    <w:p>
      <w:pPr>
        <w:spacing w:after="0" w:line="88" w:lineRule="exact"/>
        <w:rPr>
          <w:sz w:val="20"/>
          <w:szCs w:val="20"/>
          <w:color w:val="auto"/>
        </w:rPr>
      </w:pPr>
    </w:p>
    <w:p>
      <w:pPr>
        <w:jc w:val="both"/>
        <w:ind w:left="1840" w:right="200"/>
        <w:spacing w:after="0" w:line="245" w:lineRule="auto"/>
        <w:rPr>
          <w:sz w:val="20"/>
          <w:szCs w:val="20"/>
          <w:color w:val="auto"/>
        </w:rPr>
      </w:pPr>
      <w:r>
        <w:rPr>
          <w:rFonts w:ascii="Arial" w:cs="Arial" w:eastAsia="Arial" w:hAnsi="Arial"/>
          <w:sz w:val="19"/>
          <w:szCs w:val="19"/>
          <w:color w:val="auto"/>
        </w:rPr>
        <w:t>We have a responsibility to put the customer first and to be a vital part of the communities in which we operate. Superior customer service is also tied directly to one of the metrics we measure for our short-term Incentive Plan.</w:t>
      </w:r>
    </w:p>
    <w:p>
      <w:pPr>
        <w:spacing w:after="0" w:line="187" w:lineRule="exact"/>
        <w:rPr>
          <w:sz w:val="20"/>
          <w:szCs w:val="20"/>
          <w:color w:val="auto"/>
        </w:rPr>
      </w:pPr>
    </w:p>
    <w:p>
      <w:pPr>
        <w:ind w:left="1840"/>
        <w:spacing w:after="0"/>
        <w:rPr>
          <w:sz w:val="20"/>
          <w:szCs w:val="20"/>
          <w:color w:val="auto"/>
        </w:rPr>
      </w:pPr>
      <w:r>
        <w:rPr>
          <w:rFonts w:ascii="Arial" w:cs="Arial" w:eastAsia="Arial" w:hAnsi="Arial"/>
          <w:sz w:val="19"/>
          <w:szCs w:val="19"/>
          <w:b w:val="1"/>
          <w:bCs w:val="1"/>
          <w:color w:val="auto"/>
        </w:rPr>
        <w:t>PRIORITIES IN THIS AREA</w:t>
      </w:r>
    </w:p>
    <w:p>
      <w:pPr>
        <w:spacing w:after="0" w:line="108"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•  superior customer service</w:t>
      </w:r>
    </w:p>
    <w:p>
      <w:pPr>
        <w:ind w:left="1840"/>
        <w:spacing w:after="0" w:line="236" w:lineRule="auto"/>
        <w:rPr>
          <w:sz w:val="20"/>
          <w:szCs w:val="20"/>
          <w:color w:val="auto"/>
        </w:rPr>
      </w:pPr>
      <w:r>
        <w:rPr>
          <w:rFonts w:ascii="Arial" w:cs="Arial" w:eastAsia="Arial" w:hAnsi="Arial"/>
          <w:sz w:val="19"/>
          <w:szCs w:val="19"/>
          <w:color w:val="auto"/>
        </w:rPr>
        <w:t>•  community relations and charitable giving</w:t>
      </w:r>
    </w:p>
    <w:p>
      <w:pPr>
        <w:ind w:left="1840"/>
        <w:spacing w:after="0" w:line="228" w:lineRule="auto"/>
        <w:rPr>
          <w:sz w:val="20"/>
          <w:szCs w:val="20"/>
          <w:color w:val="auto"/>
        </w:rPr>
      </w:pPr>
      <w:r>
        <w:rPr>
          <w:rFonts w:ascii="Arial" w:cs="Arial" w:eastAsia="Arial" w:hAnsi="Arial"/>
          <w:sz w:val="19"/>
          <w:szCs w:val="19"/>
          <w:color w:val="auto"/>
        </w:rPr>
        <w:t>•  energy affordability for our customers</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•  economic development in the communities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160655</wp:posOffset>
            </wp:positionV>
            <wp:extent cx="6337300" cy="825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620"/>
          </w:cols>
          <w:pgMar w:left="320" w:top="470" w:right="9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Our Objective</w:t>
      </w:r>
    </w:p>
    <w:p>
      <w:pPr>
        <w:spacing w:after="0" w:line="214" w:lineRule="exact"/>
        <w:rPr>
          <w:sz w:val="20"/>
          <w:szCs w:val="20"/>
          <w:color w:val="auto"/>
        </w:rPr>
      </w:pPr>
    </w:p>
    <w:p>
      <w:pPr>
        <w:ind w:left="640" w:right="800"/>
        <w:spacing w:after="0" w:line="248" w:lineRule="auto"/>
        <w:rPr>
          <w:sz w:val="20"/>
          <w:szCs w:val="20"/>
          <w:color w:val="auto"/>
        </w:rPr>
      </w:pPr>
      <w:r>
        <w:rPr>
          <w:rFonts w:ascii="Arial" w:cs="Arial" w:eastAsia="Arial" w:hAnsi="Arial"/>
          <w:sz w:val="21"/>
          <w:szCs w:val="21"/>
          <w:color w:val="auto"/>
        </w:rPr>
        <w:t>As we transform our business to meet the needs of future generations, we are fully committed to the environmental, social and governance priorities that matter most to our shareholders and other stakeholders.</w:t>
      </w:r>
    </w:p>
    <w:p>
      <w:pPr>
        <w:spacing w:after="0" w:line="161" w:lineRule="exact"/>
        <w:rPr>
          <w:sz w:val="20"/>
          <w:szCs w:val="20"/>
          <w:color w:val="auto"/>
        </w:rPr>
      </w:pPr>
    </w:p>
    <w:p>
      <w:pPr>
        <w:ind w:left="640" w:right="240"/>
        <w:spacing w:after="0" w:line="243" w:lineRule="auto"/>
        <w:rPr>
          <w:sz w:val="20"/>
          <w:szCs w:val="20"/>
          <w:color w:val="auto"/>
        </w:rPr>
      </w:pPr>
      <w:r>
        <w:rPr>
          <w:rFonts w:ascii="Arial" w:cs="Arial" w:eastAsia="Arial" w:hAnsi="Arial"/>
          <w:sz w:val="21"/>
          <w:szCs w:val="21"/>
          <w:color w:val="auto"/>
        </w:rPr>
        <w:t>While change creates uncertainty for some, those who arrive prepared at these critical moments find great opportunity for growth and long-term benefits for all. With thoughtful planning, informed decision-making, and an inspired, dedicated workforce, we are well-positioned to capitalize on multiple growth opportunities as our industry continues to evolve and embrace the clean energy transition.</w:t>
      </w:r>
    </w:p>
    <w:p>
      <w:pPr>
        <w:spacing w:after="0" w:line="377"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Corporate Sustainability and Responsibility Report</w:t>
      </w:r>
    </w:p>
    <w:p>
      <w:pPr>
        <w:spacing w:after="0" w:line="240" w:lineRule="exact"/>
        <w:rPr>
          <w:sz w:val="20"/>
          <w:szCs w:val="20"/>
          <w:color w:val="auto"/>
        </w:rPr>
      </w:pPr>
    </w:p>
    <w:p>
      <w:pPr>
        <w:ind w:left="640" w:right="3300"/>
        <w:spacing w:after="0" w:line="242" w:lineRule="auto"/>
        <w:rPr>
          <w:sz w:val="20"/>
          <w:szCs w:val="20"/>
          <w:color w:val="auto"/>
        </w:rPr>
      </w:pPr>
      <w:r>
        <w:rPr>
          <w:rFonts w:ascii="Arial" w:cs="Arial" w:eastAsia="Arial" w:hAnsi="Arial"/>
          <w:sz w:val="21"/>
          <w:szCs w:val="21"/>
          <w:color w:val="auto"/>
        </w:rPr>
        <w:t>To learn more about the actions, projects and initiatives that enhance the sustainability of our Company, our communities, and our planet,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-292100</wp:posOffset>
            </wp:positionV>
            <wp:extent cx="1699895" cy="2178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99895" cy="2178685"/>
                    </a:xfrm>
                    <a:prstGeom prst="rect">
                      <a:avLst/>
                    </a:prstGeom>
                    <a:noFill/>
                  </pic:spPr>
                </pic:pic>
              </a:graphicData>
            </a:graphic>
          </wp:anchor>
        </w:drawing>
      </w:r>
    </w:p>
    <w:p>
      <w:pPr>
        <w:ind w:left="640" w:right="3440"/>
        <w:spacing w:after="0" w:line="245" w:lineRule="auto"/>
        <w:rPr>
          <w:sz w:val="20"/>
          <w:szCs w:val="20"/>
          <w:color w:val="auto"/>
        </w:rPr>
      </w:pPr>
      <w:r>
        <w:rPr>
          <w:rFonts w:ascii="Arial" w:cs="Arial" w:eastAsia="Arial" w:hAnsi="Arial"/>
          <w:sz w:val="21"/>
          <w:szCs w:val="21"/>
          <w:color w:val="auto"/>
        </w:rPr>
        <w:t>2025 Corporate Sustainability and Responsibility Report can be viewed in its entirety on our website, unitil.com.</w:t>
      </w:r>
    </w:p>
    <w:p>
      <w:pPr>
        <w:spacing w:after="0" w:line="189" w:lineRule="exact"/>
        <w:rPr>
          <w:sz w:val="20"/>
          <w:szCs w:val="20"/>
          <w:color w:val="auto"/>
        </w:rPr>
      </w:pPr>
    </w:p>
    <w:p>
      <w:pPr>
        <w:ind w:left="640" w:right="3360"/>
        <w:spacing w:after="0" w:line="243" w:lineRule="auto"/>
        <w:rPr>
          <w:sz w:val="20"/>
          <w:szCs w:val="20"/>
          <w:color w:val="auto"/>
        </w:rPr>
      </w:pPr>
      <w:r>
        <w:rPr>
          <w:rFonts w:ascii="Arial" w:cs="Arial" w:eastAsia="Arial" w:hAnsi="Arial"/>
          <w:sz w:val="21"/>
          <w:szCs w:val="21"/>
          <w:color w:val="auto"/>
        </w:rPr>
        <w:t>We anticipate issuing our 2026 Corporate Sustainability and Responsibility Report in October 2026, which will provide information about our accomplishments in 2025 and our progress in 2026 in support of our sustainability initiatives and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988060</wp:posOffset>
            </wp:positionV>
            <wp:extent cx="6337300" cy="825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620"/>
          </w:cols>
          <w:pgMar w:left="320" w:top="470" w:right="9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3219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37300" cy="321945"/>
                    </a:xfrm>
                    <a:prstGeom prst="rect">
                      <a:avLst/>
                    </a:prstGeom>
                    <a:noFill/>
                  </pic:spPr>
                </pic:pic>
              </a:graphicData>
            </a:graphic>
          </wp:anchor>
        </w:drawing>
      </w:r>
    </w:p>
    <w:p>
      <w:pPr>
        <w:spacing w:after="0" w:line="361" w:lineRule="exact"/>
        <w:rPr>
          <w:sz w:val="20"/>
          <w:szCs w:val="20"/>
          <w:color w:val="auto"/>
        </w:rPr>
      </w:pPr>
    </w:p>
    <w:p>
      <w:pPr>
        <w:ind w:left="3360"/>
        <w:spacing w:after="0"/>
        <w:rPr>
          <w:sz w:val="20"/>
          <w:szCs w:val="20"/>
          <w:color w:val="auto"/>
        </w:rPr>
      </w:pPr>
      <w:r>
        <w:rPr>
          <w:rFonts w:ascii="Arial" w:cs="Arial" w:eastAsia="Arial" w:hAnsi="Arial"/>
          <w:sz w:val="31"/>
          <w:szCs w:val="31"/>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64135</wp:posOffset>
            </wp:positionV>
            <wp:extent cx="63373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01" w:lineRule="exact"/>
        <w:rPr>
          <w:sz w:val="20"/>
          <w:szCs w:val="20"/>
          <w:color w:val="auto"/>
        </w:rPr>
      </w:pPr>
    </w:p>
    <w:p>
      <w:pPr>
        <w:ind w:left="640" w:right="260"/>
        <w:spacing w:after="0" w:line="248" w:lineRule="auto"/>
        <w:rPr>
          <w:sz w:val="20"/>
          <w:szCs w:val="20"/>
          <w:color w:val="auto"/>
        </w:rPr>
      </w:pPr>
      <w:r>
        <w:rPr>
          <w:rFonts w:ascii="Arial" w:cs="Arial" w:eastAsia="Arial" w:hAnsi="Arial"/>
          <w:sz w:val="21"/>
          <w:szCs w:val="21"/>
          <w:color w:val="auto"/>
        </w:rPr>
        <w:t>The Board has the following standing committees: Audit Committee; Compensation Committee; Executive Committee; and Nominating and Governance Committee. The tables below provide a summary of each committee with respect to membership and primary responsibilities.</w:t>
      </w:r>
    </w:p>
    <w:p>
      <w:pPr>
        <w:spacing w:after="0" w:line="200" w:lineRule="exact"/>
        <w:rPr>
          <w:sz w:val="20"/>
          <w:szCs w:val="20"/>
          <w:color w:val="auto"/>
        </w:rPr>
      </w:pPr>
    </w:p>
    <w:p>
      <w:pPr>
        <w:spacing w:after="0" w:line="277"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78105</wp:posOffset>
            </wp:positionV>
            <wp:extent cx="63373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89" w:lineRule="exact"/>
        <w:rPr>
          <w:sz w:val="20"/>
          <w:szCs w:val="20"/>
          <w:color w:val="auto"/>
        </w:rPr>
      </w:pPr>
    </w:p>
    <w:tbl>
      <w:tblPr>
        <w:tblLayout w:type="fixed"/>
        <w:tblInd w:w="128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2480" w:type="dxa"/>
            <w:vAlign w:val="bottom"/>
            <w:vMerge w:val="restart"/>
            <w:shd w:val="clear" w:color="auto" w:fill="314A72"/>
          </w:tcPr>
          <w:p>
            <w:pPr>
              <w:spacing w:after="0"/>
              <w:rPr>
                <w:sz w:val="20"/>
                <w:szCs w:val="20"/>
                <w:color w:val="auto"/>
              </w:rPr>
            </w:pPr>
            <w:r>
              <w:rPr>
                <w:rFonts w:ascii="Arial" w:cs="Arial" w:eastAsia="Arial" w:hAnsi="Arial"/>
                <w:sz w:val="17"/>
                <w:szCs w:val="17"/>
                <w:b w:val="1"/>
                <w:bCs w:val="1"/>
                <w:color w:val="FFFFFF"/>
              </w:rPr>
              <w:t>  Committee Members</w:t>
            </w:r>
          </w:p>
        </w:tc>
        <w:tc>
          <w:tcPr>
            <w:tcW w:w="1060" w:type="dxa"/>
            <w:vAlign w:val="bottom"/>
            <w:shd w:val="clear" w:color="auto" w:fill="314A72"/>
          </w:tcPr>
          <w:p>
            <w:pPr>
              <w:ind w:left="240"/>
              <w:spacing w:after="0"/>
              <w:rPr>
                <w:sz w:val="20"/>
                <w:szCs w:val="20"/>
                <w:color w:val="auto"/>
              </w:rPr>
            </w:pPr>
            <w:r>
              <w:rPr>
                <w:rFonts w:ascii="Arial" w:cs="Arial" w:eastAsia="Arial" w:hAnsi="Arial"/>
                <w:sz w:val="17"/>
                <w:szCs w:val="17"/>
                <w:b w:val="1"/>
                <w:bCs w:val="1"/>
                <w:color w:val="FFFFFF"/>
              </w:rPr>
              <w:t>Anne L.</w:t>
            </w:r>
          </w:p>
        </w:tc>
        <w:tc>
          <w:tcPr>
            <w:tcW w:w="980" w:type="dxa"/>
            <w:vAlign w:val="bottom"/>
            <w:shd w:val="clear" w:color="auto" w:fill="314A72"/>
          </w:tcPr>
          <w:p>
            <w:pPr>
              <w:jc w:val="center"/>
              <w:spacing w:after="0"/>
              <w:rPr>
                <w:sz w:val="20"/>
                <w:szCs w:val="20"/>
                <w:color w:val="auto"/>
              </w:rPr>
            </w:pPr>
            <w:r>
              <w:rPr>
                <w:rFonts w:ascii="Arial" w:cs="Arial" w:eastAsia="Arial" w:hAnsi="Arial"/>
                <w:sz w:val="17"/>
                <w:szCs w:val="17"/>
                <w:b w:val="1"/>
                <w:bCs w:val="1"/>
                <w:color w:val="FFFFFF"/>
              </w:rPr>
              <w:t>Mark H.</w:t>
            </w:r>
          </w:p>
        </w:tc>
        <w:tc>
          <w:tcPr>
            <w:tcW w:w="1060" w:type="dxa"/>
            <w:vAlign w:val="bottom"/>
            <w:shd w:val="clear" w:color="auto" w:fill="314A72"/>
          </w:tcPr>
          <w:p>
            <w:pPr>
              <w:jc w:val="center"/>
              <w:spacing w:after="0"/>
              <w:rPr>
                <w:sz w:val="20"/>
                <w:szCs w:val="20"/>
                <w:color w:val="auto"/>
              </w:rPr>
            </w:pPr>
            <w:r>
              <w:rPr>
                <w:rFonts w:ascii="Arial" w:cs="Arial" w:eastAsia="Arial" w:hAnsi="Arial"/>
                <w:sz w:val="17"/>
                <w:szCs w:val="17"/>
                <w:b w:val="1"/>
                <w:bCs w:val="1"/>
                <w:color w:val="FFFFFF"/>
                <w:w w:val="98"/>
              </w:rPr>
              <w:t>Edward F.</w:t>
            </w:r>
          </w:p>
        </w:tc>
        <w:tc>
          <w:tcPr>
            <w:tcW w:w="1060" w:type="dxa"/>
            <w:vAlign w:val="bottom"/>
            <w:shd w:val="clear" w:color="auto" w:fill="314A72"/>
          </w:tcPr>
          <w:p>
            <w:pPr>
              <w:jc w:val="center"/>
              <w:spacing w:after="0"/>
              <w:rPr>
                <w:sz w:val="20"/>
                <w:szCs w:val="20"/>
                <w:color w:val="auto"/>
              </w:rPr>
            </w:pPr>
            <w:r>
              <w:rPr>
                <w:rFonts w:ascii="Arial" w:cs="Arial" w:eastAsia="Arial" w:hAnsi="Arial"/>
                <w:sz w:val="17"/>
                <w:szCs w:val="17"/>
                <w:b w:val="1"/>
                <w:bCs w:val="1"/>
                <w:color w:val="FFFFFF"/>
              </w:rPr>
              <w:t>Michael B.</w:t>
            </w:r>
          </w:p>
        </w:tc>
        <w:tc>
          <w:tcPr>
            <w:tcW w:w="1040" w:type="dxa"/>
            <w:vAlign w:val="bottom"/>
            <w:shd w:val="clear" w:color="auto" w:fill="314A72"/>
          </w:tcPr>
          <w:p>
            <w:pPr>
              <w:jc w:val="center"/>
              <w:spacing w:after="0"/>
              <w:rPr>
                <w:sz w:val="20"/>
                <w:szCs w:val="20"/>
                <w:color w:val="auto"/>
              </w:rPr>
            </w:pPr>
            <w:r>
              <w:rPr>
                <w:rFonts w:ascii="Arial" w:cs="Arial" w:eastAsia="Arial" w:hAnsi="Arial"/>
                <w:sz w:val="17"/>
                <w:szCs w:val="17"/>
                <w:b w:val="1"/>
                <w:bCs w:val="1"/>
                <w:color w:val="FFFFFF"/>
              </w:rPr>
              <w:t>Katherine</w:t>
            </w:r>
          </w:p>
        </w:tc>
        <w:tc>
          <w:tcPr>
            <w:tcW w:w="1000" w:type="dxa"/>
            <w:vAlign w:val="bottom"/>
            <w:shd w:val="clear" w:color="auto" w:fill="314A72"/>
          </w:tcPr>
          <w:p>
            <w:pPr>
              <w:ind w:left="200"/>
              <w:spacing w:after="0"/>
              <w:rPr>
                <w:sz w:val="20"/>
                <w:szCs w:val="20"/>
                <w:color w:val="auto"/>
              </w:rPr>
            </w:pPr>
            <w:r>
              <w:rPr>
                <w:rFonts w:ascii="Arial" w:cs="Arial" w:eastAsia="Arial" w:hAnsi="Arial"/>
                <w:sz w:val="17"/>
                <w:szCs w:val="17"/>
                <w:b w:val="1"/>
                <w:bCs w:val="1"/>
                <w:color w:val="FFFFFF"/>
              </w:rPr>
              <w:t>Justine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vMerge w:val="continue"/>
            <w:shd w:val="clear" w:color="auto" w:fill="314A72"/>
          </w:tcPr>
          <w:p>
            <w:pPr>
              <w:spacing w:after="0"/>
              <w:rPr>
                <w:sz w:val="11"/>
                <w:szCs w:val="11"/>
                <w:color w:val="auto"/>
              </w:rPr>
            </w:pPr>
          </w:p>
        </w:tc>
        <w:tc>
          <w:tcPr>
            <w:tcW w:w="1060" w:type="dxa"/>
            <w:vAlign w:val="bottom"/>
            <w:vMerge w:val="restart"/>
            <w:shd w:val="clear" w:color="auto" w:fill="314A72"/>
          </w:tcPr>
          <w:p>
            <w:pPr>
              <w:ind w:left="260"/>
              <w:spacing w:after="0"/>
              <w:rPr>
                <w:sz w:val="20"/>
                <w:szCs w:val="20"/>
                <w:color w:val="auto"/>
              </w:rPr>
            </w:pPr>
            <w:r>
              <w:rPr>
                <w:rFonts w:ascii="Arial" w:cs="Arial" w:eastAsia="Arial" w:hAnsi="Arial"/>
                <w:sz w:val="17"/>
                <w:szCs w:val="17"/>
                <w:b w:val="1"/>
                <w:bCs w:val="1"/>
                <w:color w:val="FFFFFF"/>
              </w:rPr>
              <w:t>Alonzo</w:t>
            </w:r>
          </w:p>
        </w:tc>
        <w:tc>
          <w:tcPr>
            <w:tcW w:w="980" w:type="dxa"/>
            <w:vAlign w:val="bottom"/>
            <w:vMerge w:val="restart"/>
            <w:shd w:val="clear" w:color="auto" w:fill="314A72"/>
          </w:tcPr>
          <w:p>
            <w:pPr>
              <w:jc w:val="center"/>
              <w:spacing w:after="0"/>
              <w:rPr>
                <w:sz w:val="20"/>
                <w:szCs w:val="20"/>
                <w:color w:val="auto"/>
              </w:rPr>
            </w:pPr>
            <w:r>
              <w:rPr>
                <w:rFonts w:ascii="Arial" w:cs="Arial" w:eastAsia="Arial" w:hAnsi="Arial"/>
                <w:sz w:val="17"/>
                <w:szCs w:val="17"/>
                <w:b w:val="1"/>
                <w:bCs w:val="1"/>
                <w:color w:val="FFFFFF"/>
              </w:rPr>
              <w:t>Collin</w:t>
            </w:r>
          </w:p>
        </w:tc>
        <w:tc>
          <w:tcPr>
            <w:tcW w:w="1060" w:type="dxa"/>
            <w:vAlign w:val="bottom"/>
            <w:vMerge w:val="restart"/>
            <w:shd w:val="clear" w:color="auto" w:fill="314A72"/>
          </w:tcPr>
          <w:p>
            <w:pPr>
              <w:jc w:val="center"/>
              <w:spacing w:after="0"/>
              <w:rPr>
                <w:sz w:val="20"/>
                <w:szCs w:val="20"/>
                <w:color w:val="auto"/>
              </w:rPr>
            </w:pPr>
            <w:r>
              <w:rPr>
                <w:rFonts w:ascii="Arial" w:cs="Arial" w:eastAsia="Arial" w:hAnsi="Arial"/>
                <w:sz w:val="17"/>
                <w:szCs w:val="17"/>
                <w:b w:val="1"/>
                <w:bCs w:val="1"/>
                <w:color w:val="FFFFFF"/>
              </w:rPr>
              <w:t>Godfrey</w:t>
            </w:r>
          </w:p>
        </w:tc>
        <w:tc>
          <w:tcPr>
            <w:tcW w:w="1060" w:type="dxa"/>
            <w:vAlign w:val="bottom"/>
            <w:vMerge w:val="restart"/>
            <w:shd w:val="clear" w:color="auto" w:fill="314A72"/>
          </w:tcPr>
          <w:p>
            <w:pPr>
              <w:jc w:val="center"/>
              <w:spacing w:after="0"/>
              <w:rPr>
                <w:sz w:val="20"/>
                <w:szCs w:val="20"/>
                <w:color w:val="auto"/>
              </w:rPr>
            </w:pPr>
            <w:r>
              <w:rPr>
                <w:rFonts w:ascii="Arial" w:cs="Arial" w:eastAsia="Arial" w:hAnsi="Arial"/>
                <w:sz w:val="17"/>
                <w:szCs w:val="17"/>
                <w:b w:val="1"/>
                <w:bCs w:val="1"/>
                <w:color w:val="FFFFFF"/>
              </w:rPr>
              <w:t>Green</w:t>
            </w:r>
          </w:p>
        </w:tc>
        <w:tc>
          <w:tcPr>
            <w:tcW w:w="1040" w:type="dxa"/>
            <w:vAlign w:val="bottom"/>
            <w:vMerge w:val="restart"/>
            <w:shd w:val="clear" w:color="auto" w:fill="314A72"/>
          </w:tcPr>
          <w:p>
            <w:pPr>
              <w:jc w:val="center"/>
              <w:spacing w:after="0"/>
              <w:rPr>
                <w:sz w:val="20"/>
                <w:szCs w:val="20"/>
                <w:color w:val="auto"/>
              </w:rPr>
            </w:pPr>
            <w:r>
              <w:rPr>
                <w:rFonts w:ascii="Arial" w:cs="Arial" w:eastAsia="Arial" w:hAnsi="Arial"/>
                <w:sz w:val="17"/>
                <w:szCs w:val="17"/>
                <w:b w:val="1"/>
                <w:bCs w:val="1"/>
                <w:color w:val="FFFFFF"/>
              </w:rPr>
              <w:t>Kountze</w:t>
            </w:r>
          </w:p>
        </w:tc>
        <w:tc>
          <w:tcPr>
            <w:tcW w:w="1000" w:type="dxa"/>
            <w:vAlign w:val="bottom"/>
            <w:vMerge w:val="restart"/>
            <w:shd w:val="clear" w:color="auto" w:fill="314A72"/>
          </w:tcPr>
          <w:p>
            <w:pPr>
              <w:ind w:left="80"/>
              <w:spacing w:after="0"/>
              <w:rPr>
                <w:sz w:val="20"/>
                <w:szCs w:val="20"/>
                <w:color w:val="auto"/>
              </w:rPr>
            </w:pPr>
            <w:r>
              <w:rPr>
                <w:rFonts w:ascii="Arial" w:cs="Arial" w:eastAsia="Arial" w:hAnsi="Arial"/>
                <w:sz w:val="17"/>
                <w:szCs w:val="17"/>
                <w:b w:val="1"/>
                <w:bCs w:val="1"/>
                <w:color w:val="FFFFFF"/>
              </w:rPr>
              <w:t xml:space="preserve">   Vogel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314A72"/>
          </w:tcPr>
          <w:p>
            <w:pPr>
              <w:spacing w:after="0"/>
              <w:rPr>
                <w:sz w:val="11"/>
                <w:szCs w:val="11"/>
                <w:color w:val="auto"/>
              </w:rPr>
            </w:pPr>
          </w:p>
        </w:tc>
        <w:tc>
          <w:tcPr>
            <w:tcW w:w="1060" w:type="dxa"/>
            <w:vAlign w:val="bottom"/>
            <w:vMerge w:val="continue"/>
            <w:shd w:val="clear" w:color="auto" w:fill="314A72"/>
          </w:tcPr>
          <w:p>
            <w:pPr>
              <w:spacing w:after="0"/>
              <w:rPr>
                <w:sz w:val="11"/>
                <w:szCs w:val="11"/>
                <w:color w:val="auto"/>
              </w:rPr>
            </w:pPr>
          </w:p>
        </w:tc>
        <w:tc>
          <w:tcPr>
            <w:tcW w:w="980" w:type="dxa"/>
            <w:vAlign w:val="bottom"/>
            <w:vMerge w:val="continue"/>
            <w:shd w:val="clear" w:color="auto" w:fill="314A72"/>
          </w:tcPr>
          <w:p>
            <w:pPr>
              <w:spacing w:after="0"/>
              <w:rPr>
                <w:sz w:val="11"/>
                <w:szCs w:val="11"/>
                <w:color w:val="auto"/>
              </w:rPr>
            </w:pPr>
          </w:p>
        </w:tc>
        <w:tc>
          <w:tcPr>
            <w:tcW w:w="1060" w:type="dxa"/>
            <w:vAlign w:val="bottom"/>
            <w:vMerge w:val="continue"/>
            <w:shd w:val="clear" w:color="auto" w:fill="314A72"/>
          </w:tcPr>
          <w:p>
            <w:pPr>
              <w:spacing w:after="0"/>
              <w:rPr>
                <w:sz w:val="11"/>
                <w:szCs w:val="11"/>
                <w:color w:val="auto"/>
              </w:rPr>
            </w:pPr>
          </w:p>
        </w:tc>
        <w:tc>
          <w:tcPr>
            <w:tcW w:w="1060" w:type="dxa"/>
            <w:vAlign w:val="bottom"/>
            <w:vMerge w:val="continue"/>
            <w:shd w:val="clear" w:color="auto" w:fill="314A72"/>
          </w:tcPr>
          <w:p>
            <w:pPr>
              <w:spacing w:after="0"/>
              <w:rPr>
                <w:sz w:val="11"/>
                <w:szCs w:val="11"/>
                <w:color w:val="auto"/>
              </w:rPr>
            </w:pPr>
          </w:p>
        </w:tc>
        <w:tc>
          <w:tcPr>
            <w:tcW w:w="1040" w:type="dxa"/>
            <w:vAlign w:val="bottom"/>
            <w:vMerge w:val="continue"/>
            <w:shd w:val="clear" w:color="auto" w:fill="314A72"/>
          </w:tcPr>
          <w:p>
            <w:pPr>
              <w:spacing w:after="0"/>
              <w:rPr>
                <w:sz w:val="11"/>
                <w:szCs w:val="11"/>
                <w:color w:val="auto"/>
              </w:rPr>
            </w:pPr>
          </w:p>
        </w:tc>
        <w:tc>
          <w:tcPr>
            <w:tcW w:w="1000" w:type="dxa"/>
            <w:vAlign w:val="bottom"/>
            <w:vMerge w:val="continue"/>
            <w:shd w:val="clear" w:color="auto" w:fill="314A72"/>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480" w:type="dxa"/>
            <w:vAlign w:val="bottom"/>
            <w:tcBorders>
              <w:bottom w:val="single" w:sz="8" w:color="auto"/>
            </w:tcBorders>
            <w:shd w:val="clear" w:color="auto" w:fill="314A72"/>
          </w:tcPr>
          <w:p>
            <w:pPr>
              <w:spacing w:after="0"/>
              <w:rPr>
                <w:sz w:val="6"/>
                <w:szCs w:val="6"/>
                <w:color w:val="auto"/>
              </w:rPr>
            </w:pPr>
          </w:p>
        </w:tc>
        <w:tc>
          <w:tcPr>
            <w:tcW w:w="1060" w:type="dxa"/>
            <w:vAlign w:val="bottom"/>
            <w:tcBorders>
              <w:bottom w:val="single" w:sz="8" w:color="auto"/>
            </w:tcBorders>
            <w:shd w:val="clear" w:color="auto" w:fill="314A72"/>
          </w:tcPr>
          <w:p>
            <w:pPr>
              <w:spacing w:after="0"/>
              <w:rPr>
                <w:sz w:val="6"/>
                <w:szCs w:val="6"/>
                <w:color w:val="auto"/>
              </w:rPr>
            </w:pPr>
          </w:p>
        </w:tc>
        <w:tc>
          <w:tcPr>
            <w:tcW w:w="980" w:type="dxa"/>
            <w:vAlign w:val="bottom"/>
            <w:tcBorders>
              <w:bottom w:val="single" w:sz="8" w:color="auto"/>
            </w:tcBorders>
            <w:shd w:val="clear" w:color="auto" w:fill="314A72"/>
          </w:tcPr>
          <w:p>
            <w:pPr>
              <w:spacing w:after="0"/>
              <w:rPr>
                <w:sz w:val="6"/>
                <w:szCs w:val="6"/>
                <w:color w:val="auto"/>
              </w:rPr>
            </w:pPr>
          </w:p>
        </w:tc>
        <w:tc>
          <w:tcPr>
            <w:tcW w:w="1060" w:type="dxa"/>
            <w:vAlign w:val="bottom"/>
            <w:tcBorders>
              <w:bottom w:val="single" w:sz="8" w:color="auto"/>
            </w:tcBorders>
            <w:shd w:val="clear" w:color="auto" w:fill="314A72"/>
          </w:tcPr>
          <w:p>
            <w:pPr>
              <w:spacing w:after="0"/>
              <w:rPr>
                <w:sz w:val="6"/>
                <w:szCs w:val="6"/>
                <w:color w:val="auto"/>
              </w:rPr>
            </w:pPr>
          </w:p>
        </w:tc>
        <w:tc>
          <w:tcPr>
            <w:tcW w:w="1060" w:type="dxa"/>
            <w:vAlign w:val="bottom"/>
            <w:tcBorders>
              <w:bottom w:val="single" w:sz="8" w:color="auto"/>
            </w:tcBorders>
            <w:shd w:val="clear" w:color="auto" w:fill="314A72"/>
          </w:tcPr>
          <w:p>
            <w:pPr>
              <w:spacing w:after="0"/>
              <w:rPr>
                <w:sz w:val="6"/>
                <w:szCs w:val="6"/>
                <w:color w:val="auto"/>
              </w:rPr>
            </w:pPr>
          </w:p>
        </w:tc>
        <w:tc>
          <w:tcPr>
            <w:tcW w:w="1040" w:type="dxa"/>
            <w:vAlign w:val="bottom"/>
            <w:tcBorders>
              <w:bottom w:val="single" w:sz="8" w:color="auto"/>
            </w:tcBorders>
            <w:shd w:val="clear" w:color="auto" w:fill="314A72"/>
          </w:tcPr>
          <w:p>
            <w:pPr>
              <w:spacing w:after="0"/>
              <w:rPr>
                <w:sz w:val="6"/>
                <w:szCs w:val="6"/>
                <w:color w:val="auto"/>
              </w:rPr>
            </w:pPr>
          </w:p>
        </w:tc>
        <w:tc>
          <w:tcPr>
            <w:tcW w:w="1000" w:type="dxa"/>
            <w:vAlign w:val="bottom"/>
            <w:tcBorders>
              <w:bottom w:val="single" w:sz="8" w:color="auto"/>
            </w:tcBorders>
            <w:shd w:val="clear" w:color="auto" w:fill="314A72"/>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shd w:val="clear" w:color="auto" w:fill="F7AB6C"/>
          </w:tcPr>
          <w:p>
            <w:pPr>
              <w:ind w:left="80"/>
              <w:spacing w:after="0"/>
              <w:rPr>
                <w:sz w:val="20"/>
                <w:szCs w:val="20"/>
                <w:color w:val="auto"/>
              </w:rPr>
            </w:pPr>
            <w:r>
              <w:rPr>
                <w:rFonts w:ascii="Arial" w:cs="Arial" w:eastAsia="Arial" w:hAnsi="Arial"/>
                <w:sz w:val="17"/>
                <w:szCs w:val="17"/>
                <w:color w:val="auto"/>
              </w:rPr>
              <w:t>Independent:</w:t>
            </w:r>
          </w:p>
        </w:tc>
        <w:tc>
          <w:tcPr>
            <w:tcW w:w="10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0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0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0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00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480" w:type="dxa"/>
            <w:vAlign w:val="bottom"/>
            <w:shd w:val="clear" w:color="auto" w:fill="F7AB6C"/>
          </w:tcPr>
          <w:p>
            <w:pPr>
              <w:ind w:left="80"/>
              <w:spacing w:after="0"/>
              <w:rPr>
                <w:sz w:val="20"/>
                <w:szCs w:val="20"/>
                <w:color w:val="auto"/>
              </w:rPr>
            </w:pPr>
            <w:r>
              <w:rPr>
                <w:rFonts w:ascii="Arial" w:cs="Arial" w:eastAsia="Arial" w:hAnsi="Arial"/>
                <w:sz w:val="17"/>
                <w:szCs w:val="17"/>
                <w:color w:val="auto"/>
              </w:rPr>
              <w:t>Financial Expert:</w:t>
            </w:r>
          </w:p>
        </w:tc>
        <w:tc>
          <w:tcPr>
            <w:tcW w:w="1060" w:type="dxa"/>
            <w:vAlign w:val="bottom"/>
          </w:tcPr>
          <w:p>
            <w:pPr>
              <w:spacing w:after="0"/>
              <w:rPr>
                <w:sz w:val="24"/>
                <w:szCs w:val="24"/>
                <w:color w:val="auto"/>
              </w:rPr>
            </w:pPr>
          </w:p>
        </w:tc>
        <w:tc>
          <w:tcPr>
            <w:tcW w:w="9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0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0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040" w:type="dxa"/>
            <w:vAlign w:val="bottom"/>
          </w:tcPr>
          <w:p>
            <w:pPr>
              <w:spacing w:after="0"/>
              <w:rPr>
                <w:sz w:val="24"/>
                <w:szCs w:val="24"/>
                <w:color w:val="auto"/>
              </w:rPr>
            </w:pPr>
          </w:p>
        </w:tc>
        <w:tc>
          <w:tcPr>
            <w:tcW w:w="100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80" w:type="dxa"/>
            <w:vAlign w:val="bottom"/>
            <w:tcBorders>
              <w:bottom w:val="single" w:sz="8" w:color="auto"/>
            </w:tcBorders>
            <w:shd w:val="clear" w:color="auto" w:fill="F7AB6C"/>
          </w:tcPr>
          <w:p>
            <w:pPr>
              <w:ind w:left="80"/>
              <w:spacing w:after="0"/>
              <w:rPr>
                <w:sz w:val="20"/>
                <w:szCs w:val="20"/>
                <w:color w:val="auto"/>
              </w:rPr>
            </w:pPr>
            <w:r>
              <w:rPr>
                <w:rFonts w:ascii="Arial" w:cs="Arial" w:eastAsia="Arial" w:hAnsi="Arial"/>
                <w:sz w:val="17"/>
                <w:szCs w:val="17"/>
                <w:color w:val="auto"/>
              </w:rPr>
              <w:t>Meetings in 2025:</w:t>
            </w: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rPr>
              <w:t>5</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5</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5</w:t>
            </w: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80" w:type="dxa"/>
            <w:vAlign w:val="bottom"/>
            <w:shd w:val="clear" w:color="auto" w:fill="F7AB6C"/>
          </w:tcPr>
          <w:p>
            <w:pPr>
              <w:ind w:left="80"/>
              <w:spacing w:after="0"/>
              <w:rPr>
                <w:sz w:val="20"/>
                <w:szCs w:val="20"/>
                <w:color w:val="auto"/>
              </w:rPr>
            </w:pPr>
            <w:r>
              <w:rPr>
                <w:rFonts w:ascii="Arial" w:cs="Arial" w:eastAsia="Arial" w:hAnsi="Arial"/>
                <w:sz w:val="17"/>
                <w:szCs w:val="17"/>
                <w:color w:val="auto"/>
              </w:rPr>
              <w:t>Latest Charter Review:</w:t>
            </w:r>
          </w:p>
        </w:tc>
        <w:tc>
          <w:tcPr>
            <w:tcW w:w="2040" w:type="dxa"/>
            <w:vAlign w:val="bottom"/>
            <w:gridSpan w:val="2"/>
          </w:tcPr>
          <w:p>
            <w:pPr>
              <w:ind w:left="100"/>
              <w:spacing w:after="0"/>
              <w:rPr>
                <w:sz w:val="20"/>
                <w:szCs w:val="20"/>
                <w:color w:val="auto"/>
              </w:rPr>
            </w:pPr>
            <w:r>
              <w:rPr>
                <w:rFonts w:ascii="Arial" w:cs="Arial" w:eastAsia="Arial" w:hAnsi="Arial"/>
                <w:sz w:val="17"/>
                <w:szCs w:val="17"/>
                <w:color w:val="auto"/>
              </w:rPr>
              <w:t>October 28, 2025</w:t>
            </w: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80" w:type="dxa"/>
            <w:vAlign w:val="bottom"/>
            <w:shd w:val="clear" w:color="auto" w:fill="F7AB6C"/>
          </w:tcPr>
          <w:p>
            <w:pPr>
              <w:ind w:left="80"/>
              <w:spacing w:after="0"/>
              <w:rPr>
                <w:sz w:val="20"/>
                <w:szCs w:val="20"/>
                <w:color w:val="auto"/>
              </w:rPr>
            </w:pPr>
            <w:r>
              <w:rPr>
                <w:rFonts w:ascii="Arial" w:cs="Arial" w:eastAsia="Arial" w:hAnsi="Arial"/>
                <w:sz w:val="17"/>
                <w:szCs w:val="17"/>
                <w:color w:val="auto"/>
              </w:rPr>
              <w:t>Primary Charter Directives:    </w:t>
            </w:r>
          </w:p>
        </w:tc>
        <w:tc>
          <w:tcPr>
            <w:tcW w:w="6200" w:type="dxa"/>
            <w:vAlign w:val="bottom"/>
            <w:gridSpan w:val="6"/>
          </w:tcPr>
          <w:p>
            <w:pPr>
              <w:ind w:left="280"/>
              <w:spacing w:after="0"/>
              <w:rPr>
                <w:sz w:val="20"/>
                <w:szCs w:val="20"/>
                <w:color w:val="auto"/>
              </w:rPr>
            </w:pPr>
            <w:r>
              <w:rPr>
                <w:rFonts w:ascii="Arial" w:cs="Arial" w:eastAsia="Arial" w:hAnsi="Arial"/>
                <w:sz w:val="17"/>
                <w:szCs w:val="17"/>
                <w:color w:val="auto"/>
              </w:rPr>
              <w:t>  To provide independent and objective oversight of the Company’s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80" w:type="dxa"/>
            <w:vAlign w:val="bottom"/>
            <w:shd w:val="clear" w:color="auto" w:fill="F7AB6C"/>
          </w:tcPr>
          <w:p>
            <w:pPr>
              <w:spacing w:after="0"/>
              <w:rPr>
                <w:sz w:val="19"/>
                <w:szCs w:val="19"/>
                <w:color w:val="auto"/>
              </w:rPr>
            </w:pPr>
          </w:p>
        </w:tc>
        <w:tc>
          <w:tcPr>
            <w:tcW w:w="5200" w:type="dxa"/>
            <w:vAlign w:val="bottom"/>
            <w:gridSpan w:val="5"/>
          </w:tcPr>
          <w:p>
            <w:pPr>
              <w:ind w:left="440"/>
              <w:spacing w:after="0"/>
              <w:rPr>
                <w:sz w:val="20"/>
                <w:szCs w:val="20"/>
                <w:color w:val="auto"/>
              </w:rPr>
            </w:pPr>
            <w:r>
              <w:rPr>
                <w:rFonts w:ascii="Arial" w:cs="Arial" w:eastAsia="Arial" w:hAnsi="Arial"/>
                <w:sz w:val="17"/>
                <w:szCs w:val="17"/>
                <w:color w:val="auto"/>
              </w:rPr>
              <w:t>accounting functions, internal controls and financial reporting</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shd w:val="clear" w:color="auto" w:fill="F7AB6C"/>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0</wp:posOffset>
            </wp:positionV>
            <wp:extent cx="5511800" cy="264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11800" cy="264160"/>
                    </a:xfrm>
                    <a:prstGeom prst="rect">
                      <a:avLst/>
                    </a:prstGeom>
                    <a:noFill/>
                  </pic:spPr>
                </pic:pic>
              </a:graphicData>
            </a:graphic>
          </wp:anchor>
        </w:drawing>
        <w:drawing>
          <wp:anchor simplePos="0" relativeHeight="251657728" behindDoc="1" locked="0" layoutInCell="0" allowOverlap="1">
            <wp:simplePos x="0" y="0"/>
            <wp:positionH relativeFrom="column">
              <wp:posOffset>6207760</wp:posOffset>
            </wp:positionH>
            <wp:positionV relativeFrom="paragraph">
              <wp:posOffset>-1253490</wp:posOffset>
            </wp:positionV>
            <wp:extent cx="90805" cy="990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0805" cy="99060"/>
                    </a:xfrm>
                    <a:prstGeom prst="rect">
                      <a:avLst/>
                    </a:prstGeom>
                    <a:noFill/>
                  </pic:spPr>
                </pic:pic>
              </a:graphicData>
            </a:graphic>
          </wp:anchor>
        </w:drawing>
      </w:r>
    </w:p>
    <w:p>
      <w:pPr>
        <w:spacing w:after="0" w:line="110"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FFFFFF"/>
        </w:rPr>
        <w:t xml:space="preserve">  Committee Chair  </w:t>
      </w:r>
      <w:r>
        <w:rPr>
          <w:sz w:val="1"/>
          <w:szCs w:val="1"/>
          <w:color w:val="auto"/>
        </w:rPr>
        <w:drawing>
          <wp:inline distT="0" distB="0" distL="0" distR="0">
            <wp:extent cx="90805" cy="9906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0805" cy="990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63500</wp:posOffset>
            </wp:positionV>
            <wp:extent cx="55118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1180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179070</wp:posOffset>
            </wp:positionV>
            <wp:extent cx="63373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NOTES:</w:t>
      </w:r>
    </w:p>
    <w:p>
      <w:pPr>
        <w:spacing w:after="0" w:line="103" w:lineRule="exact"/>
        <w:rPr>
          <w:sz w:val="20"/>
          <w:szCs w:val="20"/>
          <w:color w:val="auto"/>
        </w:rPr>
      </w:pPr>
    </w:p>
    <w:p>
      <w:pPr>
        <w:ind w:left="640" w:right="220"/>
        <w:spacing w:after="0" w:line="259" w:lineRule="auto"/>
        <w:rPr>
          <w:sz w:val="20"/>
          <w:szCs w:val="20"/>
          <w:color w:val="auto"/>
        </w:rPr>
      </w:pPr>
      <w:r>
        <w:rPr>
          <w:rFonts w:ascii="Arial" w:cs="Arial" w:eastAsia="Arial" w:hAnsi="Arial"/>
          <w:sz w:val="17"/>
          <w:szCs w:val="17"/>
          <w:color w:val="auto"/>
        </w:rPr>
        <w:t>Mr. Godfrey retired from the Board on April 30, 2025, and therefore did not attend the meetings held on July 28 and October 28, 2025. Ms. Kountze joined the Committee on April 30, 2025, and therefore did not attend the meetings held on January 28, March 17, and April 29, 2025.</w:t>
      </w:r>
    </w:p>
    <w:p>
      <w:pPr>
        <w:spacing w:after="0" w:line="150" w:lineRule="exact"/>
        <w:rPr>
          <w:sz w:val="20"/>
          <w:szCs w:val="20"/>
          <w:color w:val="auto"/>
        </w:rPr>
      </w:pPr>
    </w:p>
    <w:p>
      <w:pPr>
        <w:ind w:left="640" w:right="280"/>
        <w:spacing w:after="0" w:line="238" w:lineRule="auto"/>
        <w:rPr>
          <w:sz w:val="20"/>
          <w:szCs w:val="20"/>
          <w:color w:val="auto"/>
        </w:rPr>
      </w:pPr>
      <w:r>
        <w:rPr>
          <w:rFonts w:ascii="Arial" w:cs="Arial" w:eastAsia="Arial" w:hAnsi="Arial"/>
          <w:sz w:val="21"/>
          <w:szCs w:val="21"/>
          <w:color w:val="auto"/>
        </w:rPr>
        <w:t xml:space="preserve">The Audit Committee is a separately designated standing audit committee established in accordance with section 3(a)(58)(A) of the Exchange Act. Each member of the Committee is financially literate, knowledgeable and qualified to review financial statements. The Committee operates under a written charter, which it reviews annually, and adopts amendments, if necessary, to reflect changes governing financial reporting and accounting requirements or its responsibilities. The Audit Committee Report, which appears in the section entitled </w:t>
      </w:r>
      <w:r>
        <w:rPr>
          <w:rFonts w:ascii="Arial" w:cs="Arial" w:eastAsia="Arial" w:hAnsi="Arial"/>
          <w:sz w:val="21"/>
          <w:szCs w:val="21"/>
          <w:i w:val="1"/>
          <w:iCs w:val="1"/>
          <w:color w:val="auto"/>
        </w:rPr>
        <w:t>Audit Matters</w:t>
      </w:r>
      <w:r>
        <w:rPr>
          <w:rFonts w:ascii="Arial" w:cs="Arial" w:eastAsia="Arial" w:hAnsi="Arial"/>
          <w:sz w:val="21"/>
          <w:szCs w:val="21"/>
          <w:color w:val="auto"/>
        </w:rPr>
        <w:t>, fully describes the activities and responsibilities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148590</wp:posOffset>
            </wp:positionV>
            <wp:extent cx="6337300" cy="908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620"/>
          </w:cols>
          <w:pgMar w:left="320" w:top="470" w:right="9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69850</wp:posOffset>
            </wp:positionV>
            <wp:extent cx="63373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76" w:lineRule="exact"/>
        <w:rPr>
          <w:sz w:val="20"/>
          <w:szCs w:val="20"/>
          <w:color w:val="auto"/>
        </w:rPr>
      </w:pPr>
    </w:p>
    <w:tbl>
      <w:tblPr>
        <w:tblLayout w:type="fixed"/>
        <w:tblInd w:w="1280" w:type="dxa"/>
        <w:tblCellMar>
          <w:top w:w="0" w:type="dxa"/>
          <w:left w:w="0" w:type="dxa"/>
          <w:bottom w:w="0" w:type="dxa"/>
          <w:right w:w="0" w:type="dxa"/>
        </w:tblCellMar>
      </w:tblPr>
      <w:tr>
        <w:trPr>
          <w:trHeight w:val="267"/>
        </w:trPr>
        <w:tc>
          <w:tcPr>
            <w:tcW w:w="20" w:type="dxa"/>
            <w:vAlign w:val="bottom"/>
          </w:tcPr>
          <w:p>
            <w:pPr>
              <w:spacing w:after="0"/>
              <w:rPr>
                <w:sz w:val="23"/>
                <w:szCs w:val="23"/>
                <w:color w:val="auto"/>
              </w:rPr>
            </w:pPr>
          </w:p>
        </w:tc>
        <w:tc>
          <w:tcPr>
            <w:tcW w:w="2740" w:type="dxa"/>
            <w:vAlign w:val="bottom"/>
            <w:vMerge w:val="restart"/>
            <w:shd w:val="clear" w:color="auto" w:fill="314A72"/>
          </w:tcPr>
          <w:p>
            <w:pPr>
              <w:spacing w:after="0"/>
              <w:rPr>
                <w:sz w:val="20"/>
                <w:szCs w:val="20"/>
                <w:color w:val="auto"/>
              </w:rPr>
            </w:pPr>
            <w:r>
              <w:rPr>
                <w:rFonts w:ascii="Arial" w:cs="Arial" w:eastAsia="Arial" w:hAnsi="Arial"/>
                <w:sz w:val="17"/>
                <w:szCs w:val="17"/>
                <w:b w:val="1"/>
                <w:bCs w:val="1"/>
                <w:color w:val="FFFFFF"/>
              </w:rPr>
              <w:t>  Committee Members</w:t>
            </w:r>
          </w:p>
        </w:tc>
        <w:tc>
          <w:tcPr>
            <w:tcW w:w="940" w:type="dxa"/>
            <w:vAlign w:val="bottom"/>
            <w:shd w:val="clear" w:color="auto" w:fill="314A72"/>
          </w:tcPr>
          <w:p>
            <w:pPr>
              <w:jc w:val="center"/>
              <w:ind w:left="13"/>
              <w:spacing w:after="0"/>
              <w:rPr>
                <w:sz w:val="20"/>
                <w:szCs w:val="20"/>
                <w:color w:val="auto"/>
              </w:rPr>
            </w:pPr>
            <w:r>
              <w:rPr>
                <w:rFonts w:ascii="Arial" w:cs="Arial" w:eastAsia="Arial" w:hAnsi="Arial"/>
                <w:sz w:val="17"/>
                <w:szCs w:val="17"/>
                <w:b w:val="1"/>
                <w:bCs w:val="1"/>
                <w:color w:val="FFFFFF"/>
              </w:rPr>
              <w:t>Anne L.</w:t>
            </w:r>
          </w:p>
        </w:tc>
        <w:tc>
          <w:tcPr>
            <w:tcW w:w="1000" w:type="dxa"/>
            <w:vAlign w:val="bottom"/>
            <w:shd w:val="clear" w:color="auto" w:fill="314A72"/>
          </w:tcPr>
          <w:p>
            <w:pPr>
              <w:jc w:val="center"/>
              <w:spacing w:after="0"/>
              <w:rPr>
                <w:sz w:val="20"/>
                <w:szCs w:val="20"/>
                <w:color w:val="auto"/>
              </w:rPr>
            </w:pPr>
            <w:r>
              <w:rPr>
                <w:rFonts w:ascii="Arial" w:cs="Arial" w:eastAsia="Arial" w:hAnsi="Arial"/>
                <w:sz w:val="17"/>
                <w:szCs w:val="17"/>
                <w:b w:val="1"/>
                <w:bCs w:val="1"/>
                <w:color w:val="FFFFFF"/>
                <w:w w:val="99"/>
              </w:rPr>
              <w:t>Neveen F.</w:t>
            </w:r>
          </w:p>
        </w:tc>
        <w:tc>
          <w:tcPr>
            <w:tcW w:w="1080" w:type="dxa"/>
            <w:vAlign w:val="bottom"/>
            <w:shd w:val="clear" w:color="auto" w:fill="314A72"/>
          </w:tcPr>
          <w:p>
            <w:pPr>
              <w:ind w:left="100"/>
              <w:spacing w:after="0"/>
              <w:rPr>
                <w:sz w:val="20"/>
                <w:szCs w:val="20"/>
                <w:color w:val="auto"/>
              </w:rPr>
            </w:pPr>
            <w:r>
              <w:rPr>
                <w:rFonts w:ascii="Arial" w:cs="Arial" w:eastAsia="Arial" w:hAnsi="Arial"/>
                <w:sz w:val="17"/>
                <w:szCs w:val="17"/>
                <w:b w:val="1"/>
                <w:bCs w:val="1"/>
                <w:color w:val="FFFFFF"/>
              </w:rPr>
              <w:t>Winfield S.</w:t>
            </w:r>
          </w:p>
        </w:tc>
        <w:tc>
          <w:tcPr>
            <w:tcW w:w="900" w:type="dxa"/>
            <w:vAlign w:val="bottom"/>
            <w:shd w:val="clear" w:color="auto" w:fill="314A72"/>
          </w:tcPr>
          <w:p>
            <w:pPr>
              <w:jc w:val="center"/>
              <w:spacing w:after="0"/>
              <w:rPr>
                <w:sz w:val="20"/>
                <w:szCs w:val="20"/>
                <w:color w:val="auto"/>
              </w:rPr>
            </w:pPr>
            <w:r>
              <w:rPr>
                <w:rFonts w:ascii="Arial" w:cs="Arial" w:eastAsia="Arial" w:hAnsi="Arial"/>
                <w:sz w:val="17"/>
                <w:szCs w:val="17"/>
                <w:b w:val="1"/>
                <w:bCs w:val="1"/>
                <w:color w:val="FFFFFF"/>
              </w:rPr>
              <w:t>Suzanne</w:t>
            </w:r>
          </w:p>
        </w:tc>
        <w:tc>
          <w:tcPr>
            <w:tcW w:w="1160" w:type="dxa"/>
            <w:vAlign w:val="bottom"/>
            <w:shd w:val="clear" w:color="auto" w:fill="314A72"/>
          </w:tcPr>
          <w:p>
            <w:pPr>
              <w:jc w:val="center"/>
              <w:spacing w:after="0"/>
              <w:rPr>
                <w:sz w:val="20"/>
                <w:szCs w:val="20"/>
                <w:color w:val="auto"/>
              </w:rPr>
            </w:pPr>
            <w:r>
              <w:rPr>
                <w:rFonts w:ascii="Arial" w:cs="Arial" w:eastAsia="Arial" w:hAnsi="Arial"/>
                <w:sz w:val="17"/>
                <w:szCs w:val="17"/>
                <w:b w:val="1"/>
                <w:bCs w:val="1"/>
                <w:color w:val="FFFFFF"/>
              </w:rPr>
              <w:t>Jane Lewis-</w:t>
            </w:r>
          </w:p>
        </w:tc>
        <w:tc>
          <w:tcPr>
            <w:tcW w:w="860" w:type="dxa"/>
            <w:vAlign w:val="bottom"/>
            <w:shd w:val="clear" w:color="auto" w:fill="314A72"/>
          </w:tcPr>
          <w:p>
            <w:pPr>
              <w:ind w:left="100"/>
              <w:spacing w:after="0"/>
              <w:rPr>
                <w:sz w:val="20"/>
                <w:szCs w:val="20"/>
                <w:color w:val="auto"/>
              </w:rPr>
            </w:pPr>
            <w:r>
              <w:rPr>
                <w:rFonts w:ascii="Arial" w:cs="Arial" w:eastAsia="Arial" w:hAnsi="Arial"/>
                <w:sz w:val="17"/>
                <w:szCs w:val="17"/>
                <w:b w:val="1"/>
                <w:bCs w:val="1"/>
                <w:color w:val="FFFFFF"/>
              </w:rPr>
              <w:t>David 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vMerge w:val="continue"/>
            <w:shd w:val="clear" w:color="auto" w:fill="314A72"/>
          </w:tcPr>
          <w:p>
            <w:pPr>
              <w:spacing w:after="0"/>
              <w:rPr>
                <w:sz w:val="10"/>
                <w:szCs w:val="10"/>
                <w:color w:val="auto"/>
              </w:rPr>
            </w:pPr>
          </w:p>
        </w:tc>
        <w:tc>
          <w:tcPr>
            <w:tcW w:w="940" w:type="dxa"/>
            <w:vAlign w:val="bottom"/>
            <w:vMerge w:val="restart"/>
            <w:shd w:val="clear" w:color="auto" w:fill="314A72"/>
          </w:tcPr>
          <w:p>
            <w:pPr>
              <w:jc w:val="center"/>
              <w:ind w:left="13"/>
              <w:spacing w:after="0"/>
              <w:rPr>
                <w:sz w:val="20"/>
                <w:szCs w:val="20"/>
                <w:color w:val="auto"/>
              </w:rPr>
            </w:pPr>
            <w:r>
              <w:rPr>
                <w:rFonts w:ascii="Arial" w:cs="Arial" w:eastAsia="Arial" w:hAnsi="Arial"/>
                <w:sz w:val="17"/>
                <w:szCs w:val="17"/>
                <w:b w:val="1"/>
                <w:bCs w:val="1"/>
                <w:color w:val="FFFFFF"/>
                <w:w w:val="98"/>
              </w:rPr>
              <w:t>Alonzo</w:t>
            </w:r>
          </w:p>
        </w:tc>
        <w:tc>
          <w:tcPr>
            <w:tcW w:w="1000" w:type="dxa"/>
            <w:vAlign w:val="bottom"/>
            <w:vMerge w:val="restart"/>
            <w:shd w:val="clear" w:color="auto" w:fill="314A72"/>
          </w:tcPr>
          <w:p>
            <w:pPr>
              <w:jc w:val="center"/>
              <w:spacing w:after="0"/>
              <w:rPr>
                <w:sz w:val="20"/>
                <w:szCs w:val="20"/>
                <w:color w:val="auto"/>
              </w:rPr>
            </w:pPr>
            <w:r>
              <w:rPr>
                <w:rFonts w:ascii="Arial" w:cs="Arial" w:eastAsia="Arial" w:hAnsi="Arial"/>
                <w:sz w:val="17"/>
                <w:szCs w:val="17"/>
                <w:b w:val="1"/>
                <w:bCs w:val="1"/>
                <w:color w:val="FFFFFF"/>
              </w:rPr>
              <w:t>Awad</w:t>
            </w:r>
          </w:p>
        </w:tc>
        <w:tc>
          <w:tcPr>
            <w:tcW w:w="1080" w:type="dxa"/>
            <w:vAlign w:val="bottom"/>
            <w:vMerge w:val="restart"/>
            <w:shd w:val="clear" w:color="auto" w:fill="314A72"/>
          </w:tcPr>
          <w:p>
            <w:pPr>
              <w:ind w:left="160"/>
              <w:spacing w:after="0"/>
              <w:rPr>
                <w:sz w:val="20"/>
                <w:szCs w:val="20"/>
                <w:color w:val="auto"/>
              </w:rPr>
            </w:pPr>
            <w:r>
              <w:rPr>
                <w:rFonts w:ascii="Arial" w:cs="Arial" w:eastAsia="Arial" w:hAnsi="Arial"/>
                <w:sz w:val="17"/>
                <w:szCs w:val="17"/>
                <w:b w:val="1"/>
                <w:bCs w:val="1"/>
                <w:color w:val="FFFFFF"/>
              </w:rPr>
              <w:t xml:space="preserve">Brown  </w:t>
            </w:r>
          </w:p>
        </w:tc>
        <w:tc>
          <w:tcPr>
            <w:tcW w:w="900" w:type="dxa"/>
            <w:vAlign w:val="bottom"/>
            <w:vMerge w:val="restart"/>
            <w:shd w:val="clear" w:color="auto" w:fill="314A72"/>
          </w:tcPr>
          <w:p>
            <w:pPr>
              <w:jc w:val="center"/>
              <w:spacing w:after="0"/>
              <w:rPr>
                <w:sz w:val="20"/>
                <w:szCs w:val="20"/>
                <w:color w:val="auto"/>
              </w:rPr>
            </w:pPr>
            <w:r>
              <w:rPr>
                <w:rFonts w:ascii="Arial" w:cs="Arial" w:eastAsia="Arial" w:hAnsi="Arial"/>
                <w:sz w:val="17"/>
                <w:szCs w:val="17"/>
                <w:b w:val="1"/>
                <w:bCs w:val="1"/>
                <w:color w:val="FFFFFF"/>
                <w:w w:val="99"/>
              </w:rPr>
              <w:t>Foster</w:t>
            </w:r>
          </w:p>
        </w:tc>
        <w:tc>
          <w:tcPr>
            <w:tcW w:w="1160" w:type="dxa"/>
            <w:vAlign w:val="bottom"/>
            <w:vMerge w:val="restart"/>
            <w:shd w:val="clear" w:color="auto" w:fill="314A72"/>
          </w:tcPr>
          <w:p>
            <w:pPr>
              <w:jc w:val="center"/>
              <w:spacing w:after="0"/>
              <w:rPr>
                <w:sz w:val="20"/>
                <w:szCs w:val="20"/>
                <w:color w:val="auto"/>
              </w:rPr>
            </w:pPr>
            <w:r>
              <w:rPr>
                <w:rFonts w:ascii="Arial" w:cs="Arial" w:eastAsia="Arial" w:hAnsi="Arial"/>
                <w:sz w:val="17"/>
                <w:szCs w:val="17"/>
                <w:b w:val="1"/>
                <w:bCs w:val="1"/>
                <w:color w:val="FFFFFF"/>
              </w:rPr>
              <w:t>Raymond</w:t>
            </w:r>
          </w:p>
        </w:tc>
        <w:tc>
          <w:tcPr>
            <w:tcW w:w="860" w:type="dxa"/>
            <w:vAlign w:val="bottom"/>
            <w:vMerge w:val="restart"/>
            <w:shd w:val="clear" w:color="auto" w:fill="314A72"/>
          </w:tcPr>
          <w:p>
            <w:pPr>
              <w:ind w:left="100"/>
              <w:spacing w:after="0"/>
              <w:rPr>
                <w:sz w:val="20"/>
                <w:szCs w:val="20"/>
                <w:color w:val="auto"/>
              </w:rPr>
            </w:pPr>
            <w:r>
              <w:rPr>
                <w:rFonts w:ascii="Arial" w:cs="Arial" w:eastAsia="Arial" w:hAnsi="Arial"/>
                <w:sz w:val="17"/>
                <w:szCs w:val="17"/>
                <w:b w:val="1"/>
                <w:bCs w:val="1"/>
                <w:color w:val="FFFFFF"/>
              </w:rPr>
              <w:t>Whiteley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Borders>
              <w:bottom w:val="single" w:sz="8" w:color="auto"/>
            </w:tcBorders>
            <w:shd w:val="clear" w:color="auto" w:fill="314A72"/>
          </w:tcPr>
          <w:p>
            <w:pPr>
              <w:spacing w:after="0"/>
              <w:rPr>
                <w:sz w:val="9"/>
                <w:szCs w:val="9"/>
                <w:color w:val="auto"/>
              </w:rPr>
            </w:pPr>
          </w:p>
        </w:tc>
        <w:tc>
          <w:tcPr>
            <w:tcW w:w="940" w:type="dxa"/>
            <w:vAlign w:val="bottom"/>
            <w:tcBorders>
              <w:bottom w:val="single" w:sz="8" w:color="auto"/>
            </w:tcBorders>
            <w:vMerge w:val="continue"/>
            <w:shd w:val="clear" w:color="auto" w:fill="314A72"/>
          </w:tcPr>
          <w:p>
            <w:pPr>
              <w:spacing w:after="0"/>
              <w:rPr>
                <w:sz w:val="9"/>
                <w:szCs w:val="9"/>
                <w:color w:val="auto"/>
              </w:rPr>
            </w:pPr>
          </w:p>
        </w:tc>
        <w:tc>
          <w:tcPr>
            <w:tcW w:w="1000" w:type="dxa"/>
            <w:vAlign w:val="bottom"/>
            <w:tcBorders>
              <w:bottom w:val="single" w:sz="8" w:color="auto"/>
            </w:tcBorders>
            <w:vMerge w:val="continue"/>
            <w:shd w:val="clear" w:color="auto" w:fill="314A72"/>
          </w:tcPr>
          <w:p>
            <w:pPr>
              <w:spacing w:after="0"/>
              <w:rPr>
                <w:sz w:val="9"/>
                <w:szCs w:val="9"/>
                <w:color w:val="auto"/>
              </w:rPr>
            </w:pPr>
          </w:p>
        </w:tc>
        <w:tc>
          <w:tcPr>
            <w:tcW w:w="1080" w:type="dxa"/>
            <w:vAlign w:val="bottom"/>
            <w:tcBorders>
              <w:bottom w:val="single" w:sz="8" w:color="auto"/>
            </w:tcBorders>
            <w:vMerge w:val="continue"/>
            <w:shd w:val="clear" w:color="auto" w:fill="314A72"/>
          </w:tcPr>
          <w:p>
            <w:pPr>
              <w:spacing w:after="0"/>
              <w:rPr>
                <w:sz w:val="9"/>
                <w:szCs w:val="9"/>
                <w:color w:val="auto"/>
              </w:rPr>
            </w:pPr>
          </w:p>
        </w:tc>
        <w:tc>
          <w:tcPr>
            <w:tcW w:w="900" w:type="dxa"/>
            <w:vAlign w:val="bottom"/>
            <w:tcBorders>
              <w:bottom w:val="single" w:sz="8" w:color="auto"/>
            </w:tcBorders>
            <w:vMerge w:val="continue"/>
            <w:shd w:val="clear" w:color="auto" w:fill="314A72"/>
          </w:tcPr>
          <w:p>
            <w:pPr>
              <w:spacing w:after="0"/>
              <w:rPr>
                <w:sz w:val="9"/>
                <w:szCs w:val="9"/>
                <w:color w:val="auto"/>
              </w:rPr>
            </w:pPr>
          </w:p>
        </w:tc>
        <w:tc>
          <w:tcPr>
            <w:tcW w:w="1160" w:type="dxa"/>
            <w:vAlign w:val="bottom"/>
            <w:tcBorders>
              <w:bottom w:val="single" w:sz="8" w:color="auto"/>
            </w:tcBorders>
            <w:vMerge w:val="continue"/>
            <w:shd w:val="clear" w:color="auto" w:fill="314A72"/>
          </w:tcPr>
          <w:p>
            <w:pPr>
              <w:spacing w:after="0"/>
              <w:rPr>
                <w:sz w:val="9"/>
                <w:szCs w:val="9"/>
                <w:color w:val="auto"/>
              </w:rPr>
            </w:pPr>
          </w:p>
        </w:tc>
        <w:tc>
          <w:tcPr>
            <w:tcW w:w="860" w:type="dxa"/>
            <w:vAlign w:val="bottom"/>
            <w:tcBorders>
              <w:bottom w:val="single" w:sz="8" w:color="auto"/>
            </w:tcBorders>
            <w:vMerge w:val="continue"/>
            <w:shd w:val="clear" w:color="auto" w:fill="314A72"/>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760" w:type="dxa"/>
            <w:vAlign w:val="bottom"/>
            <w:gridSpan w:val="2"/>
          </w:tcPr>
          <w:p>
            <w:pPr>
              <w:spacing w:after="0"/>
              <w:rPr>
                <w:sz w:val="20"/>
                <w:szCs w:val="20"/>
                <w:color w:val="auto"/>
              </w:rPr>
            </w:pPr>
            <w:r>
              <w:rPr>
                <w:rFonts w:ascii="Arial" w:cs="Arial" w:eastAsia="Arial" w:hAnsi="Arial"/>
                <w:sz w:val="17"/>
                <w:szCs w:val="17"/>
                <w:color w:val="auto"/>
              </w:rPr>
              <w:t>  Independent:</w:t>
            </w:r>
          </w:p>
        </w:tc>
        <w:tc>
          <w:tcPr>
            <w:tcW w:w="940" w:type="dxa"/>
            <w:vAlign w:val="bottom"/>
          </w:tcPr>
          <w:p>
            <w:pPr>
              <w:jc w:val="center"/>
              <w:ind w:left="13"/>
              <w:spacing w:after="0" w:line="171" w:lineRule="exact"/>
              <w:rPr>
                <w:sz w:val="20"/>
                <w:szCs w:val="20"/>
                <w:color w:val="auto"/>
              </w:rPr>
            </w:pPr>
            <w:r>
              <w:rPr>
                <w:rFonts w:ascii="MS PGothic" w:cs="MS PGothic" w:eastAsia="MS PGothic" w:hAnsi="MS PGothic"/>
                <w:sz w:val="17"/>
                <w:szCs w:val="17"/>
                <w:color w:val="auto"/>
                <w:w w:val="93"/>
              </w:rPr>
              <w:t>✓</w:t>
            </w:r>
          </w:p>
        </w:tc>
        <w:tc>
          <w:tcPr>
            <w:tcW w:w="100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0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90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1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5"/>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Meetings in 2025:</w:t>
            </w: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5</w:t>
            </w: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4</w:t>
            </w: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5</w:t>
            </w: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1</w:t>
            </w: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rPr>
              <w:t>5</w:t>
            </w: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44"/>
        </w:trPr>
        <w:tc>
          <w:tcPr>
            <w:tcW w:w="2760" w:type="dxa"/>
            <w:vAlign w:val="bottom"/>
            <w:gridSpan w:val="2"/>
          </w:tcPr>
          <w:p>
            <w:pPr>
              <w:spacing w:after="0"/>
              <w:rPr>
                <w:sz w:val="20"/>
                <w:szCs w:val="20"/>
                <w:color w:val="auto"/>
              </w:rPr>
            </w:pPr>
            <w:r>
              <w:rPr>
                <w:rFonts w:ascii="Arial" w:cs="Arial" w:eastAsia="Arial" w:hAnsi="Arial"/>
                <w:sz w:val="17"/>
                <w:szCs w:val="17"/>
                <w:color w:val="auto"/>
              </w:rPr>
              <w:t>  Latest Charter Review:</w:t>
            </w:r>
          </w:p>
        </w:tc>
        <w:tc>
          <w:tcPr>
            <w:tcW w:w="1940" w:type="dxa"/>
            <w:vAlign w:val="bottom"/>
            <w:gridSpan w:val="2"/>
          </w:tcPr>
          <w:p>
            <w:pPr>
              <w:ind w:left="140"/>
              <w:spacing w:after="0"/>
              <w:rPr>
                <w:sz w:val="20"/>
                <w:szCs w:val="20"/>
                <w:color w:val="auto"/>
              </w:rPr>
            </w:pPr>
            <w:r>
              <w:rPr>
                <w:rFonts w:ascii="Arial" w:cs="Arial" w:eastAsia="Arial" w:hAnsi="Arial"/>
                <w:sz w:val="17"/>
                <w:szCs w:val="17"/>
                <w:color w:val="auto"/>
              </w:rPr>
              <w:t>October 28, 2025</w:t>
            </w: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2760" w:type="dxa"/>
            <w:vAlign w:val="bottom"/>
            <w:gridSpan w:val="2"/>
          </w:tcPr>
          <w:p>
            <w:pPr>
              <w:spacing w:after="0"/>
              <w:rPr>
                <w:sz w:val="20"/>
                <w:szCs w:val="20"/>
                <w:color w:val="auto"/>
              </w:rPr>
            </w:pPr>
            <w:r>
              <w:rPr>
                <w:rFonts w:ascii="Arial" w:cs="Arial" w:eastAsia="Arial" w:hAnsi="Arial"/>
                <w:sz w:val="17"/>
                <w:szCs w:val="17"/>
                <w:color w:val="auto"/>
              </w:rPr>
              <w:t>  Primary Charter Directives:    </w:t>
            </w:r>
          </w:p>
        </w:tc>
        <w:tc>
          <w:tcPr>
            <w:tcW w:w="5940" w:type="dxa"/>
            <w:vAlign w:val="bottom"/>
            <w:gridSpan w:val="6"/>
          </w:tcPr>
          <w:p>
            <w:pPr>
              <w:ind w:left="320"/>
              <w:spacing w:after="0"/>
              <w:rPr>
                <w:sz w:val="20"/>
                <w:szCs w:val="20"/>
                <w:color w:val="auto"/>
              </w:rPr>
            </w:pPr>
            <w:r>
              <w:rPr>
                <w:rFonts w:ascii="Arial" w:cs="Arial" w:eastAsia="Arial" w:hAnsi="Arial"/>
                <w:sz w:val="17"/>
                <w:szCs w:val="17"/>
                <w:color w:val="auto"/>
              </w:rPr>
              <w:t>  To establish objectives and interpret the terms of the Company’s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-700405</wp:posOffset>
            </wp:positionV>
            <wp:extent cx="1749425" cy="18072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49425" cy="180721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-824230</wp:posOffset>
            </wp:positionV>
            <wp:extent cx="82550" cy="990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0" cy="9906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compensation policies with regard to base salary, incentive</w:t>
      </w:r>
    </w:p>
    <w:p>
      <w:pPr>
        <w:ind w:left="4520"/>
        <w:spacing w:after="0"/>
        <w:rPr>
          <w:sz w:val="20"/>
          <w:szCs w:val="20"/>
          <w:color w:val="auto"/>
        </w:rPr>
      </w:pPr>
      <w:r>
        <w:rPr>
          <w:rFonts w:ascii="Arial" w:cs="Arial" w:eastAsia="Arial" w:hAnsi="Arial"/>
          <w:sz w:val="17"/>
          <w:szCs w:val="17"/>
          <w:color w:val="auto"/>
        </w:rPr>
        <w:t>compensation, equity compensation, and benefits programs</w:t>
      </w:r>
    </w:p>
    <w:p>
      <w:pPr>
        <w:spacing w:after="0" w:line="49"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  Approval of executive-level base salaries and approval and</w:t>
      </w:r>
    </w:p>
    <w:p>
      <w:pPr>
        <w:spacing w:after="0" w:line="9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recommendation to the Board of base salaries for Named Executive</w:t>
      </w:r>
    </w:p>
    <w:p>
      <w:pPr>
        <w:ind w:left="4520"/>
        <w:spacing w:after="0"/>
        <w:rPr>
          <w:sz w:val="20"/>
          <w:szCs w:val="20"/>
          <w:color w:val="auto"/>
        </w:rPr>
      </w:pPr>
      <w:r>
        <w:rPr>
          <w:rFonts w:ascii="Arial" w:cs="Arial" w:eastAsia="Arial" w:hAnsi="Arial"/>
          <w:sz w:val="17"/>
          <w:szCs w:val="17"/>
          <w:color w:val="auto"/>
        </w:rPr>
        <w:t>Officers</w:t>
      </w:r>
    </w:p>
    <w:p>
      <w:pPr>
        <w:spacing w:after="0" w:line="49" w:lineRule="exact"/>
        <w:rPr>
          <w:sz w:val="20"/>
          <w:szCs w:val="20"/>
          <w:color w:val="auto"/>
        </w:rPr>
      </w:pPr>
    </w:p>
    <w:p>
      <w:pPr>
        <w:ind w:left="4520" w:right="660" w:hanging="81"/>
        <w:spacing w:after="0" w:line="359" w:lineRule="auto"/>
        <w:rPr>
          <w:sz w:val="20"/>
          <w:szCs w:val="20"/>
          <w:color w:val="auto"/>
        </w:rPr>
      </w:pPr>
      <w:r>
        <w:rPr>
          <w:rFonts w:ascii="Arial" w:cs="Arial" w:eastAsia="Arial" w:hAnsi="Arial"/>
          <w:sz w:val="17"/>
          <w:szCs w:val="17"/>
          <w:color w:val="auto"/>
        </w:rPr>
        <w:t>  Review and approval of annual performance measures and approval of annual incentive compensation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-5715</wp:posOffset>
            </wp:positionV>
            <wp:extent cx="5511800" cy="264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11800" cy="264160"/>
                    </a:xfrm>
                    <a:prstGeom prst="rect">
                      <a:avLst/>
                    </a:prstGeom>
                    <a:noFill/>
                  </pic:spPr>
                </pic:pic>
              </a:graphicData>
            </a:graphic>
          </wp:anchor>
        </w:drawing>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FFFFFF"/>
        </w:rPr>
        <w:t xml:space="preserve">  Committee Chair  </w:t>
      </w:r>
      <w:r>
        <w:rPr>
          <w:sz w:val="1"/>
          <w:szCs w:val="1"/>
          <w:color w:val="auto"/>
        </w:rPr>
        <w:drawing>
          <wp:inline distT="0" distB="0" distL="0" distR="0">
            <wp:extent cx="90805" cy="990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0805" cy="990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63500</wp:posOffset>
            </wp:positionV>
            <wp:extent cx="55118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1180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179070</wp:posOffset>
            </wp:positionV>
            <wp:extent cx="63373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NOTES:</w:t>
      </w:r>
    </w:p>
    <w:p>
      <w:pPr>
        <w:spacing w:after="0" w:line="64" w:lineRule="exact"/>
        <w:rPr>
          <w:sz w:val="20"/>
          <w:szCs w:val="20"/>
          <w:color w:val="auto"/>
        </w:rPr>
      </w:pPr>
    </w:p>
    <w:p>
      <w:pPr>
        <w:ind w:left="640" w:right="60"/>
        <w:spacing w:after="0" w:line="280" w:lineRule="auto"/>
        <w:rPr>
          <w:sz w:val="20"/>
          <w:szCs w:val="20"/>
          <w:color w:val="auto"/>
        </w:rPr>
      </w:pPr>
      <w:r>
        <w:rPr>
          <w:rFonts w:ascii="Arial" w:cs="Arial" w:eastAsia="Arial" w:hAnsi="Arial"/>
          <w:sz w:val="17"/>
          <w:szCs w:val="17"/>
          <w:color w:val="auto"/>
        </w:rPr>
        <w:t>Ms. Foster resigned from the Committee on January 29, 2025, and therefore did not attend the meetings held on April 29, July 28, October 28, and December 10, 2025. Ms. Awad did not attend the meeting held on December 10, 2025.</w:t>
      </w:r>
    </w:p>
    <w:p>
      <w:pPr>
        <w:spacing w:after="0" w:line="132" w:lineRule="exact"/>
        <w:rPr>
          <w:sz w:val="20"/>
          <w:szCs w:val="20"/>
          <w:color w:val="auto"/>
        </w:rPr>
      </w:pPr>
    </w:p>
    <w:p>
      <w:pPr>
        <w:ind w:left="640" w:right="220"/>
        <w:spacing w:after="0" w:line="267" w:lineRule="auto"/>
        <w:rPr>
          <w:sz w:val="20"/>
          <w:szCs w:val="20"/>
          <w:color w:val="auto"/>
        </w:rPr>
      </w:pPr>
      <w:r>
        <w:rPr>
          <w:rFonts w:ascii="Arial" w:cs="Arial" w:eastAsia="Arial" w:hAnsi="Arial"/>
          <w:sz w:val="20"/>
          <w:szCs w:val="20"/>
          <w:color w:val="auto"/>
        </w:rPr>
        <w:t xml:space="preserve">The Compensation Committee operates under a written charter, which it reviews annually and, as appropriate, amends to reflect changes in its responsibilities. The specific activities and responsibilities of the Committee are described in greater detail in the section entitled </w:t>
      </w:r>
      <w:r>
        <w:rPr>
          <w:rFonts w:ascii="Arial" w:cs="Arial" w:eastAsia="Arial" w:hAnsi="Arial"/>
          <w:sz w:val="20"/>
          <w:szCs w:val="20"/>
          <w:i w:val="1"/>
          <w:iCs w:val="1"/>
          <w:color w:val="auto"/>
        </w:rPr>
        <w:t>Compensation Committee Operations</w:t>
      </w:r>
      <w:r>
        <w:rPr>
          <w:rFonts w:ascii="Arial" w:cs="Arial" w:eastAsia="Arial" w:hAnsi="Arial"/>
          <w:sz w:val="20"/>
          <w:szCs w:val="20"/>
          <w:color w:val="auto"/>
        </w:rPr>
        <w:t>.</w:t>
      </w:r>
    </w:p>
    <w:p>
      <w:pPr>
        <w:spacing w:after="0" w:line="354"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69850</wp:posOffset>
            </wp:positionV>
            <wp:extent cx="63373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76" w:lineRule="exact"/>
        <w:rPr>
          <w:sz w:val="20"/>
          <w:szCs w:val="20"/>
          <w:color w:val="auto"/>
        </w:rPr>
      </w:pPr>
    </w:p>
    <w:tbl>
      <w:tblPr>
        <w:tblLayout w:type="fixed"/>
        <w:tblInd w:w="128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2540" w:type="dxa"/>
            <w:vAlign w:val="bottom"/>
            <w:vMerge w:val="restart"/>
            <w:shd w:val="clear" w:color="auto" w:fill="314A72"/>
          </w:tcPr>
          <w:p>
            <w:pPr>
              <w:spacing w:after="0"/>
              <w:rPr>
                <w:sz w:val="20"/>
                <w:szCs w:val="20"/>
                <w:color w:val="auto"/>
              </w:rPr>
            </w:pPr>
            <w:r>
              <w:rPr>
                <w:rFonts w:ascii="Arial" w:cs="Arial" w:eastAsia="Arial" w:hAnsi="Arial"/>
                <w:sz w:val="17"/>
                <w:szCs w:val="17"/>
                <w:b w:val="1"/>
                <w:bCs w:val="1"/>
                <w:color w:val="FFFFFF"/>
              </w:rPr>
              <w:t>  Committee Members</w:t>
            </w:r>
          </w:p>
        </w:tc>
        <w:tc>
          <w:tcPr>
            <w:tcW w:w="1620" w:type="dxa"/>
            <w:vAlign w:val="bottom"/>
            <w:shd w:val="clear" w:color="auto" w:fill="314A72"/>
          </w:tcPr>
          <w:p>
            <w:pPr>
              <w:ind w:left="320"/>
              <w:spacing w:after="0"/>
              <w:rPr>
                <w:sz w:val="20"/>
                <w:szCs w:val="20"/>
                <w:color w:val="auto"/>
              </w:rPr>
            </w:pPr>
            <w:r>
              <w:rPr>
                <w:rFonts w:ascii="Arial" w:cs="Arial" w:eastAsia="Arial" w:hAnsi="Arial"/>
                <w:sz w:val="17"/>
                <w:szCs w:val="17"/>
                <w:b w:val="1"/>
                <w:bCs w:val="1"/>
                <w:color w:val="FFFFFF"/>
              </w:rPr>
              <w:t>Winfield S.</w:t>
            </w:r>
          </w:p>
        </w:tc>
        <w:tc>
          <w:tcPr>
            <w:tcW w:w="1080" w:type="dxa"/>
            <w:vAlign w:val="bottom"/>
            <w:shd w:val="clear" w:color="auto" w:fill="314A72"/>
          </w:tcPr>
          <w:p>
            <w:pPr>
              <w:ind w:left="40"/>
              <w:spacing w:after="0"/>
              <w:rPr>
                <w:sz w:val="20"/>
                <w:szCs w:val="20"/>
                <w:color w:val="auto"/>
              </w:rPr>
            </w:pPr>
            <w:r>
              <w:rPr>
                <w:rFonts w:ascii="Arial" w:cs="Arial" w:eastAsia="Arial" w:hAnsi="Arial"/>
                <w:sz w:val="17"/>
                <w:szCs w:val="17"/>
                <w:b w:val="1"/>
                <w:bCs w:val="1"/>
                <w:color w:val="FFFFFF"/>
              </w:rPr>
              <w:t>Michael B.</w:t>
            </w:r>
          </w:p>
        </w:tc>
        <w:tc>
          <w:tcPr>
            <w:tcW w:w="1360" w:type="dxa"/>
            <w:vAlign w:val="bottom"/>
            <w:shd w:val="clear" w:color="auto" w:fill="314A72"/>
          </w:tcPr>
          <w:p>
            <w:pPr>
              <w:jc w:val="center"/>
              <w:spacing w:after="0"/>
              <w:rPr>
                <w:sz w:val="20"/>
                <w:szCs w:val="20"/>
                <w:color w:val="auto"/>
              </w:rPr>
            </w:pPr>
            <w:r>
              <w:rPr>
                <w:rFonts w:ascii="Arial" w:cs="Arial" w:eastAsia="Arial" w:hAnsi="Arial"/>
                <w:sz w:val="17"/>
                <w:szCs w:val="17"/>
                <w:b w:val="1"/>
                <w:bCs w:val="1"/>
                <w:color w:val="FFFFFF"/>
                <w:w w:val="97"/>
              </w:rPr>
              <w:t>Thomas P.</w:t>
            </w:r>
          </w:p>
        </w:tc>
        <w:tc>
          <w:tcPr>
            <w:tcW w:w="960" w:type="dxa"/>
            <w:vAlign w:val="bottom"/>
            <w:shd w:val="clear" w:color="auto" w:fill="314A72"/>
          </w:tcPr>
          <w:p>
            <w:pPr>
              <w:jc w:val="center"/>
              <w:spacing w:after="0"/>
              <w:rPr>
                <w:sz w:val="20"/>
                <w:szCs w:val="20"/>
                <w:color w:val="auto"/>
              </w:rPr>
            </w:pPr>
            <w:r>
              <w:rPr>
                <w:rFonts w:ascii="Arial" w:cs="Arial" w:eastAsia="Arial" w:hAnsi="Arial"/>
                <w:sz w:val="17"/>
                <w:szCs w:val="17"/>
                <w:b w:val="1"/>
                <w:bCs w:val="1"/>
                <w:color w:val="FFFFFF"/>
              </w:rPr>
              <w:t>Justine</w:t>
            </w:r>
          </w:p>
        </w:tc>
        <w:tc>
          <w:tcPr>
            <w:tcW w:w="1120" w:type="dxa"/>
            <w:vAlign w:val="bottom"/>
            <w:shd w:val="clear" w:color="auto" w:fill="314A72"/>
          </w:tcPr>
          <w:p>
            <w:pPr>
              <w:ind w:left="220"/>
              <w:spacing w:after="0"/>
              <w:rPr>
                <w:sz w:val="20"/>
                <w:szCs w:val="20"/>
                <w:color w:val="auto"/>
              </w:rPr>
            </w:pPr>
            <w:r>
              <w:rPr>
                <w:rFonts w:ascii="Arial" w:cs="Arial" w:eastAsia="Arial" w:hAnsi="Arial"/>
                <w:sz w:val="17"/>
                <w:szCs w:val="17"/>
                <w:b w:val="1"/>
                <w:bCs w:val="1"/>
                <w:color w:val="FFFFFF"/>
              </w:rPr>
              <w:t>David 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vMerge w:val="continue"/>
            <w:shd w:val="clear" w:color="auto" w:fill="314A72"/>
          </w:tcPr>
          <w:p>
            <w:pPr>
              <w:spacing w:after="0"/>
              <w:rPr>
                <w:sz w:val="11"/>
                <w:szCs w:val="11"/>
                <w:color w:val="auto"/>
              </w:rPr>
            </w:pPr>
          </w:p>
        </w:tc>
        <w:tc>
          <w:tcPr>
            <w:tcW w:w="1620" w:type="dxa"/>
            <w:vAlign w:val="bottom"/>
            <w:vMerge w:val="restart"/>
            <w:shd w:val="clear" w:color="auto" w:fill="314A72"/>
          </w:tcPr>
          <w:p>
            <w:pPr>
              <w:ind w:left="500"/>
              <w:spacing w:after="0"/>
              <w:rPr>
                <w:sz w:val="20"/>
                <w:szCs w:val="20"/>
                <w:color w:val="auto"/>
              </w:rPr>
            </w:pPr>
            <w:r>
              <w:rPr>
                <w:rFonts w:ascii="Arial" w:cs="Arial" w:eastAsia="Arial" w:hAnsi="Arial"/>
                <w:sz w:val="17"/>
                <w:szCs w:val="17"/>
                <w:b w:val="1"/>
                <w:bCs w:val="1"/>
                <w:color w:val="FFFFFF"/>
              </w:rPr>
              <w:t>Brown</w:t>
            </w:r>
          </w:p>
        </w:tc>
        <w:tc>
          <w:tcPr>
            <w:tcW w:w="1080" w:type="dxa"/>
            <w:vAlign w:val="bottom"/>
            <w:vMerge w:val="restart"/>
            <w:shd w:val="clear" w:color="auto" w:fill="314A72"/>
          </w:tcPr>
          <w:p>
            <w:pPr>
              <w:ind w:left="100"/>
              <w:spacing w:after="0"/>
              <w:rPr>
                <w:sz w:val="20"/>
                <w:szCs w:val="20"/>
                <w:color w:val="auto"/>
              </w:rPr>
            </w:pPr>
            <w:r>
              <w:rPr>
                <w:rFonts w:ascii="Arial" w:cs="Arial" w:eastAsia="Arial" w:hAnsi="Arial"/>
                <w:sz w:val="17"/>
                <w:szCs w:val="17"/>
                <w:b w:val="1"/>
                <w:bCs w:val="1"/>
                <w:color w:val="FFFFFF"/>
              </w:rPr>
              <w:t xml:space="preserve">Green  </w:t>
            </w:r>
          </w:p>
        </w:tc>
        <w:tc>
          <w:tcPr>
            <w:tcW w:w="1360" w:type="dxa"/>
            <w:vAlign w:val="bottom"/>
            <w:vMerge w:val="restart"/>
            <w:shd w:val="clear" w:color="auto" w:fill="314A72"/>
          </w:tcPr>
          <w:p>
            <w:pPr>
              <w:jc w:val="center"/>
              <w:spacing w:after="0"/>
              <w:rPr>
                <w:sz w:val="20"/>
                <w:szCs w:val="20"/>
                <w:color w:val="auto"/>
              </w:rPr>
            </w:pPr>
            <w:r>
              <w:rPr>
                <w:rFonts w:ascii="Arial" w:cs="Arial" w:eastAsia="Arial" w:hAnsi="Arial"/>
                <w:sz w:val="17"/>
                <w:szCs w:val="17"/>
                <w:b w:val="1"/>
                <w:bCs w:val="1"/>
                <w:color w:val="FFFFFF"/>
              </w:rPr>
              <w:t>Meissner, Jr.</w:t>
            </w:r>
          </w:p>
        </w:tc>
        <w:tc>
          <w:tcPr>
            <w:tcW w:w="960" w:type="dxa"/>
            <w:vAlign w:val="bottom"/>
            <w:vMerge w:val="restart"/>
            <w:shd w:val="clear" w:color="auto" w:fill="314A72"/>
          </w:tcPr>
          <w:p>
            <w:pPr>
              <w:jc w:val="center"/>
              <w:ind w:right="13"/>
              <w:spacing w:after="0"/>
              <w:rPr>
                <w:sz w:val="20"/>
                <w:szCs w:val="20"/>
                <w:color w:val="auto"/>
              </w:rPr>
            </w:pPr>
            <w:r>
              <w:rPr>
                <w:rFonts w:ascii="Arial" w:cs="Arial" w:eastAsia="Arial" w:hAnsi="Arial"/>
                <w:sz w:val="17"/>
                <w:szCs w:val="17"/>
                <w:b w:val="1"/>
                <w:bCs w:val="1"/>
                <w:color w:val="FFFFFF"/>
                <w:w w:val="99"/>
              </w:rPr>
              <w:t>Vogel</w:t>
            </w:r>
          </w:p>
        </w:tc>
        <w:tc>
          <w:tcPr>
            <w:tcW w:w="1120" w:type="dxa"/>
            <w:vAlign w:val="bottom"/>
            <w:vMerge w:val="restart"/>
            <w:shd w:val="clear" w:color="auto" w:fill="314A72"/>
          </w:tcPr>
          <w:p>
            <w:pPr>
              <w:ind w:left="200"/>
              <w:spacing w:after="0"/>
              <w:rPr>
                <w:sz w:val="20"/>
                <w:szCs w:val="20"/>
                <w:color w:val="auto"/>
              </w:rPr>
            </w:pPr>
            <w:r>
              <w:rPr>
                <w:rFonts w:ascii="Arial" w:cs="Arial" w:eastAsia="Arial" w:hAnsi="Arial"/>
                <w:sz w:val="17"/>
                <w:szCs w:val="17"/>
                <w:b w:val="1"/>
                <w:bCs w:val="1"/>
                <w:color w:val="FFFFFF"/>
              </w:rPr>
              <w:t>Whiteley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Borders>
              <w:bottom w:val="single" w:sz="8" w:color="auto"/>
            </w:tcBorders>
            <w:shd w:val="clear" w:color="auto" w:fill="314A72"/>
          </w:tcPr>
          <w:p>
            <w:pPr>
              <w:spacing w:after="0"/>
              <w:rPr>
                <w:sz w:val="9"/>
                <w:szCs w:val="9"/>
                <w:color w:val="auto"/>
              </w:rPr>
            </w:pPr>
          </w:p>
        </w:tc>
        <w:tc>
          <w:tcPr>
            <w:tcW w:w="1620" w:type="dxa"/>
            <w:vAlign w:val="bottom"/>
            <w:tcBorders>
              <w:bottom w:val="single" w:sz="8" w:color="auto"/>
            </w:tcBorders>
            <w:vMerge w:val="continue"/>
            <w:shd w:val="clear" w:color="auto" w:fill="314A72"/>
          </w:tcPr>
          <w:p>
            <w:pPr>
              <w:spacing w:after="0"/>
              <w:rPr>
                <w:sz w:val="9"/>
                <w:szCs w:val="9"/>
                <w:color w:val="auto"/>
              </w:rPr>
            </w:pPr>
          </w:p>
        </w:tc>
        <w:tc>
          <w:tcPr>
            <w:tcW w:w="1080" w:type="dxa"/>
            <w:vAlign w:val="bottom"/>
            <w:tcBorders>
              <w:bottom w:val="single" w:sz="8" w:color="auto"/>
            </w:tcBorders>
            <w:vMerge w:val="continue"/>
            <w:shd w:val="clear" w:color="auto" w:fill="314A72"/>
          </w:tcPr>
          <w:p>
            <w:pPr>
              <w:spacing w:after="0"/>
              <w:rPr>
                <w:sz w:val="9"/>
                <w:szCs w:val="9"/>
                <w:color w:val="auto"/>
              </w:rPr>
            </w:pPr>
          </w:p>
        </w:tc>
        <w:tc>
          <w:tcPr>
            <w:tcW w:w="1360" w:type="dxa"/>
            <w:vAlign w:val="bottom"/>
            <w:tcBorders>
              <w:bottom w:val="single" w:sz="8" w:color="auto"/>
            </w:tcBorders>
            <w:vMerge w:val="continue"/>
            <w:shd w:val="clear" w:color="auto" w:fill="314A72"/>
          </w:tcPr>
          <w:p>
            <w:pPr>
              <w:spacing w:after="0"/>
              <w:rPr>
                <w:sz w:val="9"/>
                <w:szCs w:val="9"/>
                <w:color w:val="auto"/>
              </w:rPr>
            </w:pPr>
          </w:p>
        </w:tc>
        <w:tc>
          <w:tcPr>
            <w:tcW w:w="960" w:type="dxa"/>
            <w:vAlign w:val="bottom"/>
            <w:tcBorders>
              <w:bottom w:val="single" w:sz="8" w:color="auto"/>
            </w:tcBorders>
            <w:vMerge w:val="continue"/>
            <w:shd w:val="clear" w:color="auto" w:fill="314A72"/>
          </w:tcPr>
          <w:p>
            <w:pPr>
              <w:spacing w:after="0"/>
              <w:rPr>
                <w:sz w:val="9"/>
                <w:szCs w:val="9"/>
                <w:color w:val="auto"/>
              </w:rPr>
            </w:pPr>
          </w:p>
        </w:tc>
        <w:tc>
          <w:tcPr>
            <w:tcW w:w="1120" w:type="dxa"/>
            <w:vAlign w:val="bottom"/>
            <w:tcBorders>
              <w:bottom w:val="single" w:sz="8" w:color="auto"/>
            </w:tcBorders>
            <w:vMerge w:val="continue"/>
            <w:shd w:val="clear" w:color="auto" w:fill="314A72"/>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540" w:type="dxa"/>
            <w:vAlign w:val="bottom"/>
            <w:shd w:val="clear" w:color="auto" w:fill="F7AB6C"/>
          </w:tcPr>
          <w:p>
            <w:pPr>
              <w:spacing w:after="0"/>
              <w:rPr>
                <w:sz w:val="20"/>
                <w:szCs w:val="20"/>
                <w:color w:val="auto"/>
              </w:rPr>
            </w:pPr>
            <w:r>
              <w:rPr>
                <w:rFonts w:ascii="Arial" w:cs="Arial" w:eastAsia="Arial" w:hAnsi="Arial"/>
                <w:sz w:val="17"/>
                <w:szCs w:val="17"/>
                <w:color w:val="auto"/>
              </w:rPr>
              <w:t>  Independent:</w:t>
            </w:r>
          </w:p>
        </w:tc>
        <w:tc>
          <w:tcPr>
            <w:tcW w:w="16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080" w:type="dxa"/>
            <w:vAlign w:val="bottom"/>
          </w:tcPr>
          <w:p>
            <w:pPr>
              <w:jc w:val="center"/>
              <w:ind w:right="53"/>
              <w:spacing w:after="0" w:line="171" w:lineRule="exact"/>
              <w:rPr>
                <w:sz w:val="20"/>
                <w:szCs w:val="20"/>
                <w:color w:val="auto"/>
              </w:rPr>
            </w:pPr>
            <w:r>
              <w:rPr>
                <w:rFonts w:ascii="MS PGothic" w:cs="MS PGothic" w:eastAsia="MS PGothic" w:hAnsi="MS PGothic"/>
                <w:sz w:val="17"/>
                <w:szCs w:val="17"/>
                <w:color w:val="auto"/>
                <w:w w:val="82"/>
              </w:rPr>
              <w:t>✓</w:t>
            </w:r>
          </w:p>
        </w:tc>
        <w:tc>
          <w:tcPr>
            <w:tcW w:w="1360" w:type="dxa"/>
            <w:vAlign w:val="bottom"/>
          </w:tcPr>
          <w:p>
            <w:pPr>
              <w:spacing w:after="0"/>
              <w:rPr>
                <w:sz w:val="23"/>
                <w:szCs w:val="23"/>
                <w:color w:val="auto"/>
              </w:rPr>
            </w:pPr>
          </w:p>
        </w:tc>
        <w:tc>
          <w:tcPr>
            <w:tcW w:w="960" w:type="dxa"/>
            <w:vAlign w:val="bottom"/>
          </w:tcPr>
          <w:p>
            <w:pPr>
              <w:jc w:val="center"/>
              <w:ind w:right="13"/>
              <w:spacing w:after="0" w:line="171" w:lineRule="exact"/>
              <w:rPr>
                <w:sz w:val="20"/>
                <w:szCs w:val="20"/>
                <w:color w:val="auto"/>
              </w:rPr>
            </w:pPr>
            <w:r>
              <w:rPr>
                <w:rFonts w:ascii="MS PGothic" w:cs="MS PGothic" w:eastAsia="MS PGothic" w:hAnsi="MS PGothic"/>
                <w:sz w:val="17"/>
                <w:szCs w:val="17"/>
                <w:color w:val="auto"/>
                <w:w w:val="82"/>
              </w:rPr>
              <w:t>✓</w:t>
            </w:r>
          </w:p>
        </w:tc>
        <w:tc>
          <w:tcPr>
            <w:tcW w:w="11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shd w:val="clear" w:color="auto" w:fill="F7AB6C"/>
          </w:tcPr>
          <w:p>
            <w:pPr>
              <w:spacing w:after="0"/>
              <w:rPr>
                <w:sz w:val="20"/>
                <w:szCs w:val="20"/>
                <w:color w:val="auto"/>
              </w:rPr>
            </w:pPr>
            <w:r>
              <w:rPr>
                <w:rFonts w:ascii="Arial" w:cs="Arial" w:eastAsia="Arial" w:hAnsi="Arial"/>
                <w:sz w:val="17"/>
                <w:szCs w:val="17"/>
                <w:color w:val="auto"/>
              </w:rPr>
              <w:t>  Meetings in 2025:</w:t>
            </w:r>
          </w:p>
        </w:tc>
        <w:tc>
          <w:tcPr>
            <w:tcW w:w="162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color w:val="auto"/>
              </w:rPr>
              <w:t>2</w:t>
            </w: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color w:val="auto"/>
              </w:rPr>
              <w:t>2</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2</w:t>
            </w: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2</w:t>
            </w: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40" w:type="dxa"/>
            <w:vAlign w:val="bottom"/>
            <w:shd w:val="clear" w:color="auto" w:fill="F7AB6C"/>
          </w:tcPr>
          <w:p>
            <w:pPr>
              <w:spacing w:after="0"/>
              <w:rPr>
                <w:sz w:val="20"/>
                <w:szCs w:val="20"/>
                <w:color w:val="auto"/>
              </w:rPr>
            </w:pPr>
            <w:r>
              <w:rPr>
                <w:rFonts w:ascii="Arial" w:cs="Arial" w:eastAsia="Arial" w:hAnsi="Arial"/>
                <w:sz w:val="17"/>
                <w:szCs w:val="17"/>
                <w:color w:val="auto"/>
              </w:rPr>
              <w:t>  Latest Charter Review:</w:t>
            </w:r>
          </w:p>
        </w:tc>
        <w:tc>
          <w:tcPr>
            <w:tcW w:w="1620" w:type="dxa"/>
            <w:vAlign w:val="bottom"/>
          </w:tcPr>
          <w:p>
            <w:pPr>
              <w:ind w:left="240"/>
              <w:spacing w:after="0"/>
              <w:rPr>
                <w:sz w:val="20"/>
                <w:szCs w:val="20"/>
                <w:color w:val="auto"/>
              </w:rPr>
            </w:pPr>
            <w:r>
              <w:rPr>
                <w:rFonts w:ascii="Arial" w:cs="Arial" w:eastAsia="Arial" w:hAnsi="Arial"/>
                <w:sz w:val="17"/>
                <w:szCs w:val="17"/>
                <w:color w:val="auto"/>
              </w:rPr>
              <w:t>January 27, 2026</w:t>
            </w:r>
          </w:p>
        </w:tc>
        <w:tc>
          <w:tcPr>
            <w:tcW w:w="10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540" w:type="dxa"/>
            <w:vAlign w:val="bottom"/>
            <w:shd w:val="clear" w:color="auto" w:fill="F7AB6C"/>
          </w:tcPr>
          <w:p>
            <w:pPr>
              <w:spacing w:after="0"/>
              <w:rPr>
                <w:sz w:val="20"/>
                <w:szCs w:val="20"/>
                <w:color w:val="auto"/>
              </w:rPr>
            </w:pPr>
            <w:r>
              <w:rPr>
                <w:rFonts w:ascii="Arial" w:cs="Arial" w:eastAsia="Arial" w:hAnsi="Arial"/>
                <w:sz w:val="17"/>
                <w:szCs w:val="17"/>
                <w:color w:val="auto"/>
              </w:rPr>
              <w:t>  Primary Charter Directives:    </w:t>
            </w:r>
          </w:p>
        </w:tc>
        <w:tc>
          <w:tcPr>
            <w:tcW w:w="6140" w:type="dxa"/>
            <w:vAlign w:val="bottom"/>
            <w:gridSpan w:val="5"/>
          </w:tcPr>
          <w:p>
            <w:pPr>
              <w:ind w:left="420"/>
              <w:spacing w:after="0"/>
              <w:rPr>
                <w:sz w:val="20"/>
                <w:szCs w:val="20"/>
                <w:color w:val="auto"/>
              </w:rPr>
            </w:pPr>
            <w:r>
              <w:rPr>
                <w:rFonts w:ascii="Arial" w:cs="Arial" w:eastAsia="Arial" w:hAnsi="Arial"/>
                <w:sz w:val="17"/>
                <w:szCs w:val="17"/>
                <w:color w:val="auto"/>
              </w:rPr>
              <w:t>  To act on behalf of the Board, when necessary, between scheduled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40" w:type="dxa"/>
            <w:vAlign w:val="bottom"/>
            <w:shd w:val="clear" w:color="auto" w:fill="F7AB6C"/>
          </w:tcPr>
          <w:p>
            <w:pPr>
              <w:spacing w:after="0"/>
              <w:rPr>
                <w:sz w:val="19"/>
                <w:szCs w:val="19"/>
                <w:color w:val="auto"/>
              </w:rPr>
            </w:pPr>
          </w:p>
        </w:tc>
        <w:tc>
          <w:tcPr>
            <w:tcW w:w="2700" w:type="dxa"/>
            <w:vAlign w:val="bottom"/>
            <w:gridSpan w:val="2"/>
          </w:tcPr>
          <w:p>
            <w:pPr>
              <w:ind w:left="580"/>
              <w:spacing w:after="0"/>
              <w:rPr>
                <w:sz w:val="20"/>
                <w:szCs w:val="20"/>
                <w:color w:val="auto"/>
              </w:rPr>
            </w:pPr>
            <w:r>
              <w:rPr>
                <w:rFonts w:ascii="Arial" w:cs="Arial" w:eastAsia="Arial" w:hAnsi="Arial"/>
                <w:sz w:val="17"/>
                <w:szCs w:val="17"/>
                <w:color w:val="auto"/>
              </w:rPr>
              <w:t>Board meetings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540" w:type="dxa"/>
            <w:vAlign w:val="bottom"/>
            <w:shd w:val="clear" w:color="auto" w:fill="F7AB6C"/>
          </w:tcPr>
          <w:p>
            <w:pPr>
              <w:spacing w:after="0"/>
              <w:rPr>
                <w:sz w:val="24"/>
                <w:szCs w:val="24"/>
                <w:color w:val="auto"/>
              </w:rPr>
            </w:pPr>
          </w:p>
        </w:tc>
        <w:tc>
          <w:tcPr>
            <w:tcW w:w="6140" w:type="dxa"/>
            <w:vAlign w:val="bottom"/>
            <w:gridSpan w:val="5"/>
          </w:tcPr>
          <w:p>
            <w:pPr>
              <w:ind w:left="420"/>
              <w:spacing w:after="0"/>
              <w:rPr>
                <w:sz w:val="20"/>
                <w:szCs w:val="20"/>
                <w:color w:val="auto"/>
              </w:rPr>
            </w:pPr>
            <w:r>
              <w:rPr>
                <w:rFonts w:ascii="Arial" w:cs="Arial" w:eastAsia="Arial" w:hAnsi="Arial"/>
                <w:sz w:val="17"/>
                <w:szCs w:val="17"/>
                <w:color w:val="auto"/>
              </w:rPr>
              <w:t>  Annual Review of CEO performance (jointly with the Compensation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40" w:type="dxa"/>
            <w:vAlign w:val="bottom"/>
            <w:shd w:val="clear" w:color="auto" w:fill="F7AB6C"/>
          </w:tcPr>
          <w:p>
            <w:pPr>
              <w:spacing w:after="0"/>
              <w:rPr>
                <w:sz w:val="19"/>
                <w:szCs w:val="19"/>
                <w:color w:val="auto"/>
              </w:rPr>
            </w:pPr>
          </w:p>
        </w:tc>
        <w:tc>
          <w:tcPr>
            <w:tcW w:w="1620" w:type="dxa"/>
            <w:vAlign w:val="bottom"/>
          </w:tcPr>
          <w:p>
            <w:pPr>
              <w:ind w:left="580"/>
              <w:spacing w:after="0"/>
              <w:rPr>
                <w:sz w:val="20"/>
                <w:szCs w:val="20"/>
                <w:color w:val="auto"/>
              </w:rPr>
            </w:pPr>
            <w:r>
              <w:rPr>
                <w:rFonts w:ascii="Arial" w:cs="Arial" w:eastAsia="Arial" w:hAnsi="Arial"/>
                <w:sz w:val="17"/>
                <w:szCs w:val="17"/>
                <w:color w:val="auto"/>
              </w:rPr>
              <w:t>Committee)</w:t>
            </w: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40" w:type="dxa"/>
            <w:vAlign w:val="bottom"/>
            <w:shd w:val="clear" w:color="auto" w:fill="F7AB6C"/>
          </w:tcPr>
          <w:p>
            <w:pPr>
              <w:spacing w:after="0"/>
              <w:rPr>
                <w:sz w:val="6"/>
                <w:szCs w:val="6"/>
                <w:color w:val="auto"/>
              </w:rPr>
            </w:pPr>
          </w:p>
        </w:tc>
        <w:tc>
          <w:tcPr>
            <w:tcW w:w="16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0</wp:posOffset>
            </wp:positionV>
            <wp:extent cx="5511800" cy="264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11800" cy="26416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-1360805</wp:posOffset>
            </wp:positionV>
            <wp:extent cx="82550" cy="990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0" cy="99060"/>
                    </a:xfrm>
                    <a:prstGeom prst="rect">
                      <a:avLst/>
                    </a:prstGeom>
                    <a:noFill/>
                  </pic:spPr>
                </pic:pic>
              </a:graphicData>
            </a:graphic>
          </wp:anchor>
        </w:drawing>
      </w:r>
    </w:p>
    <w:p>
      <w:pPr>
        <w:spacing w:after="0" w:line="110"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FFFFFF"/>
        </w:rPr>
        <w:t xml:space="preserve">  Committee Chair  </w:t>
      </w:r>
      <w:r>
        <w:rPr>
          <w:sz w:val="1"/>
          <w:szCs w:val="1"/>
          <w:color w:val="auto"/>
        </w:rPr>
        <w:drawing>
          <wp:inline distT="0" distB="0" distL="0" distR="0">
            <wp:extent cx="90805" cy="990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0805" cy="990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63500</wp:posOffset>
            </wp:positionV>
            <wp:extent cx="55118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1180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179070</wp:posOffset>
            </wp:positionV>
            <wp:extent cx="63373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40" w:right="40"/>
        <w:spacing w:after="0" w:line="259" w:lineRule="auto"/>
        <w:rPr>
          <w:sz w:val="20"/>
          <w:szCs w:val="20"/>
          <w:color w:val="auto"/>
        </w:rPr>
      </w:pPr>
      <w:r>
        <w:rPr>
          <w:rFonts w:ascii="Arial" w:cs="Arial" w:eastAsia="Arial" w:hAnsi="Arial"/>
          <w:sz w:val="20"/>
          <w:szCs w:val="20"/>
          <w:color w:val="auto"/>
        </w:rPr>
        <w:t>The Executive Committee operates under a written charter, which it reviews annually and, as appropriate, amends to reflect changes in its responsibilities. Committee membership includes the Chairman of the Board, the lead director, and the chairs of the Audit, Compensation, and Nominating and Governance Committees of the Board, as well as any additional Board members appointed at the discretion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137160</wp:posOffset>
            </wp:positionV>
            <wp:extent cx="6337300" cy="908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620"/>
          </w:cols>
          <w:pgMar w:left="320" w:top="470" w:right="9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Nominating &amp;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69850</wp:posOffset>
            </wp:positionV>
            <wp:extent cx="63373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76" w:lineRule="exact"/>
        <w:rPr>
          <w:sz w:val="20"/>
          <w:szCs w:val="20"/>
          <w:color w:val="auto"/>
        </w:rPr>
      </w:pPr>
    </w:p>
    <w:tbl>
      <w:tblPr>
        <w:tblLayout w:type="fixed"/>
        <w:tblInd w:w="1280" w:type="dxa"/>
        <w:tblCellMar>
          <w:top w:w="0" w:type="dxa"/>
          <w:left w:w="0" w:type="dxa"/>
          <w:bottom w:w="0" w:type="dxa"/>
          <w:right w:w="0" w:type="dxa"/>
        </w:tblCellMar>
      </w:tblPr>
      <w:tr>
        <w:trPr>
          <w:trHeight w:val="267"/>
        </w:trPr>
        <w:tc>
          <w:tcPr>
            <w:tcW w:w="20" w:type="dxa"/>
            <w:vAlign w:val="bottom"/>
          </w:tcPr>
          <w:p>
            <w:pPr>
              <w:spacing w:after="0"/>
              <w:rPr>
                <w:sz w:val="23"/>
                <w:szCs w:val="23"/>
                <w:color w:val="auto"/>
              </w:rPr>
            </w:pPr>
          </w:p>
        </w:tc>
        <w:tc>
          <w:tcPr>
            <w:tcW w:w="2620" w:type="dxa"/>
            <w:vAlign w:val="bottom"/>
            <w:vMerge w:val="restart"/>
            <w:shd w:val="clear" w:color="auto" w:fill="314A72"/>
          </w:tcPr>
          <w:p>
            <w:pPr>
              <w:spacing w:after="0"/>
              <w:rPr>
                <w:sz w:val="20"/>
                <w:szCs w:val="20"/>
                <w:color w:val="auto"/>
              </w:rPr>
            </w:pPr>
            <w:r>
              <w:rPr>
                <w:rFonts w:ascii="Arial" w:cs="Arial" w:eastAsia="Arial" w:hAnsi="Arial"/>
                <w:sz w:val="17"/>
                <w:szCs w:val="17"/>
                <w:b w:val="1"/>
                <w:bCs w:val="1"/>
                <w:color w:val="FFFFFF"/>
              </w:rPr>
              <w:t>  Committee Members</w:t>
            </w:r>
          </w:p>
        </w:tc>
        <w:tc>
          <w:tcPr>
            <w:tcW w:w="1300" w:type="dxa"/>
            <w:vAlign w:val="bottom"/>
            <w:shd w:val="clear" w:color="auto" w:fill="314A72"/>
          </w:tcPr>
          <w:p>
            <w:pPr>
              <w:jc w:val="center"/>
              <w:ind w:left="13"/>
              <w:spacing w:after="0"/>
              <w:rPr>
                <w:sz w:val="20"/>
                <w:szCs w:val="20"/>
                <w:color w:val="auto"/>
              </w:rPr>
            </w:pPr>
            <w:r>
              <w:rPr>
                <w:rFonts w:ascii="Arial" w:cs="Arial" w:eastAsia="Arial" w:hAnsi="Arial"/>
                <w:sz w:val="17"/>
                <w:szCs w:val="17"/>
                <w:b w:val="1"/>
                <w:bCs w:val="1"/>
                <w:color w:val="FFFFFF"/>
                <w:w w:val="99"/>
              </w:rPr>
              <w:t>Neveen F.</w:t>
            </w:r>
          </w:p>
        </w:tc>
        <w:tc>
          <w:tcPr>
            <w:tcW w:w="1300" w:type="dxa"/>
            <w:vAlign w:val="bottom"/>
            <w:shd w:val="clear" w:color="auto" w:fill="314A72"/>
          </w:tcPr>
          <w:p>
            <w:pPr>
              <w:jc w:val="center"/>
              <w:spacing w:after="0"/>
              <w:rPr>
                <w:sz w:val="20"/>
                <w:szCs w:val="20"/>
                <w:color w:val="auto"/>
              </w:rPr>
            </w:pPr>
            <w:r>
              <w:rPr>
                <w:rFonts w:ascii="Arial" w:cs="Arial" w:eastAsia="Arial" w:hAnsi="Arial"/>
                <w:sz w:val="17"/>
                <w:szCs w:val="17"/>
                <w:b w:val="1"/>
                <w:bCs w:val="1"/>
                <w:color w:val="FFFFFF"/>
              </w:rPr>
              <w:t>Winfield S.</w:t>
            </w:r>
          </w:p>
        </w:tc>
        <w:tc>
          <w:tcPr>
            <w:tcW w:w="1120" w:type="dxa"/>
            <w:vAlign w:val="bottom"/>
            <w:shd w:val="clear" w:color="auto" w:fill="314A72"/>
          </w:tcPr>
          <w:p>
            <w:pPr>
              <w:jc w:val="center"/>
              <w:spacing w:after="0"/>
              <w:rPr>
                <w:sz w:val="20"/>
                <w:szCs w:val="20"/>
                <w:color w:val="auto"/>
              </w:rPr>
            </w:pPr>
            <w:r>
              <w:rPr>
                <w:rFonts w:ascii="Arial" w:cs="Arial" w:eastAsia="Arial" w:hAnsi="Arial"/>
                <w:sz w:val="17"/>
                <w:szCs w:val="17"/>
                <w:b w:val="1"/>
                <w:bCs w:val="1"/>
                <w:color w:val="FFFFFF"/>
              </w:rPr>
              <w:t>Suzanne</w:t>
            </w:r>
          </w:p>
        </w:tc>
        <w:tc>
          <w:tcPr>
            <w:tcW w:w="1180" w:type="dxa"/>
            <w:vAlign w:val="bottom"/>
            <w:shd w:val="clear" w:color="auto" w:fill="314A72"/>
          </w:tcPr>
          <w:p>
            <w:pPr>
              <w:jc w:val="center"/>
              <w:spacing w:after="0"/>
              <w:rPr>
                <w:sz w:val="20"/>
                <w:szCs w:val="20"/>
                <w:color w:val="auto"/>
              </w:rPr>
            </w:pPr>
            <w:r>
              <w:rPr>
                <w:rFonts w:ascii="Arial" w:cs="Arial" w:eastAsia="Arial" w:hAnsi="Arial"/>
                <w:sz w:val="17"/>
                <w:szCs w:val="17"/>
                <w:b w:val="1"/>
                <w:bCs w:val="1"/>
                <w:color w:val="FFFFFF"/>
              </w:rPr>
              <w:t>Michael B.</w:t>
            </w:r>
          </w:p>
        </w:tc>
        <w:tc>
          <w:tcPr>
            <w:tcW w:w="1160" w:type="dxa"/>
            <w:vAlign w:val="bottom"/>
            <w:shd w:val="clear" w:color="auto" w:fill="314A72"/>
          </w:tcPr>
          <w:p>
            <w:pPr>
              <w:jc w:val="center"/>
              <w:spacing w:after="0"/>
              <w:rPr>
                <w:sz w:val="20"/>
                <w:szCs w:val="20"/>
                <w:color w:val="auto"/>
              </w:rPr>
            </w:pPr>
            <w:r>
              <w:rPr>
                <w:rFonts w:ascii="Arial" w:cs="Arial" w:eastAsia="Arial" w:hAnsi="Arial"/>
                <w:sz w:val="17"/>
                <w:szCs w:val="17"/>
                <w:b w:val="1"/>
                <w:bCs w:val="1"/>
                <w:color w:val="FFFFFF"/>
                <w:w w:val="86"/>
              </w:rPr>
              <w:t>David A. 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20" w:type="dxa"/>
            <w:vAlign w:val="bottom"/>
            <w:vMerge w:val="continue"/>
            <w:shd w:val="clear" w:color="auto" w:fill="314A72"/>
          </w:tcPr>
          <w:p>
            <w:pPr>
              <w:spacing w:after="0"/>
              <w:rPr>
                <w:sz w:val="10"/>
                <w:szCs w:val="10"/>
                <w:color w:val="auto"/>
              </w:rPr>
            </w:pPr>
          </w:p>
        </w:tc>
        <w:tc>
          <w:tcPr>
            <w:tcW w:w="1300" w:type="dxa"/>
            <w:vAlign w:val="bottom"/>
            <w:vMerge w:val="restart"/>
            <w:shd w:val="clear" w:color="auto" w:fill="314A72"/>
          </w:tcPr>
          <w:p>
            <w:pPr>
              <w:jc w:val="center"/>
              <w:spacing w:after="0"/>
              <w:rPr>
                <w:sz w:val="20"/>
                <w:szCs w:val="20"/>
                <w:color w:val="auto"/>
              </w:rPr>
            </w:pPr>
            <w:r>
              <w:rPr>
                <w:rFonts w:ascii="Arial" w:cs="Arial" w:eastAsia="Arial" w:hAnsi="Arial"/>
                <w:sz w:val="17"/>
                <w:szCs w:val="17"/>
                <w:b w:val="1"/>
                <w:bCs w:val="1"/>
                <w:color w:val="FFFFFF"/>
              </w:rPr>
              <w:t>Awad</w:t>
            </w:r>
          </w:p>
        </w:tc>
        <w:tc>
          <w:tcPr>
            <w:tcW w:w="1300" w:type="dxa"/>
            <w:vAlign w:val="bottom"/>
            <w:vMerge w:val="restart"/>
            <w:shd w:val="clear" w:color="auto" w:fill="314A72"/>
          </w:tcPr>
          <w:p>
            <w:pPr>
              <w:jc w:val="center"/>
              <w:spacing w:after="0"/>
              <w:rPr>
                <w:sz w:val="20"/>
                <w:szCs w:val="20"/>
                <w:color w:val="auto"/>
              </w:rPr>
            </w:pPr>
            <w:r>
              <w:rPr>
                <w:rFonts w:ascii="Arial" w:cs="Arial" w:eastAsia="Arial" w:hAnsi="Arial"/>
                <w:sz w:val="17"/>
                <w:szCs w:val="17"/>
                <w:b w:val="1"/>
                <w:bCs w:val="1"/>
                <w:color w:val="FFFFFF"/>
              </w:rPr>
              <w:t>Brown</w:t>
            </w:r>
          </w:p>
        </w:tc>
        <w:tc>
          <w:tcPr>
            <w:tcW w:w="1120" w:type="dxa"/>
            <w:vAlign w:val="bottom"/>
            <w:vMerge w:val="restart"/>
            <w:shd w:val="clear" w:color="auto" w:fill="314A72"/>
          </w:tcPr>
          <w:p>
            <w:pPr>
              <w:jc w:val="center"/>
              <w:spacing w:after="0"/>
              <w:rPr>
                <w:sz w:val="20"/>
                <w:szCs w:val="20"/>
                <w:color w:val="auto"/>
              </w:rPr>
            </w:pPr>
            <w:r>
              <w:rPr>
                <w:rFonts w:ascii="Arial" w:cs="Arial" w:eastAsia="Arial" w:hAnsi="Arial"/>
                <w:sz w:val="17"/>
                <w:szCs w:val="17"/>
                <w:b w:val="1"/>
                <w:bCs w:val="1"/>
                <w:color w:val="FFFFFF"/>
                <w:w w:val="99"/>
              </w:rPr>
              <w:t>Foster</w:t>
            </w:r>
          </w:p>
        </w:tc>
        <w:tc>
          <w:tcPr>
            <w:tcW w:w="1180" w:type="dxa"/>
            <w:vAlign w:val="bottom"/>
            <w:vMerge w:val="restart"/>
            <w:shd w:val="clear" w:color="auto" w:fill="314A72"/>
          </w:tcPr>
          <w:p>
            <w:pPr>
              <w:jc w:val="center"/>
              <w:spacing w:after="0"/>
              <w:rPr>
                <w:sz w:val="20"/>
                <w:szCs w:val="20"/>
                <w:color w:val="auto"/>
              </w:rPr>
            </w:pPr>
            <w:r>
              <w:rPr>
                <w:rFonts w:ascii="Arial" w:cs="Arial" w:eastAsia="Arial" w:hAnsi="Arial"/>
                <w:sz w:val="17"/>
                <w:szCs w:val="17"/>
                <w:b w:val="1"/>
                <w:bCs w:val="1"/>
                <w:color w:val="FFFFFF"/>
              </w:rPr>
              <w:t>Green</w:t>
            </w:r>
          </w:p>
        </w:tc>
        <w:tc>
          <w:tcPr>
            <w:tcW w:w="1160" w:type="dxa"/>
            <w:vAlign w:val="bottom"/>
            <w:vMerge w:val="restart"/>
            <w:shd w:val="clear" w:color="auto" w:fill="314A72"/>
          </w:tcPr>
          <w:p>
            <w:pPr>
              <w:jc w:val="center"/>
              <w:spacing w:after="0"/>
              <w:rPr>
                <w:sz w:val="20"/>
                <w:szCs w:val="20"/>
                <w:color w:val="auto"/>
              </w:rPr>
            </w:pPr>
            <w:r>
              <w:rPr>
                <w:rFonts w:ascii="Arial" w:cs="Arial" w:eastAsia="Arial" w:hAnsi="Arial"/>
                <w:sz w:val="17"/>
                <w:szCs w:val="17"/>
                <w:b w:val="1"/>
                <w:bCs w:val="1"/>
                <w:color w:val="FFFFFF"/>
                <w:w w:val="86"/>
              </w:rPr>
              <w:t>Whiteley  </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Borders>
              <w:bottom w:val="single" w:sz="8" w:color="auto"/>
            </w:tcBorders>
            <w:shd w:val="clear" w:color="auto" w:fill="314A72"/>
          </w:tcPr>
          <w:p>
            <w:pPr>
              <w:spacing w:after="0"/>
              <w:rPr>
                <w:sz w:val="9"/>
                <w:szCs w:val="9"/>
                <w:color w:val="auto"/>
              </w:rPr>
            </w:pPr>
          </w:p>
        </w:tc>
        <w:tc>
          <w:tcPr>
            <w:tcW w:w="1300" w:type="dxa"/>
            <w:vAlign w:val="bottom"/>
            <w:tcBorders>
              <w:bottom w:val="single" w:sz="8" w:color="auto"/>
            </w:tcBorders>
            <w:vMerge w:val="continue"/>
            <w:shd w:val="clear" w:color="auto" w:fill="314A72"/>
          </w:tcPr>
          <w:p>
            <w:pPr>
              <w:spacing w:after="0"/>
              <w:rPr>
                <w:sz w:val="9"/>
                <w:szCs w:val="9"/>
                <w:color w:val="auto"/>
              </w:rPr>
            </w:pPr>
          </w:p>
        </w:tc>
        <w:tc>
          <w:tcPr>
            <w:tcW w:w="1300" w:type="dxa"/>
            <w:vAlign w:val="bottom"/>
            <w:tcBorders>
              <w:bottom w:val="single" w:sz="8" w:color="auto"/>
            </w:tcBorders>
            <w:vMerge w:val="continue"/>
            <w:shd w:val="clear" w:color="auto" w:fill="314A72"/>
          </w:tcPr>
          <w:p>
            <w:pPr>
              <w:spacing w:after="0"/>
              <w:rPr>
                <w:sz w:val="9"/>
                <w:szCs w:val="9"/>
                <w:color w:val="auto"/>
              </w:rPr>
            </w:pPr>
          </w:p>
        </w:tc>
        <w:tc>
          <w:tcPr>
            <w:tcW w:w="1120" w:type="dxa"/>
            <w:vAlign w:val="bottom"/>
            <w:tcBorders>
              <w:bottom w:val="single" w:sz="8" w:color="auto"/>
            </w:tcBorders>
            <w:vMerge w:val="continue"/>
            <w:shd w:val="clear" w:color="auto" w:fill="314A72"/>
          </w:tcPr>
          <w:p>
            <w:pPr>
              <w:spacing w:after="0"/>
              <w:rPr>
                <w:sz w:val="9"/>
                <w:szCs w:val="9"/>
                <w:color w:val="auto"/>
              </w:rPr>
            </w:pPr>
          </w:p>
        </w:tc>
        <w:tc>
          <w:tcPr>
            <w:tcW w:w="1180" w:type="dxa"/>
            <w:vAlign w:val="bottom"/>
            <w:tcBorders>
              <w:bottom w:val="single" w:sz="8" w:color="auto"/>
            </w:tcBorders>
            <w:vMerge w:val="continue"/>
            <w:shd w:val="clear" w:color="auto" w:fill="314A72"/>
          </w:tcPr>
          <w:p>
            <w:pPr>
              <w:spacing w:after="0"/>
              <w:rPr>
                <w:sz w:val="9"/>
                <w:szCs w:val="9"/>
                <w:color w:val="auto"/>
              </w:rPr>
            </w:pPr>
          </w:p>
        </w:tc>
        <w:tc>
          <w:tcPr>
            <w:tcW w:w="1160" w:type="dxa"/>
            <w:vAlign w:val="bottom"/>
            <w:tcBorders>
              <w:bottom w:val="single" w:sz="8" w:color="auto"/>
            </w:tcBorders>
            <w:vMerge w:val="continue"/>
            <w:shd w:val="clear" w:color="auto" w:fill="314A72"/>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640" w:type="dxa"/>
            <w:vAlign w:val="bottom"/>
            <w:gridSpan w:val="2"/>
          </w:tcPr>
          <w:p>
            <w:pPr>
              <w:spacing w:after="0"/>
              <w:rPr>
                <w:sz w:val="20"/>
                <w:szCs w:val="20"/>
                <w:color w:val="auto"/>
              </w:rPr>
            </w:pPr>
            <w:r>
              <w:rPr>
                <w:rFonts w:ascii="Arial" w:cs="Arial" w:eastAsia="Arial" w:hAnsi="Arial"/>
                <w:sz w:val="17"/>
                <w:szCs w:val="17"/>
                <w:color w:val="auto"/>
              </w:rPr>
              <w:t>  Independent:</w:t>
            </w:r>
          </w:p>
        </w:tc>
        <w:tc>
          <w:tcPr>
            <w:tcW w:w="1300" w:type="dxa"/>
            <w:vAlign w:val="bottom"/>
          </w:tcPr>
          <w:p>
            <w:pPr>
              <w:jc w:val="center"/>
              <w:ind w:left="13"/>
              <w:spacing w:after="0" w:line="171" w:lineRule="exact"/>
              <w:rPr>
                <w:sz w:val="20"/>
                <w:szCs w:val="20"/>
                <w:color w:val="auto"/>
              </w:rPr>
            </w:pPr>
            <w:r>
              <w:rPr>
                <w:rFonts w:ascii="MS PGothic" w:cs="MS PGothic" w:eastAsia="MS PGothic" w:hAnsi="MS PGothic"/>
                <w:sz w:val="17"/>
                <w:szCs w:val="17"/>
                <w:color w:val="auto"/>
                <w:w w:val="93"/>
              </w:rPr>
              <w:t>✓</w:t>
            </w:r>
          </w:p>
        </w:tc>
        <w:tc>
          <w:tcPr>
            <w:tcW w:w="130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1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1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1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5"/>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Meetings in 2025:</w:t>
            </w: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color w:val="auto"/>
              </w:rPr>
              <w:t>4</w:t>
            </w: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color w:val="auto"/>
              </w:rPr>
              <w:t>4</w:t>
            </w: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4</w:t>
            </w: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rPr>
              <w:t>4</w:t>
            </w: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44"/>
        </w:trPr>
        <w:tc>
          <w:tcPr>
            <w:tcW w:w="2640" w:type="dxa"/>
            <w:vAlign w:val="bottom"/>
            <w:gridSpan w:val="2"/>
          </w:tcPr>
          <w:p>
            <w:pPr>
              <w:spacing w:after="0"/>
              <w:rPr>
                <w:sz w:val="20"/>
                <w:szCs w:val="20"/>
                <w:color w:val="auto"/>
              </w:rPr>
            </w:pPr>
            <w:r>
              <w:rPr>
                <w:rFonts w:ascii="Arial" w:cs="Arial" w:eastAsia="Arial" w:hAnsi="Arial"/>
                <w:sz w:val="17"/>
                <w:szCs w:val="17"/>
                <w:color w:val="auto"/>
              </w:rPr>
              <w:t>  Latest Charter Review:</w:t>
            </w: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October 28, 2025</w:t>
            </w: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5"/>
        </w:trPr>
        <w:tc>
          <w:tcPr>
            <w:tcW w:w="2640" w:type="dxa"/>
            <w:vAlign w:val="bottom"/>
            <w:gridSpan w:val="2"/>
          </w:tcPr>
          <w:p>
            <w:pPr>
              <w:spacing w:after="0"/>
              <w:rPr>
                <w:sz w:val="20"/>
                <w:szCs w:val="20"/>
                <w:color w:val="auto"/>
              </w:rPr>
            </w:pPr>
            <w:r>
              <w:rPr>
                <w:rFonts w:ascii="Arial" w:cs="Arial" w:eastAsia="Arial" w:hAnsi="Arial"/>
                <w:sz w:val="17"/>
                <w:szCs w:val="17"/>
                <w:color w:val="auto"/>
              </w:rPr>
              <w:t>  Primary Charter Directives:    </w:t>
            </w:r>
          </w:p>
        </w:tc>
        <w:tc>
          <w:tcPr>
            <w:tcW w:w="6060" w:type="dxa"/>
            <w:vAlign w:val="bottom"/>
            <w:gridSpan w:val="5"/>
          </w:tcPr>
          <w:p>
            <w:pPr>
              <w:ind w:left="380"/>
              <w:spacing w:after="0"/>
              <w:rPr>
                <w:sz w:val="20"/>
                <w:szCs w:val="20"/>
                <w:color w:val="auto"/>
              </w:rPr>
            </w:pPr>
            <w:r>
              <w:rPr>
                <w:rFonts w:ascii="Arial" w:cs="Arial" w:eastAsia="Arial" w:hAnsi="Arial"/>
                <w:sz w:val="17"/>
                <w:szCs w:val="17"/>
                <w:color w:val="auto"/>
              </w:rPr>
              <w:t>  The review and oversight of corporate governance standards</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060" w:type="dxa"/>
            <w:vAlign w:val="bottom"/>
            <w:gridSpan w:val="5"/>
          </w:tcPr>
          <w:p>
            <w:pPr>
              <w:ind w:left="380"/>
              <w:spacing w:after="0"/>
              <w:rPr>
                <w:sz w:val="20"/>
                <w:szCs w:val="20"/>
                <w:color w:val="auto"/>
              </w:rPr>
            </w:pPr>
            <w:r>
              <w:rPr>
                <w:rFonts w:ascii="Arial" w:cs="Arial" w:eastAsia="Arial" w:hAnsi="Arial"/>
                <w:sz w:val="17"/>
                <w:szCs w:val="17"/>
                <w:color w:val="auto"/>
              </w:rPr>
              <w:t>  To oversee recruitment of potential nominees for Board members,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-915035</wp:posOffset>
            </wp:positionV>
            <wp:extent cx="1666875" cy="20218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66875" cy="202184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7"/>
          <w:szCs w:val="17"/>
          <w:color w:val="auto"/>
        </w:rPr>
        <w:t>review and evaluate qualifications of potential Board members, and</w:t>
      </w:r>
    </w:p>
    <w:p>
      <w:pPr>
        <w:ind w:left="4480"/>
        <w:spacing w:after="0"/>
        <w:rPr>
          <w:sz w:val="20"/>
          <w:szCs w:val="20"/>
          <w:color w:val="auto"/>
        </w:rPr>
      </w:pPr>
      <w:r>
        <w:rPr>
          <w:rFonts w:ascii="Arial" w:cs="Arial" w:eastAsia="Arial" w:hAnsi="Arial"/>
          <w:sz w:val="17"/>
          <w:szCs w:val="17"/>
          <w:color w:val="auto"/>
        </w:rPr>
        <w:t>recommend to the Board nominees for vacancies occurring from time</w:t>
      </w:r>
    </w:p>
    <w:p>
      <w:pPr>
        <w:ind w:left="4480"/>
        <w:spacing w:after="0"/>
        <w:rPr>
          <w:sz w:val="20"/>
          <w:szCs w:val="20"/>
          <w:color w:val="auto"/>
        </w:rPr>
      </w:pPr>
      <w:r>
        <w:rPr>
          <w:rFonts w:ascii="Arial" w:cs="Arial" w:eastAsia="Arial" w:hAnsi="Arial"/>
          <w:sz w:val="17"/>
          <w:szCs w:val="17"/>
          <w:color w:val="auto"/>
        </w:rPr>
        <w:t>to time on the Board</w:t>
      </w:r>
    </w:p>
    <w:p>
      <w:pPr>
        <w:spacing w:after="0" w:line="4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  To review Board member performance prior to recommendation for</w:t>
      </w:r>
    </w:p>
    <w:p>
      <w:pPr>
        <w:spacing w:after="0" w:line="93"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nomination to stand for election to an additional term</w:t>
      </w:r>
    </w:p>
    <w:p>
      <w:pPr>
        <w:spacing w:after="0" w:line="4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  The annual review and evaluation of Directors’ compensation and</w:t>
      </w:r>
    </w:p>
    <w:p>
      <w:pPr>
        <w:spacing w:after="0" w:line="93"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recommendation of any changes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57785</wp:posOffset>
            </wp:positionV>
            <wp:extent cx="5511800" cy="264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11800" cy="264160"/>
                    </a:xfrm>
                    <a:prstGeom prst="rect">
                      <a:avLst/>
                    </a:prstGeom>
                    <a:noFill/>
                  </pic:spPr>
                </pic:pic>
              </a:graphicData>
            </a:graphic>
          </wp:anchor>
        </w:drawing>
      </w:r>
    </w:p>
    <w:p>
      <w:pPr>
        <w:spacing w:after="0" w:line="201"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FFFFFF"/>
        </w:rPr>
        <w:t xml:space="preserve">  Committee Chair  </w:t>
      </w:r>
      <w:r>
        <w:rPr>
          <w:sz w:val="1"/>
          <w:szCs w:val="1"/>
          <w:color w:val="auto"/>
        </w:rPr>
        <w:drawing>
          <wp:inline distT="0" distB="0" distL="0" distR="0">
            <wp:extent cx="90805" cy="9906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0805" cy="990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63500</wp:posOffset>
            </wp:positionV>
            <wp:extent cx="55118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1180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179070</wp:posOffset>
            </wp:positionV>
            <wp:extent cx="63373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40" w:right="460"/>
        <w:spacing w:after="0" w:line="264" w:lineRule="auto"/>
        <w:rPr>
          <w:sz w:val="20"/>
          <w:szCs w:val="20"/>
          <w:color w:val="auto"/>
        </w:rPr>
      </w:pPr>
      <w:r>
        <w:rPr>
          <w:rFonts w:ascii="Arial" w:cs="Arial" w:eastAsia="Arial" w:hAnsi="Arial"/>
          <w:sz w:val="21"/>
          <w:szCs w:val="21"/>
          <w:color w:val="auto"/>
        </w:rPr>
        <w:t>The Nominating and Governance Committee operates under a written charter, which it reviews annually and, as appropriate, amends to reflect changes in its responsibilities.</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All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78105</wp:posOffset>
            </wp:positionV>
            <wp:extent cx="63373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24" w:lineRule="exact"/>
        <w:rPr>
          <w:sz w:val="20"/>
          <w:szCs w:val="20"/>
          <w:color w:val="auto"/>
        </w:rPr>
      </w:pPr>
    </w:p>
    <w:p>
      <w:pPr>
        <w:ind w:left="640" w:right="80"/>
        <w:spacing w:after="0" w:line="236" w:lineRule="auto"/>
        <w:rPr>
          <w:sz w:val="20"/>
          <w:szCs w:val="20"/>
          <w:color w:val="auto"/>
        </w:rPr>
      </w:pPr>
      <w:r>
        <w:rPr>
          <w:rFonts w:ascii="Arial" w:cs="Arial" w:eastAsia="Arial" w:hAnsi="Arial"/>
          <w:sz w:val="21"/>
          <w:szCs w:val="21"/>
          <w:color w:val="auto"/>
        </w:rPr>
        <w:t>The existence and activities of all committees of the Board do not alter the traditional roles and responsibilities of Unitil’s management. All committees may delegate authority to individuals or subcommittees when they deem appropriate, subject to applicable laws, rules or regulations. However, in delegating authority, a committee shall not be absolved from the responsibilities designated under the terms of its respective charter. All committees shall undertake any other action or exercise such other powers, authority, duties and responsibilities as necessary or appropriate to the discharge of the duties and responsibilities set forth in their respective charters or our Bylaws, or otherwise required by the listing standards of the NYSE or other applicable laws, rules or regulations, or as shall otherwise be determined by or assigned by the Board.</w:t>
      </w:r>
    </w:p>
    <w:p>
      <w:pPr>
        <w:spacing w:after="0" w:line="176" w:lineRule="exact"/>
        <w:rPr>
          <w:sz w:val="20"/>
          <w:szCs w:val="20"/>
          <w:color w:val="auto"/>
        </w:rPr>
      </w:pPr>
    </w:p>
    <w:p>
      <w:pPr>
        <w:ind w:left="640" w:right="200"/>
        <w:spacing w:after="0" w:line="237" w:lineRule="auto"/>
        <w:rPr>
          <w:sz w:val="20"/>
          <w:szCs w:val="20"/>
          <w:color w:val="auto"/>
        </w:rPr>
      </w:pPr>
      <w:r>
        <w:rPr>
          <w:rFonts w:ascii="Arial" w:cs="Arial" w:eastAsia="Arial" w:hAnsi="Arial"/>
          <w:sz w:val="21"/>
          <w:szCs w:val="21"/>
          <w:color w:val="auto"/>
        </w:rPr>
        <w:t xml:space="preserve">The charters for each of the standing committees are available in the Corporate Governance section of the Investor Relations section of our website at </w:t>
      </w:r>
      <w:r>
        <w:rPr>
          <w:rFonts w:ascii="Arial" w:cs="Arial" w:eastAsia="Arial" w:hAnsi="Arial"/>
          <w:sz w:val="21"/>
          <w:szCs w:val="21"/>
          <w:u w:val="single" w:color="auto"/>
          <w:color w:val="314A72"/>
        </w:rPr>
        <w:t>unitil.com/investors</w:t>
      </w:r>
      <w:r>
        <w:rPr>
          <w:rFonts w:ascii="Arial" w:cs="Arial" w:eastAsia="Arial" w:hAnsi="Arial"/>
          <w:sz w:val="21"/>
          <w:szCs w:val="21"/>
          <w:color w:val="auto"/>
        </w:rPr>
        <w:t xml:space="preserve">, or in print to any shareholder or other interested party, free of charge, upon request to the Office of the Corporate Secretary, Unitil Corporation, 6 Liberty Lane West, Hampton, NH 03842-1720; or to </w:t>
      </w:r>
      <w:r>
        <w:rPr>
          <w:rFonts w:ascii="Arial" w:cs="Arial" w:eastAsia="Arial" w:hAnsi="Arial"/>
          <w:sz w:val="21"/>
          <w:szCs w:val="21"/>
          <w:u w:val="single" w:color="auto"/>
          <w:color w:val="314A72"/>
        </w:rPr>
        <w:t>InvestorRelations@unitil.com</w:t>
      </w:r>
      <w:r>
        <w:rPr>
          <w:rFonts w:ascii="Arial" w:cs="Arial" w:eastAsia="Arial" w:hAnsi="Arial"/>
          <w:sz w:val="21"/>
          <w:szCs w:val="21"/>
          <w:color w:val="auto"/>
        </w:rPr>
        <w:t>; or by calling toll free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800-999-6501.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156210</wp:posOffset>
            </wp:positionV>
            <wp:extent cx="6337300" cy="908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620"/>
          </w:cols>
          <w:pgMar w:left="320" w:top="470" w:right="9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313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337300" cy="313690"/>
                    </a:xfrm>
                    <a:prstGeom prst="rect">
                      <a:avLst/>
                    </a:prstGeom>
                    <a:noFill/>
                  </pic:spPr>
                </pic:pic>
              </a:graphicData>
            </a:graphic>
          </wp:anchor>
        </w:drawing>
      </w:r>
    </w:p>
    <w:p>
      <w:pPr>
        <w:spacing w:after="0" w:line="348" w:lineRule="exact"/>
        <w:rPr>
          <w:sz w:val="20"/>
          <w:szCs w:val="20"/>
          <w:color w:val="auto"/>
        </w:rPr>
      </w:pPr>
    </w:p>
    <w:p>
      <w:pPr>
        <w:ind w:left="4360"/>
        <w:spacing w:after="0"/>
        <w:rPr>
          <w:sz w:val="20"/>
          <w:szCs w:val="20"/>
          <w:color w:val="auto"/>
        </w:rPr>
      </w:pPr>
      <w:r>
        <w:rPr>
          <w:rFonts w:ascii="Arial" w:cs="Arial" w:eastAsia="Arial" w:hAnsi="Arial"/>
          <w:sz w:val="31"/>
          <w:szCs w:val="31"/>
          <w:b w:val="1"/>
          <w:bCs w:val="1"/>
          <w:color w:val="auto"/>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64135</wp:posOffset>
            </wp:positionV>
            <wp:extent cx="63373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AUDIT COMMITTEE REPORT</w:t>
      </w:r>
    </w:p>
    <w:p>
      <w:pPr>
        <w:spacing w:after="0" w:line="242" w:lineRule="exact"/>
        <w:rPr>
          <w:sz w:val="20"/>
          <w:szCs w:val="20"/>
          <w:color w:val="auto"/>
        </w:rPr>
      </w:pPr>
    </w:p>
    <w:p>
      <w:pPr>
        <w:ind w:left="640" w:right="80"/>
        <w:spacing w:after="0" w:line="236" w:lineRule="auto"/>
        <w:rPr>
          <w:sz w:val="20"/>
          <w:szCs w:val="20"/>
          <w:color w:val="auto"/>
        </w:rPr>
      </w:pPr>
      <w:r>
        <w:rPr>
          <w:rFonts w:ascii="Arial" w:cs="Arial" w:eastAsia="Arial" w:hAnsi="Arial"/>
          <w:sz w:val="21"/>
          <w:szCs w:val="21"/>
          <w:color w:val="auto"/>
        </w:rPr>
        <w:t>The following report is submitted by the Audit Committee with respect to our audited financial statements for the fiscal year ended December 31, 2025. In discharging its oversight responsibility regarding the audit process, the Audit Committee has discussed with Deloitte &amp; Touche LLP (“Deloitte”), our Company’s independent registered public accounting firm for the fiscal year ended December 31, 2025, the matters required to be discussed by AS 1301, as adopted by the Public Company Accounting Oversight Board. In addition, the Committee has received the written disclosures and the letter from Deloitte required by applicable requirements of the Public Company Accounting Oversight Board regarding Deloitte’s communications with the Committee concerning independence and has discussed with Deloitte the firm’s independence with respect to our Company.</w:t>
      </w:r>
    </w:p>
    <w:p>
      <w:pPr>
        <w:spacing w:after="0" w:line="176" w:lineRule="exact"/>
        <w:rPr>
          <w:sz w:val="20"/>
          <w:szCs w:val="20"/>
          <w:color w:val="auto"/>
        </w:rPr>
      </w:pPr>
    </w:p>
    <w:p>
      <w:pPr>
        <w:ind w:left="640" w:right="40"/>
        <w:spacing w:after="0" w:line="253" w:lineRule="auto"/>
        <w:rPr>
          <w:sz w:val="20"/>
          <w:szCs w:val="20"/>
          <w:color w:val="auto"/>
        </w:rPr>
      </w:pPr>
      <w:r>
        <w:rPr>
          <w:rFonts w:ascii="Arial" w:cs="Arial" w:eastAsia="Arial" w:hAnsi="Arial"/>
          <w:sz w:val="20"/>
          <w:szCs w:val="20"/>
          <w:color w:val="auto"/>
        </w:rPr>
        <w:t>During 2025, the Audit Committee members received quarterly financial information for review and comment prior to the filing of each of our Forms 10-Q with the SEC. In fulfilling its responsibilities relating to the financial statements, the Committee also reviewed and discussed our significant accounting policies and the audited financial statements for the fiscal year ended December 31, 2025, with management and Deloitte. Based on the review and discussions with management and Deloitte, the Committee recommended to the Board that the audited financial statements be included in the 2025 Form 10-K for filing with the SEC.</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Audit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69850</wp:posOffset>
            </wp:positionV>
            <wp:extent cx="63373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Anne L. Alonzo, Mark H. Collin, Michael B. Green, Katherine Kountze, and Justine Vogel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167005</wp:posOffset>
            </wp:positionV>
            <wp:extent cx="6337300" cy="825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620"/>
          </w:cols>
          <w:pgMar w:left="320" w:top="470" w:right="9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PRINCIPAL ACCOUNTANT FEES &amp; SERVICES</w:t>
      </w:r>
    </w:p>
    <w:p>
      <w:pPr>
        <w:spacing w:after="0" w:line="242" w:lineRule="exact"/>
        <w:rPr>
          <w:sz w:val="20"/>
          <w:szCs w:val="20"/>
          <w:color w:val="auto"/>
        </w:rPr>
      </w:pPr>
    </w:p>
    <w:p>
      <w:pPr>
        <w:ind w:left="640" w:right="260"/>
        <w:spacing w:after="0" w:line="290" w:lineRule="auto"/>
        <w:rPr>
          <w:sz w:val="20"/>
          <w:szCs w:val="20"/>
          <w:color w:val="auto"/>
        </w:rPr>
      </w:pPr>
      <w:r>
        <w:rPr>
          <w:rFonts w:ascii="Arial" w:cs="Arial" w:eastAsia="Arial" w:hAnsi="Arial"/>
          <w:sz w:val="20"/>
          <w:szCs w:val="20"/>
          <w:color w:val="auto"/>
        </w:rPr>
        <w:t>The following table presents fees for professional services rendered by Deloitte, Unitil’s independent registered public accounting firm, for the fiscal years ended December 31, 2025, and December 31, 2024.</w:t>
      </w:r>
    </w:p>
    <w:p>
      <w:pPr>
        <w:spacing w:after="0" w:line="289" w:lineRule="exact"/>
        <w:rPr>
          <w:sz w:val="20"/>
          <w:szCs w:val="20"/>
          <w:color w:val="auto"/>
        </w:rPr>
      </w:pPr>
    </w:p>
    <w:tbl>
      <w:tblPr>
        <w:tblLayout w:type="fixed"/>
        <w:tblInd w:w="2240" w:type="dxa"/>
        <w:tblCellMar>
          <w:top w:w="0" w:type="dxa"/>
          <w:left w:w="0" w:type="dxa"/>
          <w:bottom w:w="0" w:type="dxa"/>
          <w:right w:w="0" w:type="dxa"/>
        </w:tblCellMar>
      </w:tblPr>
      <w:tr>
        <w:trPr>
          <w:trHeight w:val="286"/>
        </w:trPr>
        <w:tc>
          <w:tcPr>
            <w:tcW w:w="3700" w:type="dxa"/>
            <w:vAlign w:val="bottom"/>
            <w:tcBorders>
              <w:bottom w:val="single" w:sz="8" w:color="auto"/>
            </w:tcBorders>
            <w:shd w:val="clear" w:color="auto" w:fill="314A72"/>
          </w:tcPr>
          <w:p>
            <w:pPr>
              <w:spacing w:after="0"/>
              <w:rPr>
                <w:sz w:val="24"/>
                <w:szCs w:val="24"/>
                <w:color w:val="auto"/>
              </w:rPr>
            </w:pPr>
          </w:p>
        </w:tc>
        <w:tc>
          <w:tcPr>
            <w:tcW w:w="1540" w:type="dxa"/>
            <w:vAlign w:val="bottom"/>
            <w:tcBorders>
              <w:bottom w:val="single" w:sz="8" w:color="auto"/>
            </w:tcBorders>
            <w:gridSpan w:val="3"/>
            <w:shd w:val="clear" w:color="auto" w:fill="314A72"/>
          </w:tcPr>
          <w:p>
            <w:pPr>
              <w:jc w:val="right"/>
              <w:ind w:right="233"/>
              <w:spacing w:after="0"/>
              <w:rPr>
                <w:sz w:val="20"/>
                <w:szCs w:val="20"/>
                <w:color w:val="auto"/>
              </w:rPr>
            </w:pPr>
            <w:r>
              <w:rPr>
                <w:rFonts w:ascii="Arial" w:cs="Arial" w:eastAsia="Arial" w:hAnsi="Arial"/>
                <w:sz w:val="19"/>
                <w:szCs w:val="19"/>
                <w:b w:val="1"/>
                <w:bCs w:val="1"/>
                <w:color w:val="FFFFFF"/>
              </w:rPr>
              <w:t>Fiscal 2025</w:t>
            </w:r>
          </w:p>
        </w:tc>
        <w:tc>
          <w:tcPr>
            <w:tcW w:w="1540" w:type="dxa"/>
            <w:vAlign w:val="bottom"/>
            <w:tcBorders>
              <w:bottom w:val="single" w:sz="8" w:color="auto"/>
            </w:tcBorders>
            <w:gridSpan w:val="2"/>
            <w:shd w:val="clear" w:color="auto" w:fill="314A72"/>
          </w:tcPr>
          <w:p>
            <w:pPr>
              <w:ind w:left="300"/>
              <w:spacing w:after="0"/>
              <w:rPr>
                <w:sz w:val="20"/>
                <w:szCs w:val="20"/>
                <w:color w:val="auto"/>
              </w:rPr>
            </w:pPr>
            <w:r>
              <w:rPr>
                <w:rFonts w:ascii="Arial" w:cs="Arial" w:eastAsia="Arial" w:hAnsi="Arial"/>
                <w:sz w:val="19"/>
                <w:szCs w:val="19"/>
                <w:b w:val="1"/>
                <w:bCs w:val="1"/>
                <w:color w:val="FFFFFF"/>
              </w:rPr>
              <w:t>Fiscal 2024</w:t>
            </w:r>
          </w:p>
        </w:tc>
      </w:tr>
      <w:tr>
        <w:trPr>
          <w:trHeight w:val="171"/>
        </w:trPr>
        <w:tc>
          <w:tcPr>
            <w:tcW w:w="3700" w:type="dxa"/>
            <w:vAlign w:val="bottom"/>
            <w:shd w:val="clear" w:color="auto" w:fill="DAE6F2"/>
          </w:tcPr>
          <w:p>
            <w:pPr>
              <w:ind w:left="180"/>
              <w:spacing w:after="0" w:line="172" w:lineRule="exact"/>
              <w:rPr>
                <w:sz w:val="20"/>
                <w:szCs w:val="20"/>
                <w:color w:val="auto"/>
              </w:rPr>
            </w:pPr>
            <w:r>
              <w:rPr>
                <w:rFonts w:ascii="Arial" w:cs="Arial" w:eastAsia="Arial" w:hAnsi="Arial"/>
                <w:sz w:val="17"/>
                <w:szCs w:val="17"/>
                <w:color w:val="auto"/>
              </w:rPr>
              <w:t>Audit Fees</w:t>
            </w:r>
          </w:p>
        </w:tc>
        <w:tc>
          <w:tcPr>
            <w:tcW w:w="300" w:type="dxa"/>
            <w:vAlign w:val="bottom"/>
            <w:shd w:val="clear" w:color="auto" w:fill="DAE6F2"/>
          </w:tcPr>
          <w:p>
            <w:pPr>
              <w:jc w:val="right"/>
              <w:spacing w:after="0" w:line="172" w:lineRule="exact"/>
              <w:rPr>
                <w:sz w:val="20"/>
                <w:szCs w:val="20"/>
                <w:color w:val="auto"/>
              </w:rPr>
            </w:pPr>
            <w:r>
              <w:rPr>
                <w:rFonts w:ascii="Arial" w:cs="Arial" w:eastAsia="Arial" w:hAnsi="Arial"/>
                <w:sz w:val="17"/>
                <w:szCs w:val="17"/>
                <w:color w:val="auto"/>
              </w:rPr>
              <w:t>$</w:t>
            </w:r>
          </w:p>
        </w:tc>
        <w:tc>
          <w:tcPr>
            <w:tcW w:w="120" w:type="dxa"/>
            <w:vAlign w:val="bottom"/>
            <w:shd w:val="clear" w:color="auto" w:fill="DAE6F2"/>
          </w:tcPr>
          <w:p>
            <w:pPr>
              <w:spacing w:after="0"/>
              <w:rPr>
                <w:sz w:val="14"/>
                <w:szCs w:val="14"/>
                <w:color w:val="auto"/>
              </w:rPr>
            </w:pPr>
          </w:p>
        </w:tc>
        <w:tc>
          <w:tcPr>
            <w:tcW w:w="1120" w:type="dxa"/>
            <w:vAlign w:val="bottom"/>
            <w:shd w:val="clear" w:color="auto" w:fill="DAE6F2"/>
          </w:tcPr>
          <w:p>
            <w:pPr>
              <w:jc w:val="right"/>
              <w:ind w:right="213"/>
              <w:spacing w:after="0" w:line="172" w:lineRule="exact"/>
              <w:rPr>
                <w:sz w:val="20"/>
                <w:szCs w:val="20"/>
                <w:color w:val="auto"/>
              </w:rPr>
            </w:pPr>
            <w:r>
              <w:rPr>
                <w:rFonts w:ascii="Arial" w:cs="Arial" w:eastAsia="Arial" w:hAnsi="Arial"/>
                <w:sz w:val="17"/>
                <w:szCs w:val="17"/>
                <w:color w:val="auto"/>
              </w:rPr>
              <w:t>1,836,863</w:t>
            </w:r>
          </w:p>
        </w:tc>
        <w:tc>
          <w:tcPr>
            <w:tcW w:w="500" w:type="dxa"/>
            <w:vAlign w:val="bottom"/>
            <w:shd w:val="clear" w:color="auto" w:fill="DAE6F2"/>
          </w:tcPr>
          <w:p>
            <w:pPr>
              <w:ind w:left="280"/>
              <w:spacing w:after="0" w:line="172" w:lineRule="exact"/>
              <w:rPr>
                <w:sz w:val="20"/>
                <w:szCs w:val="20"/>
                <w:color w:val="auto"/>
              </w:rPr>
            </w:pPr>
            <w:r>
              <w:rPr>
                <w:rFonts w:ascii="Arial" w:cs="Arial" w:eastAsia="Arial" w:hAnsi="Arial"/>
                <w:sz w:val="17"/>
                <w:szCs w:val="17"/>
                <w:color w:val="auto"/>
              </w:rPr>
              <w:t>$</w:t>
            </w:r>
          </w:p>
        </w:tc>
        <w:tc>
          <w:tcPr>
            <w:tcW w:w="1040" w:type="dxa"/>
            <w:vAlign w:val="bottom"/>
            <w:shd w:val="clear" w:color="auto" w:fill="DAE6F2"/>
          </w:tcPr>
          <w:p>
            <w:pPr>
              <w:jc w:val="right"/>
              <w:ind w:right="113"/>
              <w:spacing w:after="0" w:line="172" w:lineRule="exact"/>
              <w:rPr>
                <w:sz w:val="20"/>
                <w:szCs w:val="20"/>
                <w:color w:val="auto"/>
              </w:rPr>
            </w:pPr>
            <w:r>
              <w:rPr>
                <w:rFonts w:ascii="Arial" w:cs="Arial" w:eastAsia="Arial" w:hAnsi="Arial"/>
                <w:sz w:val="17"/>
                <w:szCs w:val="17"/>
                <w:color w:val="auto"/>
              </w:rPr>
              <w:t>1,324,388</w:t>
            </w:r>
          </w:p>
        </w:tc>
      </w:tr>
      <w:tr>
        <w:trPr>
          <w:trHeight w:val="195"/>
        </w:trPr>
        <w:tc>
          <w:tcPr>
            <w:tcW w:w="3700" w:type="dxa"/>
            <w:vAlign w:val="bottom"/>
            <w:shd w:val="clear" w:color="auto" w:fill="DAE6F2"/>
          </w:tcPr>
          <w:p>
            <w:pPr>
              <w:ind w:left="180"/>
              <w:spacing w:after="0"/>
              <w:rPr>
                <w:sz w:val="20"/>
                <w:szCs w:val="20"/>
                <w:color w:val="auto"/>
              </w:rPr>
            </w:pPr>
            <w:r>
              <w:rPr>
                <w:rFonts w:ascii="Arial" w:cs="Arial" w:eastAsia="Arial" w:hAnsi="Arial"/>
                <w:sz w:val="17"/>
                <w:szCs w:val="17"/>
                <w:color w:val="auto"/>
              </w:rPr>
              <w:t>Audit-Related Fees</w:t>
            </w:r>
          </w:p>
        </w:tc>
        <w:tc>
          <w:tcPr>
            <w:tcW w:w="300" w:type="dxa"/>
            <w:vAlign w:val="bottom"/>
            <w:shd w:val="clear" w:color="auto" w:fill="DAE6F2"/>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DAE6F2"/>
          </w:tcPr>
          <w:p>
            <w:pPr>
              <w:spacing w:after="0"/>
              <w:rPr>
                <w:sz w:val="16"/>
                <w:szCs w:val="16"/>
                <w:color w:val="auto"/>
              </w:rPr>
            </w:pPr>
          </w:p>
        </w:tc>
        <w:tc>
          <w:tcPr>
            <w:tcW w:w="1120" w:type="dxa"/>
            <w:vAlign w:val="bottom"/>
            <w:shd w:val="clear" w:color="auto" w:fill="DAE6F2"/>
          </w:tcPr>
          <w:p>
            <w:pPr>
              <w:jc w:val="right"/>
              <w:ind w:right="213"/>
              <w:spacing w:after="0"/>
              <w:rPr>
                <w:sz w:val="20"/>
                <w:szCs w:val="20"/>
                <w:color w:val="auto"/>
              </w:rPr>
            </w:pPr>
            <w:r>
              <w:rPr>
                <w:rFonts w:ascii="Arial" w:cs="Arial" w:eastAsia="Arial" w:hAnsi="Arial"/>
                <w:sz w:val="17"/>
                <w:szCs w:val="17"/>
                <w:color w:val="auto"/>
              </w:rPr>
              <w:t>123,500</w:t>
            </w:r>
          </w:p>
        </w:tc>
        <w:tc>
          <w:tcPr>
            <w:tcW w:w="500" w:type="dxa"/>
            <w:vAlign w:val="bottom"/>
            <w:shd w:val="clear" w:color="auto" w:fill="DAE6F2"/>
          </w:tcPr>
          <w:p>
            <w:pPr>
              <w:ind w:left="2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DAE6F2"/>
          </w:tcPr>
          <w:p>
            <w:pPr>
              <w:jc w:val="right"/>
              <w:ind w:right="113"/>
              <w:spacing w:after="0"/>
              <w:rPr>
                <w:sz w:val="20"/>
                <w:szCs w:val="20"/>
                <w:color w:val="auto"/>
              </w:rPr>
            </w:pPr>
            <w:r>
              <w:rPr>
                <w:rFonts w:ascii="Arial" w:cs="Arial" w:eastAsia="Arial" w:hAnsi="Arial"/>
                <w:sz w:val="17"/>
                <w:szCs w:val="17"/>
                <w:color w:val="auto"/>
              </w:rPr>
              <w:t>30,000</w:t>
            </w:r>
          </w:p>
        </w:tc>
      </w:tr>
      <w:tr>
        <w:trPr>
          <w:trHeight w:val="195"/>
        </w:trPr>
        <w:tc>
          <w:tcPr>
            <w:tcW w:w="3700" w:type="dxa"/>
            <w:vAlign w:val="bottom"/>
            <w:shd w:val="clear" w:color="auto" w:fill="DAE6F2"/>
          </w:tcPr>
          <w:p>
            <w:pPr>
              <w:ind w:left="180"/>
              <w:spacing w:after="0"/>
              <w:rPr>
                <w:sz w:val="20"/>
                <w:szCs w:val="20"/>
                <w:color w:val="auto"/>
              </w:rPr>
            </w:pPr>
            <w:r>
              <w:rPr>
                <w:rFonts w:ascii="Arial" w:cs="Arial" w:eastAsia="Arial" w:hAnsi="Arial"/>
                <w:sz w:val="17"/>
                <w:szCs w:val="17"/>
                <w:color w:val="auto"/>
              </w:rPr>
              <w:t>Tax Fees</w:t>
            </w:r>
          </w:p>
        </w:tc>
        <w:tc>
          <w:tcPr>
            <w:tcW w:w="300" w:type="dxa"/>
            <w:vAlign w:val="bottom"/>
            <w:shd w:val="clear" w:color="auto" w:fill="DAE6F2"/>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DAE6F2"/>
          </w:tcPr>
          <w:p>
            <w:pPr>
              <w:spacing w:after="0"/>
              <w:rPr>
                <w:sz w:val="16"/>
                <w:szCs w:val="16"/>
                <w:color w:val="auto"/>
              </w:rPr>
            </w:pPr>
          </w:p>
        </w:tc>
        <w:tc>
          <w:tcPr>
            <w:tcW w:w="1120" w:type="dxa"/>
            <w:vAlign w:val="bottom"/>
            <w:shd w:val="clear" w:color="auto" w:fill="DAE6F2"/>
          </w:tcPr>
          <w:p>
            <w:pPr>
              <w:jc w:val="right"/>
              <w:ind w:right="213"/>
              <w:spacing w:after="0"/>
              <w:rPr>
                <w:sz w:val="20"/>
                <w:szCs w:val="20"/>
                <w:color w:val="auto"/>
              </w:rPr>
            </w:pPr>
            <w:r>
              <w:rPr>
                <w:rFonts w:ascii="Arial" w:cs="Arial" w:eastAsia="Arial" w:hAnsi="Arial"/>
                <w:sz w:val="17"/>
                <w:szCs w:val="17"/>
                <w:color w:val="auto"/>
              </w:rPr>
              <w:t>0</w:t>
            </w:r>
          </w:p>
        </w:tc>
        <w:tc>
          <w:tcPr>
            <w:tcW w:w="500" w:type="dxa"/>
            <w:vAlign w:val="bottom"/>
            <w:shd w:val="clear" w:color="auto" w:fill="DAE6F2"/>
          </w:tcPr>
          <w:p>
            <w:pPr>
              <w:ind w:left="2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DAE6F2"/>
          </w:tcPr>
          <w:p>
            <w:pPr>
              <w:jc w:val="right"/>
              <w:ind w:right="113"/>
              <w:spacing w:after="0"/>
              <w:rPr>
                <w:sz w:val="20"/>
                <w:szCs w:val="20"/>
                <w:color w:val="auto"/>
              </w:rPr>
            </w:pPr>
            <w:r>
              <w:rPr>
                <w:rFonts w:ascii="Arial" w:cs="Arial" w:eastAsia="Arial" w:hAnsi="Arial"/>
                <w:sz w:val="17"/>
                <w:szCs w:val="17"/>
                <w:color w:val="auto"/>
              </w:rPr>
              <w:t>0</w:t>
            </w:r>
          </w:p>
        </w:tc>
      </w:tr>
      <w:tr>
        <w:trPr>
          <w:trHeight w:val="212"/>
        </w:trPr>
        <w:tc>
          <w:tcPr>
            <w:tcW w:w="3700" w:type="dxa"/>
            <w:vAlign w:val="bottom"/>
            <w:shd w:val="clear" w:color="auto" w:fill="DAE6F2"/>
          </w:tcPr>
          <w:p>
            <w:pPr>
              <w:ind w:left="180"/>
              <w:spacing w:after="0"/>
              <w:rPr>
                <w:sz w:val="20"/>
                <w:szCs w:val="20"/>
                <w:color w:val="auto"/>
              </w:rPr>
            </w:pPr>
            <w:r>
              <w:rPr>
                <w:rFonts w:ascii="Arial" w:cs="Arial" w:eastAsia="Arial" w:hAnsi="Arial"/>
                <w:sz w:val="17"/>
                <w:szCs w:val="17"/>
                <w:color w:val="auto"/>
              </w:rPr>
              <w:t>All Other Fees</w:t>
            </w:r>
          </w:p>
        </w:tc>
        <w:tc>
          <w:tcPr>
            <w:tcW w:w="300" w:type="dxa"/>
            <w:vAlign w:val="bottom"/>
            <w:shd w:val="clear" w:color="auto" w:fill="DAE6F2"/>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DAE6F2"/>
          </w:tcPr>
          <w:p>
            <w:pPr>
              <w:spacing w:after="0"/>
              <w:rPr>
                <w:sz w:val="18"/>
                <w:szCs w:val="18"/>
                <w:color w:val="auto"/>
              </w:rPr>
            </w:pPr>
          </w:p>
        </w:tc>
        <w:tc>
          <w:tcPr>
            <w:tcW w:w="1120" w:type="dxa"/>
            <w:vAlign w:val="bottom"/>
            <w:shd w:val="clear" w:color="auto" w:fill="DAE6F2"/>
          </w:tcPr>
          <w:p>
            <w:pPr>
              <w:jc w:val="right"/>
              <w:ind w:right="213"/>
              <w:spacing w:after="0"/>
              <w:rPr>
                <w:sz w:val="20"/>
                <w:szCs w:val="20"/>
                <w:color w:val="auto"/>
              </w:rPr>
            </w:pPr>
            <w:r>
              <w:rPr>
                <w:rFonts w:ascii="Arial" w:cs="Arial" w:eastAsia="Arial" w:hAnsi="Arial"/>
                <w:sz w:val="17"/>
                <w:szCs w:val="17"/>
                <w:color w:val="auto"/>
              </w:rPr>
              <w:t>3,790</w:t>
            </w:r>
          </w:p>
        </w:tc>
        <w:tc>
          <w:tcPr>
            <w:tcW w:w="500" w:type="dxa"/>
            <w:vAlign w:val="bottom"/>
            <w:shd w:val="clear" w:color="auto" w:fill="DAE6F2"/>
          </w:tcPr>
          <w:p>
            <w:pPr>
              <w:ind w:left="2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DAE6F2"/>
          </w:tcPr>
          <w:p>
            <w:pPr>
              <w:jc w:val="right"/>
              <w:ind w:right="113"/>
              <w:spacing w:after="0"/>
              <w:rPr>
                <w:sz w:val="20"/>
                <w:szCs w:val="20"/>
                <w:color w:val="auto"/>
              </w:rPr>
            </w:pPr>
            <w:r>
              <w:rPr>
                <w:rFonts w:ascii="Arial" w:cs="Arial" w:eastAsia="Arial" w:hAnsi="Arial"/>
                <w:sz w:val="17"/>
                <w:szCs w:val="17"/>
                <w:color w:val="auto"/>
              </w:rPr>
              <w:t>3,790</w:t>
            </w:r>
          </w:p>
        </w:tc>
      </w:tr>
      <w:tr>
        <w:trPr>
          <w:trHeight w:val="195"/>
        </w:trPr>
        <w:tc>
          <w:tcPr>
            <w:tcW w:w="3700" w:type="dxa"/>
            <w:vAlign w:val="bottom"/>
            <w:shd w:val="clear" w:color="auto" w:fill="314A72"/>
          </w:tcPr>
          <w:p>
            <w:pPr>
              <w:ind w:left="180"/>
              <w:spacing w:after="0"/>
              <w:rPr>
                <w:sz w:val="20"/>
                <w:szCs w:val="20"/>
                <w:color w:val="auto"/>
              </w:rPr>
            </w:pPr>
            <w:r>
              <w:rPr>
                <w:rFonts w:ascii="Arial" w:cs="Arial" w:eastAsia="Arial" w:hAnsi="Arial"/>
                <w:sz w:val="17"/>
                <w:szCs w:val="17"/>
                <w:color w:val="FFFFFF"/>
              </w:rPr>
              <w:t>Total Fees</w:t>
            </w:r>
          </w:p>
        </w:tc>
        <w:tc>
          <w:tcPr>
            <w:tcW w:w="300" w:type="dxa"/>
            <w:vAlign w:val="bottom"/>
            <w:shd w:val="clear" w:color="auto" w:fill="314A72"/>
          </w:tcPr>
          <w:p>
            <w:pPr>
              <w:jc w:val="right"/>
              <w:spacing w:after="0"/>
              <w:rPr>
                <w:sz w:val="20"/>
                <w:szCs w:val="20"/>
                <w:color w:val="auto"/>
              </w:rPr>
            </w:pPr>
            <w:r>
              <w:rPr>
                <w:rFonts w:ascii="Arial" w:cs="Arial" w:eastAsia="Arial" w:hAnsi="Arial"/>
                <w:sz w:val="17"/>
                <w:szCs w:val="17"/>
                <w:color w:val="FFFFFF"/>
              </w:rPr>
              <w:t>$</w:t>
            </w:r>
          </w:p>
        </w:tc>
        <w:tc>
          <w:tcPr>
            <w:tcW w:w="120" w:type="dxa"/>
            <w:vAlign w:val="bottom"/>
            <w:shd w:val="clear" w:color="auto" w:fill="314A72"/>
          </w:tcPr>
          <w:p>
            <w:pPr>
              <w:spacing w:after="0"/>
              <w:rPr>
                <w:sz w:val="20"/>
                <w:szCs w:val="20"/>
                <w:color w:val="auto"/>
              </w:rPr>
            </w:pPr>
            <w:r>
              <w:rPr>
                <w:rFonts w:ascii="Arial" w:cs="Arial" w:eastAsia="Arial" w:hAnsi="Arial"/>
                <w:sz w:val="14"/>
                <w:szCs w:val="14"/>
                <w:color w:val="FFFFFF"/>
                <w:w w:val="71"/>
              </w:rPr>
              <w:t> </w:t>
            </w:r>
          </w:p>
        </w:tc>
        <w:tc>
          <w:tcPr>
            <w:tcW w:w="1120" w:type="dxa"/>
            <w:vAlign w:val="bottom"/>
            <w:shd w:val="clear" w:color="auto" w:fill="314A72"/>
          </w:tcPr>
          <w:p>
            <w:pPr>
              <w:jc w:val="right"/>
              <w:ind w:right="213"/>
              <w:spacing w:after="0"/>
              <w:rPr>
                <w:sz w:val="20"/>
                <w:szCs w:val="20"/>
                <w:color w:val="auto"/>
              </w:rPr>
            </w:pPr>
            <w:r>
              <w:rPr>
                <w:rFonts w:ascii="Arial" w:cs="Arial" w:eastAsia="Arial" w:hAnsi="Arial"/>
                <w:sz w:val="17"/>
                <w:szCs w:val="17"/>
                <w:color w:val="FFFFFF"/>
              </w:rPr>
              <w:t>1,964,153</w:t>
            </w:r>
          </w:p>
        </w:tc>
        <w:tc>
          <w:tcPr>
            <w:tcW w:w="500" w:type="dxa"/>
            <w:vAlign w:val="bottom"/>
            <w:shd w:val="clear" w:color="auto" w:fill="314A72"/>
          </w:tcPr>
          <w:p>
            <w:pPr>
              <w:ind w:left="280"/>
              <w:spacing w:after="0"/>
              <w:rPr>
                <w:sz w:val="20"/>
                <w:szCs w:val="20"/>
                <w:color w:val="auto"/>
              </w:rPr>
            </w:pPr>
            <w:r>
              <w:rPr>
                <w:rFonts w:ascii="Arial" w:cs="Arial" w:eastAsia="Arial" w:hAnsi="Arial"/>
                <w:sz w:val="17"/>
                <w:szCs w:val="17"/>
                <w:color w:val="FFFFFF"/>
              </w:rPr>
              <w:t xml:space="preserve">$ </w:t>
            </w:r>
          </w:p>
        </w:tc>
        <w:tc>
          <w:tcPr>
            <w:tcW w:w="1040" w:type="dxa"/>
            <w:vAlign w:val="bottom"/>
            <w:shd w:val="clear" w:color="auto" w:fill="314A72"/>
          </w:tcPr>
          <w:p>
            <w:pPr>
              <w:jc w:val="right"/>
              <w:ind w:right="113"/>
              <w:spacing w:after="0"/>
              <w:rPr>
                <w:sz w:val="20"/>
                <w:szCs w:val="20"/>
                <w:color w:val="auto"/>
              </w:rPr>
            </w:pPr>
            <w:r>
              <w:rPr>
                <w:rFonts w:ascii="Arial" w:cs="Arial" w:eastAsia="Arial" w:hAnsi="Arial"/>
                <w:sz w:val="17"/>
                <w:szCs w:val="17"/>
                <w:color w:val="FFFFFF"/>
              </w:rPr>
              <w:t>1,358,178</w:t>
            </w:r>
          </w:p>
        </w:tc>
      </w:tr>
    </w:tbl>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Audit Fees</w:t>
      </w:r>
    </w:p>
    <w:p>
      <w:pPr>
        <w:spacing w:after="0" w:line="96" w:lineRule="exact"/>
        <w:rPr>
          <w:sz w:val="20"/>
          <w:szCs w:val="20"/>
          <w:color w:val="auto"/>
        </w:rPr>
      </w:pPr>
    </w:p>
    <w:p>
      <w:pPr>
        <w:ind w:left="640" w:right="320"/>
        <w:spacing w:after="0" w:line="239" w:lineRule="auto"/>
        <w:rPr>
          <w:sz w:val="20"/>
          <w:szCs w:val="20"/>
          <w:color w:val="auto"/>
        </w:rPr>
      </w:pPr>
      <w:r>
        <w:rPr>
          <w:rFonts w:ascii="Arial" w:cs="Arial" w:eastAsia="Arial" w:hAnsi="Arial"/>
          <w:sz w:val="21"/>
          <w:szCs w:val="21"/>
          <w:color w:val="auto"/>
        </w:rPr>
        <w:t>In 2025 and 2024, this category includes fees incurred for professional services rendered by Deloitte for reviewing the quarterly financial statements included in our Quarterly Reports on Form 10-Q, auditing our annual financial statements included in our Annual Report on Form 10-K, and auditing our internal control over financial reporting. In addition, in 2024, this category also includes fees incurred of approximately $60,000 for audit services rendered by Deloitte related to the Company’s customer information system upgrade in the first quarter of 2024.</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Audit-Related Fees</w:t>
      </w:r>
    </w:p>
    <w:p>
      <w:pPr>
        <w:spacing w:after="0" w:line="96" w:lineRule="exact"/>
        <w:rPr>
          <w:sz w:val="20"/>
          <w:szCs w:val="20"/>
          <w:color w:val="auto"/>
        </w:rPr>
      </w:pPr>
    </w:p>
    <w:p>
      <w:pPr>
        <w:ind w:left="640" w:right="120"/>
        <w:spacing w:after="0"/>
        <w:rPr>
          <w:sz w:val="20"/>
          <w:szCs w:val="20"/>
          <w:color w:val="auto"/>
        </w:rPr>
      </w:pPr>
      <w:r>
        <w:rPr>
          <w:rFonts w:ascii="Arial" w:cs="Arial" w:eastAsia="Arial" w:hAnsi="Arial"/>
          <w:sz w:val="21"/>
          <w:szCs w:val="21"/>
          <w:color w:val="auto"/>
        </w:rPr>
        <w:t>In 2025, this category includes fees of approximately $123,500 incurred for: (a) professional services rendered by Deloitte concerning the filing of registration statements and related prospectus supplements with the SEC; and (b) audit procedures pertaining to issuances of our equity securities. In 2024, this category includes fees of $30,000 incurred for professional services rendered by Deloitte in connection with our filing of a registration statement with the SEC.</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Tax Fees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2025 and 2024, Deloitte did not perform any tax services.</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All Other Fees</w:t>
      </w:r>
    </w:p>
    <w:p>
      <w:pPr>
        <w:spacing w:after="0" w:line="96" w:lineRule="exact"/>
        <w:rPr>
          <w:sz w:val="20"/>
          <w:szCs w:val="20"/>
          <w:color w:val="auto"/>
        </w:rPr>
      </w:pPr>
    </w:p>
    <w:p>
      <w:pPr>
        <w:ind w:left="640" w:right="540"/>
        <w:spacing w:after="0" w:line="264" w:lineRule="auto"/>
        <w:rPr>
          <w:sz w:val="20"/>
          <w:szCs w:val="20"/>
          <w:color w:val="auto"/>
        </w:rPr>
      </w:pPr>
      <w:r>
        <w:rPr>
          <w:rFonts w:ascii="Arial" w:cs="Arial" w:eastAsia="Arial" w:hAnsi="Arial"/>
          <w:sz w:val="21"/>
          <w:szCs w:val="21"/>
          <w:color w:val="auto"/>
        </w:rPr>
        <w:t>In 2025 and 2024, this category includes fees of $3,790 for cost-based non-audit services consisting of subscriptions to DART (the “Deloitte Accounting Research Tool”).</w:t>
      </w:r>
    </w:p>
    <w:p>
      <w:pPr>
        <w:spacing w:after="0" w:line="200" w:lineRule="exact"/>
        <w:rPr>
          <w:sz w:val="20"/>
          <w:szCs w:val="20"/>
          <w:color w:val="auto"/>
        </w:rPr>
      </w:pPr>
    </w:p>
    <w:p>
      <w:pPr>
        <w:spacing w:after="0" w:line="355"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AUDIT COMMITTEE PRE-APPROVAL POLICY</w:t>
      </w:r>
    </w:p>
    <w:p>
      <w:pPr>
        <w:spacing w:after="0" w:line="216" w:lineRule="exact"/>
        <w:rPr>
          <w:sz w:val="20"/>
          <w:szCs w:val="20"/>
          <w:color w:val="auto"/>
        </w:rPr>
      </w:pPr>
    </w:p>
    <w:p>
      <w:pPr>
        <w:ind w:left="640" w:right="180"/>
        <w:spacing w:after="0"/>
        <w:rPr>
          <w:sz w:val="20"/>
          <w:szCs w:val="20"/>
          <w:color w:val="auto"/>
        </w:rPr>
      </w:pPr>
      <w:r>
        <w:rPr>
          <w:rFonts w:ascii="Arial" w:cs="Arial" w:eastAsia="Arial" w:hAnsi="Arial"/>
          <w:sz w:val="21"/>
          <w:szCs w:val="21"/>
          <w:color w:val="auto"/>
        </w:rPr>
        <w:t>The Audit Committee’s formal policy is that all services to be provided by the independent registered public accounting firm engaged to audit our consolidated financial statements, including audit services and permitted audit-related and non-audit services, must be pre-approved by the Committee. The Committee pre-approved all audit, audit-related, tax, and all other services provided by Deloitte during fiscal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149225</wp:posOffset>
            </wp:positionV>
            <wp:extent cx="6337300" cy="825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620"/>
          </w:cols>
          <w:pgMar w:left="320" w:top="470" w:right="9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313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337300" cy="313690"/>
                    </a:xfrm>
                    <a:prstGeom prst="rect">
                      <a:avLst/>
                    </a:prstGeom>
                    <a:noFill/>
                  </pic:spPr>
                </pic:pic>
              </a:graphicData>
            </a:graphic>
          </wp:anchor>
        </w:drawing>
      </w:r>
    </w:p>
    <w:p>
      <w:pPr>
        <w:spacing w:after="0" w:line="348" w:lineRule="exact"/>
        <w:rPr>
          <w:sz w:val="20"/>
          <w:szCs w:val="20"/>
          <w:color w:val="auto"/>
        </w:rPr>
      </w:pPr>
    </w:p>
    <w:p>
      <w:pPr>
        <w:ind w:left="4360"/>
        <w:spacing w:after="0"/>
        <w:rPr>
          <w:sz w:val="20"/>
          <w:szCs w:val="20"/>
          <w:color w:val="auto"/>
        </w:rPr>
      </w:pPr>
      <w:r>
        <w:rPr>
          <w:rFonts w:ascii="Arial" w:cs="Arial" w:eastAsia="Arial" w:hAnsi="Arial"/>
          <w:sz w:val="31"/>
          <w:szCs w:val="31"/>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64135</wp:posOffset>
            </wp:positionV>
            <wp:extent cx="63373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COMPENSATION COMMITTEE OPERATIONS</w:t>
      </w:r>
    </w:p>
    <w:p>
      <w:pPr>
        <w:spacing w:after="0" w:line="216" w:lineRule="exact"/>
        <w:rPr>
          <w:sz w:val="20"/>
          <w:szCs w:val="20"/>
          <w:color w:val="auto"/>
        </w:rPr>
      </w:pPr>
    </w:p>
    <w:p>
      <w:pPr>
        <w:ind w:left="640" w:right="60"/>
        <w:spacing w:after="0" w:line="237" w:lineRule="auto"/>
        <w:rPr>
          <w:sz w:val="20"/>
          <w:szCs w:val="20"/>
          <w:color w:val="auto"/>
        </w:rPr>
      </w:pPr>
      <w:r>
        <w:rPr>
          <w:rFonts w:ascii="Arial" w:cs="Arial" w:eastAsia="Arial" w:hAnsi="Arial"/>
          <w:sz w:val="21"/>
          <w:szCs w:val="21"/>
          <w:color w:val="auto"/>
        </w:rPr>
        <w:t xml:space="preserve">The Compensation Committee is appointed annually by the Board and is responsible for, among other things, oversight of the executive compensation program. The Committee has overall authority to establish goals and objectives and to interpret the terms of our compensation policies, including base salary, incentive compensation, equity compensation, and all benefits programs. The Committee discharges its oversight responsibilities by carrying out the specific functions and exercising the authority provided in its charter (the “Compensation Committee Charter”). See the section entitled </w:t>
      </w:r>
      <w:r>
        <w:rPr>
          <w:rFonts w:ascii="Arial" w:cs="Arial" w:eastAsia="Arial" w:hAnsi="Arial"/>
          <w:sz w:val="21"/>
          <w:szCs w:val="21"/>
          <w:i w:val="1"/>
          <w:iCs w:val="1"/>
          <w:color w:val="auto"/>
        </w:rPr>
        <w:t>Compensation - Compensation of Named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Executive Officers - Compensation of Directors </w:t>
      </w:r>
      <w:r>
        <w:rPr>
          <w:rFonts w:ascii="Arial" w:cs="Arial" w:eastAsia="Arial" w:hAnsi="Arial"/>
          <w:sz w:val="21"/>
          <w:szCs w:val="21"/>
          <w:color w:val="auto"/>
        </w:rPr>
        <w:t>for information on the Nominating and Governance</w:t>
      </w:r>
      <w:r>
        <w:rPr>
          <w:rFonts w:ascii="Arial" w:cs="Arial" w:eastAsia="Arial" w:hAnsi="Arial"/>
          <w:sz w:val="21"/>
          <w:szCs w:val="21"/>
          <w:i w:val="1"/>
          <w:iCs w:val="1"/>
          <w:color w:val="auto"/>
        </w:rPr>
        <w:t xml:space="preserve"> </w:t>
      </w:r>
      <w:r>
        <w:rPr>
          <w:rFonts w:ascii="Arial" w:cs="Arial" w:eastAsia="Arial" w:hAnsi="Arial"/>
          <w:sz w:val="21"/>
          <w:szCs w:val="21"/>
          <w:color w:val="auto"/>
        </w:rPr>
        <w:t>Committee’s work regarding Directors’ compensation.</w:t>
      </w:r>
    </w:p>
    <w:p>
      <w:pPr>
        <w:spacing w:after="0" w:line="171" w:lineRule="exact"/>
        <w:rPr>
          <w:sz w:val="20"/>
          <w:szCs w:val="20"/>
          <w:color w:val="auto"/>
        </w:rPr>
      </w:pPr>
    </w:p>
    <w:p>
      <w:pPr>
        <w:ind w:left="640" w:right="120"/>
        <w:spacing w:after="0" w:line="243" w:lineRule="auto"/>
        <w:rPr>
          <w:sz w:val="20"/>
          <w:szCs w:val="20"/>
          <w:color w:val="auto"/>
        </w:rPr>
      </w:pPr>
      <w:r>
        <w:rPr>
          <w:rFonts w:ascii="Arial" w:cs="Arial" w:eastAsia="Arial" w:hAnsi="Arial"/>
          <w:sz w:val="21"/>
          <w:szCs w:val="21"/>
          <w:color w:val="auto"/>
        </w:rPr>
        <w:t>The Committee has the authority to delegate some of its responsibilities to individuals or subcommittees of the Committee’s choice, subject to applicable laws, rules or regulations. However, such delegation does not absolve the Committee from the responsibilities that it bears under the terms of the Compensation Committee Charter.</w:t>
      </w:r>
    </w:p>
    <w:p>
      <w:pPr>
        <w:spacing w:after="0" w:line="165" w:lineRule="exact"/>
        <w:rPr>
          <w:sz w:val="20"/>
          <w:szCs w:val="20"/>
          <w:color w:val="auto"/>
        </w:rPr>
      </w:pPr>
    </w:p>
    <w:p>
      <w:pPr>
        <w:ind w:left="640" w:right="20"/>
        <w:spacing w:after="0" w:line="239" w:lineRule="auto"/>
        <w:rPr>
          <w:sz w:val="20"/>
          <w:szCs w:val="20"/>
          <w:color w:val="auto"/>
        </w:rPr>
      </w:pPr>
      <w:r>
        <w:rPr>
          <w:rFonts w:ascii="Arial" w:cs="Arial" w:eastAsia="Arial" w:hAnsi="Arial"/>
          <w:sz w:val="21"/>
          <w:szCs w:val="21"/>
          <w:color w:val="auto"/>
        </w:rPr>
        <w:t>The Committee has the authority to invite executive officers, members of management or other guests to attend meetings, to perform research, or to provide relevant information or recommendations. In 2025, at the Committee’s request, Mr. Meissner, Mr. Hevert, Mr. Hurstak, and the senior vice president of people, shared services and organizational effectiveness, John Closson, served the Committee in a consultative capacity, providing data and analytical support, as well as management perspective and recommendations relative to employee compensation and benefits, including executive compensation.</w:t>
      </w:r>
    </w:p>
    <w:p>
      <w:pPr>
        <w:spacing w:after="0" w:line="168" w:lineRule="exact"/>
        <w:rPr>
          <w:sz w:val="20"/>
          <w:szCs w:val="20"/>
          <w:color w:val="auto"/>
        </w:rPr>
      </w:pPr>
    </w:p>
    <w:p>
      <w:pPr>
        <w:ind w:left="640" w:right="140"/>
        <w:spacing w:after="0" w:line="239" w:lineRule="auto"/>
        <w:rPr>
          <w:sz w:val="20"/>
          <w:szCs w:val="20"/>
          <w:color w:val="auto"/>
        </w:rPr>
      </w:pPr>
      <w:r>
        <w:rPr>
          <w:rFonts w:ascii="Arial" w:cs="Arial" w:eastAsia="Arial" w:hAnsi="Arial"/>
          <w:sz w:val="21"/>
          <w:szCs w:val="21"/>
          <w:color w:val="auto"/>
        </w:rPr>
        <w:t>The Committee also has the authority to retain or obtain the advice of outside counsel, compensation consultants or other advisors to advise the Committee as it deems necessary. The Committee is directly responsible for the appointment, retention terms (including compensation), and oversight of the work of any adviser it retains. Prior to retaining or obtaining advice from an adviser, the Committee will consider factors relevant to the adviser’s independence from management to the extent required by the NYSE listing standards.</w:t>
      </w:r>
    </w:p>
    <w:p>
      <w:pPr>
        <w:spacing w:after="0" w:line="168" w:lineRule="exact"/>
        <w:rPr>
          <w:sz w:val="20"/>
          <w:szCs w:val="20"/>
          <w:color w:val="auto"/>
        </w:rPr>
      </w:pPr>
    </w:p>
    <w:p>
      <w:pPr>
        <w:ind w:left="640" w:right="20"/>
        <w:spacing w:after="0" w:line="238" w:lineRule="auto"/>
        <w:rPr>
          <w:sz w:val="20"/>
          <w:szCs w:val="20"/>
          <w:color w:val="auto"/>
        </w:rPr>
      </w:pPr>
      <w:r>
        <w:rPr>
          <w:rFonts w:ascii="Arial" w:cs="Arial" w:eastAsia="Arial" w:hAnsi="Arial"/>
          <w:sz w:val="21"/>
          <w:szCs w:val="21"/>
          <w:color w:val="auto"/>
        </w:rPr>
        <w:t>The Committee has periodically engaged a compensation consultant, Willis Towers Watson (“Willis Towers”), to provide compensation study data, including data from selected peer companies and compensation marketplace survey analysis, as well as to provide various recommendations based on study findings and industry trends for the Committee’s consideration. Willis Towers is engaged by and reports directly to the Compensation Committee. Willis Towers receives compensation only for services related to executive compensation, employee benefits and general compensation matters, and neither it nor any affiliated company provides any other services to us or our subsidiaries.</w:t>
      </w:r>
    </w:p>
    <w:p>
      <w:pPr>
        <w:spacing w:after="0" w:line="169" w:lineRule="exact"/>
        <w:rPr>
          <w:sz w:val="20"/>
          <w:szCs w:val="20"/>
          <w:color w:val="auto"/>
        </w:rPr>
      </w:pPr>
    </w:p>
    <w:p>
      <w:pPr>
        <w:ind w:left="640" w:right="200"/>
        <w:spacing w:after="0"/>
        <w:rPr>
          <w:sz w:val="20"/>
          <w:szCs w:val="20"/>
          <w:color w:val="auto"/>
        </w:rPr>
      </w:pPr>
      <w:r>
        <w:rPr>
          <w:rFonts w:ascii="Arial" w:cs="Arial" w:eastAsia="Arial" w:hAnsi="Arial"/>
          <w:sz w:val="21"/>
          <w:szCs w:val="21"/>
          <w:color w:val="auto"/>
        </w:rPr>
        <w:t>The Compensation Committee engaged Willis Towers in 2025 to research and report on general workforce and compensation trends in the utility industry (the “Study”). The purpose of the Study is to ensure the Committee remains informed about compensation practices in the utility marketplace. The Study outlined current workforce trends, as well as five- and ten-year outlooks, and in-demand jobs and skill sets. The Study also outlined trends in salary and both short- and long-term incentive plans.</w:t>
      </w:r>
    </w:p>
    <w:p>
      <w:pPr>
        <w:spacing w:after="0" w:line="170" w:lineRule="exact"/>
        <w:rPr>
          <w:sz w:val="20"/>
          <w:szCs w:val="20"/>
          <w:color w:val="auto"/>
        </w:rPr>
      </w:pPr>
    </w:p>
    <w:p>
      <w:pPr>
        <w:ind w:left="640" w:right="260"/>
        <w:spacing w:after="0" w:line="239" w:lineRule="auto"/>
        <w:rPr>
          <w:sz w:val="20"/>
          <w:szCs w:val="20"/>
          <w:color w:val="auto"/>
        </w:rPr>
      </w:pPr>
      <w:r>
        <w:rPr>
          <w:rFonts w:ascii="Arial" w:cs="Arial" w:eastAsia="Arial" w:hAnsi="Arial"/>
          <w:sz w:val="21"/>
          <w:szCs w:val="21"/>
          <w:color w:val="auto"/>
        </w:rPr>
        <w:t>The Compensation Committee engaged Willis Towers in 2024 to conduct a comprehensive review and assessment of senior management compensation, including the CEO, president, and CFO compensation, non-union employee compensation, employee benefits, and directors’ compensation, (the “2024 Compensation Analysis”). The Committee requested Willis Towers to provide an assessment of current levels of competitive compensation and broad-based benefit programs to assist the Committee with its decisions concerning 2025 compensation. See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148590</wp:posOffset>
            </wp:positionV>
            <wp:extent cx="6337300" cy="825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ectPr>
          <w:pgSz w:w="11900" w:h="16838" w:orient="portrait"/>
          <w:cols w:equalWidth="0" w:num="1">
            <w:col w:w="10620"/>
          </w:cols>
          <w:pgMar w:left="320" w:top="470" w:right="9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620"/>
          </w:cols>
          <w:pgMar w:left="320" w:top="470" w:right="9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180"/>
        <w:spacing w:after="0" w:line="239" w:lineRule="auto"/>
        <w:rPr>
          <w:sz w:val="20"/>
          <w:szCs w:val="20"/>
          <w:color w:val="auto"/>
        </w:rPr>
      </w:pPr>
      <w:r>
        <w:rPr>
          <w:rFonts w:ascii="Arial" w:cs="Arial" w:eastAsia="Arial" w:hAnsi="Arial"/>
          <w:sz w:val="21"/>
          <w:szCs w:val="21"/>
          <w:color w:val="auto"/>
        </w:rPr>
        <w:t xml:space="preserve">section entitled </w:t>
      </w:r>
      <w:r>
        <w:rPr>
          <w:rFonts w:ascii="Arial" w:cs="Arial" w:eastAsia="Arial" w:hAnsi="Arial"/>
          <w:sz w:val="21"/>
          <w:szCs w:val="21"/>
          <w:i w:val="1"/>
          <w:iCs w:val="1"/>
          <w:color w:val="auto"/>
        </w:rPr>
        <w:t>Compensation - Compensation Discussion and Analysis</w:t>
      </w:r>
      <w:r>
        <w:rPr>
          <w:rFonts w:ascii="Arial" w:cs="Arial" w:eastAsia="Arial" w:hAnsi="Arial"/>
          <w:sz w:val="21"/>
          <w:szCs w:val="21"/>
          <w:color w:val="auto"/>
        </w:rPr>
        <w:t xml:space="preserve"> for additional information on the 2024 Compensation Analysis and the Committee’s work regarding compensation-related matters for the 2025 compensation year. See also the section entitled </w:t>
      </w:r>
      <w:r>
        <w:rPr>
          <w:rFonts w:ascii="Arial" w:cs="Arial" w:eastAsia="Arial" w:hAnsi="Arial"/>
          <w:sz w:val="21"/>
          <w:szCs w:val="21"/>
          <w:i w:val="1"/>
          <w:iCs w:val="1"/>
          <w:color w:val="auto"/>
        </w:rPr>
        <w:t>Compensation - Compensation Discussion and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Analysis </w:t>
      </w:r>
      <w:r>
        <w:rPr>
          <w:rFonts w:ascii="Arial" w:cs="Arial" w:eastAsia="Arial" w:hAnsi="Arial"/>
          <w:sz w:val="21"/>
          <w:szCs w:val="21"/>
          <w:color w:val="auto"/>
        </w:rPr>
        <w:t>for additional information on the comprehensive compensation analysis prepared by Willis Towers</w:t>
      </w:r>
      <w:r>
        <w:rPr>
          <w:rFonts w:ascii="Arial" w:cs="Arial" w:eastAsia="Arial" w:hAnsi="Arial"/>
          <w:sz w:val="21"/>
          <w:szCs w:val="21"/>
          <w:i w:val="1"/>
          <w:iCs w:val="1"/>
          <w:color w:val="auto"/>
        </w:rPr>
        <w:t xml:space="preserve"> </w:t>
      </w:r>
      <w:r>
        <w:rPr>
          <w:rFonts w:ascii="Arial" w:cs="Arial" w:eastAsia="Arial" w:hAnsi="Arial"/>
          <w:sz w:val="21"/>
          <w:szCs w:val="21"/>
          <w:color w:val="auto"/>
        </w:rPr>
        <w:t>in 2019 and the Committee’s work regarding compensation-related matters for compensation years 2020-2024.</w:t>
      </w:r>
    </w:p>
    <w:p>
      <w:pPr>
        <w:spacing w:after="0" w:line="168" w:lineRule="exact"/>
        <w:rPr>
          <w:sz w:val="20"/>
          <w:szCs w:val="20"/>
          <w:color w:val="auto"/>
        </w:rPr>
      </w:pPr>
    </w:p>
    <w:p>
      <w:pPr>
        <w:ind w:left="640" w:right="320"/>
        <w:spacing w:after="0" w:line="264" w:lineRule="auto"/>
        <w:rPr>
          <w:sz w:val="20"/>
          <w:szCs w:val="20"/>
          <w:color w:val="auto"/>
        </w:rPr>
      </w:pPr>
      <w:r>
        <w:rPr>
          <w:rFonts w:ascii="Arial" w:cs="Arial" w:eastAsia="Arial" w:hAnsi="Arial"/>
          <w:sz w:val="21"/>
          <w:szCs w:val="21"/>
          <w:color w:val="auto"/>
        </w:rPr>
        <w:t>In 2025, we incurred total expenses of $41,423 for services rendered by Willis Towers. The services were approved by the Compensation Committee as part of the Willis Towers 2025 engagement.</w:t>
      </w:r>
    </w:p>
    <w:p>
      <w:pPr>
        <w:spacing w:after="0" w:line="144" w:lineRule="exact"/>
        <w:rPr>
          <w:sz w:val="20"/>
          <w:szCs w:val="20"/>
          <w:color w:val="auto"/>
        </w:rPr>
      </w:pPr>
    </w:p>
    <w:p>
      <w:pPr>
        <w:ind w:left="640" w:right="620"/>
        <w:spacing w:after="0" w:line="267" w:lineRule="auto"/>
        <w:rPr>
          <w:sz w:val="20"/>
          <w:szCs w:val="20"/>
          <w:color w:val="auto"/>
        </w:rPr>
      </w:pPr>
      <w:r>
        <w:rPr>
          <w:rFonts w:ascii="Arial" w:cs="Arial" w:eastAsia="Arial" w:hAnsi="Arial"/>
          <w:sz w:val="20"/>
          <w:szCs w:val="20"/>
          <w:color w:val="auto"/>
        </w:rPr>
        <w:t>In addition, we requested and received information from Willis Towers to assist the Committee in determining whether its work raised any conflict of interest. Based on the responses provided by Willis Towers in its completed Conflict of Interest Questionnaire, there were no conflicts of interest in 2025.</w:t>
      </w:r>
    </w:p>
    <w:p>
      <w:pPr>
        <w:spacing w:after="0" w:line="200" w:lineRule="exact"/>
        <w:rPr>
          <w:sz w:val="20"/>
          <w:szCs w:val="20"/>
          <w:color w:val="auto"/>
        </w:rPr>
      </w:pPr>
    </w:p>
    <w:p>
      <w:pPr>
        <w:spacing w:after="0" w:line="248"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COMPENSATION COMMITTEE INTERLOCKS &amp; INSIDER PARTICIPATION</w:t>
      </w:r>
    </w:p>
    <w:p>
      <w:pPr>
        <w:spacing w:after="0" w:line="216" w:lineRule="exact"/>
        <w:rPr>
          <w:sz w:val="20"/>
          <w:szCs w:val="20"/>
          <w:color w:val="auto"/>
        </w:rPr>
      </w:pPr>
    </w:p>
    <w:p>
      <w:pPr>
        <w:ind w:left="640" w:right="180"/>
        <w:spacing w:after="0"/>
        <w:rPr>
          <w:sz w:val="20"/>
          <w:szCs w:val="20"/>
          <w:color w:val="auto"/>
        </w:rPr>
      </w:pPr>
      <w:r>
        <w:rPr>
          <w:rFonts w:ascii="Arial" w:cs="Arial" w:eastAsia="Arial" w:hAnsi="Arial"/>
          <w:sz w:val="21"/>
          <w:szCs w:val="21"/>
          <w:color w:val="auto"/>
        </w:rPr>
        <w:t>The current members of the Compensation Committee are not current or former officers or employees of Unitil. No member of the Committee has any relationship requiring disclosure under Item 404 of Regulation S-K, Transactions with Related Persons. In addition, none of our executive officers serve on the board of directors or compensation committee of another company where an executive officer of the other company also serves on the Board or Compensation Committee.</w:t>
      </w:r>
    </w:p>
    <w:p>
      <w:pPr>
        <w:spacing w:after="0" w:line="200" w:lineRule="exact"/>
        <w:rPr>
          <w:sz w:val="20"/>
          <w:szCs w:val="20"/>
          <w:color w:val="auto"/>
        </w:rPr>
      </w:pPr>
    </w:p>
    <w:p>
      <w:pPr>
        <w:spacing w:after="0" w:line="276"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RISK &amp; BROAD-BASED COMPENSATION PROGRAMS</w:t>
      </w:r>
    </w:p>
    <w:p>
      <w:pPr>
        <w:spacing w:after="0" w:line="216" w:lineRule="exact"/>
        <w:rPr>
          <w:sz w:val="20"/>
          <w:szCs w:val="20"/>
          <w:color w:val="auto"/>
        </w:rPr>
      </w:pPr>
    </w:p>
    <w:p>
      <w:pPr>
        <w:ind w:left="640" w:right="140"/>
        <w:spacing w:after="0" w:line="243" w:lineRule="auto"/>
        <w:rPr>
          <w:sz w:val="20"/>
          <w:szCs w:val="20"/>
          <w:color w:val="auto"/>
        </w:rPr>
      </w:pPr>
      <w:r>
        <w:rPr>
          <w:rFonts w:ascii="Arial" w:cs="Arial" w:eastAsia="Arial" w:hAnsi="Arial"/>
          <w:sz w:val="21"/>
          <w:szCs w:val="21"/>
          <w:color w:val="auto"/>
        </w:rPr>
        <w:t>We believe the risks that may arise from our compensation policies and practices, which include the annual short-term incentive award performance metrics, long-term incentive award performance metrics, variable and non-variable pay mix, and limited non-performance payouts, are not likely to have a material adverse effect on us because of multiple factors that work together,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138430</wp:posOffset>
            </wp:positionV>
            <wp:extent cx="6337300" cy="33254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337300" cy="3325495"/>
                    </a:xfrm>
                    <a:prstGeom prst="rect">
                      <a:avLst/>
                    </a:prstGeom>
                    <a:noFill/>
                  </pic:spPr>
                </pic:pic>
              </a:graphicData>
            </a:graphic>
          </wp:anchor>
        </w:drawing>
      </w:r>
    </w:p>
    <w:p>
      <w:pPr>
        <w:sectPr>
          <w:pgSz w:w="11900" w:h="16838" w:orient="portrait"/>
          <w:cols w:equalWidth="0" w:num="1">
            <w:col w:w="10620"/>
          </w:cols>
          <w:pgMar w:left="320" w:top="470"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620"/>
          </w:cols>
          <w:pgMar w:left="320" w:top="470" w:right="9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COMPENSATION DISCUSSION &amp; ANALYSIS</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2025 PERFORMANCE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69850</wp:posOffset>
            </wp:positionV>
            <wp:extent cx="63373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50" w:lineRule="exact"/>
        <w:rPr>
          <w:sz w:val="20"/>
          <w:szCs w:val="20"/>
          <w:color w:val="auto"/>
        </w:rPr>
      </w:pPr>
    </w:p>
    <w:p>
      <w:pPr>
        <w:ind w:left="640" w:right="3120"/>
        <w:spacing w:after="0" w:line="247" w:lineRule="auto"/>
        <w:rPr>
          <w:sz w:val="20"/>
          <w:szCs w:val="20"/>
          <w:color w:val="auto"/>
        </w:rPr>
      </w:pPr>
      <w:r>
        <w:rPr>
          <w:rFonts w:ascii="Arial" w:cs="Arial" w:eastAsia="Arial" w:hAnsi="Arial"/>
          <w:sz w:val="20"/>
          <w:szCs w:val="20"/>
          <w:color w:val="auto"/>
        </w:rPr>
        <w:t>Our Company experienced another year of strong financial performance and strategic execution in 2025. At year end, we achieved record earnings per share (“EPS”) for the fifth consecutive year of $2.97 and a Net Income increase of 6.6% to $50.2 million, inclusive of transaction costs associated with our acquisition of Bangor Natural Gas Company (“BNG”) and Maine Natural Gas Corporation (“MNG”), and the pending acquisition of Aquarion Water Company of Massachusetts, Inc., Aquarion Water Company of New Hampshire, Inc., and Abenaki Water Co., Inc. Our non-GAAP Adjusted Net Income was $53.3 million, or $3.16 in EPS, an increase of $5.5 million, or $0.19 in EPS. Adjusted Net Income (a non-GAAP financial measure) excludes the acquisition costs. These acquisitions complement our regulated utility operations and support our outlook for sustainable long-term growth. We continued to deliver the strong financial results and exceptional service our investors and customers have come to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5068570</wp:posOffset>
            </wp:positionH>
            <wp:positionV relativeFrom="paragraph">
              <wp:posOffset>-2086610</wp:posOffset>
            </wp:positionV>
            <wp:extent cx="1675130" cy="21621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675130" cy="2162175"/>
                    </a:xfrm>
                    <a:prstGeom prst="rect">
                      <a:avLst/>
                    </a:prstGeom>
                    <a:noFill/>
                  </pic:spPr>
                </pic:pic>
              </a:graphicData>
            </a:graphic>
          </wp:anchor>
        </w:drawing>
      </w:r>
    </w:p>
    <w:p>
      <w:pPr>
        <w:spacing w:after="0" w:line="279" w:lineRule="exact"/>
        <w:rPr>
          <w:sz w:val="20"/>
          <w:szCs w:val="20"/>
          <w:color w:val="auto"/>
        </w:rPr>
      </w:pPr>
    </w:p>
    <w:p>
      <w:pPr>
        <w:jc w:val="both"/>
        <w:ind w:left="640" w:right="380"/>
        <w:spacing w:after="0" w:line="248" w:lineRule="auto"/>
        <w:rPr>
          <w:sz w:val="20"/>
          <w:szCs w:val="20"/>
          <w:color w:val="auto"/>
        </w:rPr>
      </w:pPr>
      <w:r>
        <w:rPr>
          <w:rFonts w:ascii="Arial" w:cs="Arial" w:eastAsia="Arial" w:hAnsi="Arial"/>
          <w:sz w:val="21"/>
          <w:szCs w:val="21"/>
          <w:color w:val="auto"/>
        </w:rPr>
        <w:t>Our strong financial results in 2025 were supported by a multitude of noteworthy accomplishments in the past year. These accomplishments demonstrate our operating excellence, financial strength and investor proposition in the years ahead. A summary of some of these successes is below.</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Operations and Safety</w:t>
      </w:r>
    </w:p>
    <w:p>
      <w:pPr>
        <w:spacing w:after="0" w:line="109" w:lineRule="exact"/>
        <w:rPr>
          <w:sz w:val="20"/>
          <w:szCs w:val="20"/>
          <w:color w:val="auto"/>
        </w:rPr>
      </w:pPr>
    </w:p>
    <w:p>
      <w:pPr>
        <w:ind w:left="1420" w:right="180"/>
        <w:spacing w:after="0" w:line="243" w:lineRule="auto"/>
        <w:rPr>
          <w:sz w:val="20"/>
          <w:szCs w:val="20"/>
          <w:color w:val="auto"/>
        </w:rPr>
      </w:pPr>
      <w:r>
        <w:rPr>
          <w:rFonts w:ascii="Arial" w:cs="Arial" w:eastAsia="Arial" w:hAnsi="Arial"/>
          <w:sz w:val="21"/>
          <w:szCs w:val="21"/>
          <w:color w:val="auto"/>
        </w:rPr>
        <w:t>We achieved top quartile electric service reliability with a System Average Interruption Duration Index (SAIDI) of 85 minutes and a System Average Interruption Frequency Index (SAIFI) of 0.88, marking four consecutive years of top-quartile reliability performance and top-quartile performance in five out of the last seven years.</w:t>
      </w:r>
    </w:p>
    <w:p>
      <w:pPr>
        <w:spacing w:after="0" w:line="74" w:lineRule="exact"/>
        <w:rPr>
          <w:sz w:val="20"/>
          <w:szCs w:val="20"/>
          <w:color w:val="auto"/>
        </w:rPr>
      </w:pPr>
    </w:p>
    <w:p>
      <w:pPr>
        <w:ind w:left="1420" w:right="120"/>
        <w:spacing w:after="0"/>
        <w:rPr>
          <w:sz w:val="20"/>
          <w:szCs w:val="20"/>
          <w:color w:val="auto"/>
        </w:rPr>
      </w:pPr>
      <w:r>
        <w:rPr>
          <w:rFonts w:ascii="Arial" w:cs="Arial" w:eastAsia="Arial" w:hAnsi="Arial"/>
          <w:sz w:val="21"/>
          <w:szCs w:val="21"/>
          <w:color w:val="auto"/>
        </w:rPr>
        <w:t>We are ranked as one of the top companies in the nation for gas emergency response, responding to 91.4% of gas emergency calls in 30 minutes or less, and over 99% of calls in 45 minutes or less. We once again placed in the top 10 in the American Gas Association’s Best Practices Program for emergency response including average response time, response within 60 minutes, and response within 30 minutes (out of ~95 companies).</w:t>
      </w:r>
    </w:p>
    <w:p>
      <w:pPr>
        <w:spacing w:after="0" w:line="79" w:lineRule="exact"/>
        <w:rPr>
          <w:sz w:val="20"/>
          <w:szCs w:val="20"/>
          <w:color w:val="auto"/>
        </w:rPr>
      </w:pPr>
    </w:p>
    <w:p>
      <w:pPr>
        <w:ind w:left="1420" w:right="200"/>
        <w:spacing w:after="0" w:line="264" w:lineRule="auto"/>
        <w:rPr>
          <w:sz w:val="20"/>
          <w:szCs w:val="20"/>
          <w:color w:val="auto"/>
        </w:rPr>
      </w:pPr>
      <w:r>
        <w:rPr>
          <w:rFonts w:ascii="Arial" w:cs="Arial" w:eastAsia="Arial" w:hAnsi="Arial"/>
          <w:sz w:val="21"/>
          <w:szCs w:val="21"/>
          <w:color w:val="auto"/>
        </w:rPr>
        <w:t>We were selected as a “Best Practice Operator” at the American Gas Association’s Best Practices Conference for our regulator station design and over-pressure protection program.</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Customer Service</w:t>
      </w:r>
    </w:p>
    <w:p>
      <w:pPr>
        <w:spacing w:after="0" w:line="109" w:lineRule="exact"/>
        <w:rPr>
          <w:sz w:val="20"/>
          <w:szCs w:val="20"/>
          <w:color w:val="auto"/>
        </w:rPr>
      </w:pPr>
    </w:p>
    <w:p>
      <w:pPr>
        <w:ind w:left="1420" w:right="280"/>
        <w:spacing w:after="0" w:line="290" w:lineRule="auto"/>
        <w:rPr>
          <w:sz w:val="20"/>
          <w:szCs w:val="20"/>
          <w:color w:val="auto"/>
        </w:rPr>
      </w:pPr>
      <w:r>
        <w:rPr>
          <w:rFonts w:ascii="Arial" w:cs="Arial" w:eastAsia="Arial" w:hAnsi="Arial"/>
          <w:sz w:val="20"/>
          <w:szCs w:val="20"/>
          <w:color w:val="auto"/>
        </w:rPr>
        <w:t>We delivered exceptional service to customers, achieving a customer satisfaction rating of 87% compared to the national benchmark of 83%, despite comparatively high energy costs in the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117475</wp:posOffset>
            </wp:positionV>
            <wp:extent cx="6337300" cy="825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620"/>
          </w:cols>
          <w:pgMar w:left="320" w:top="470" w:right="9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1420" w:right="140"/>
        <w:spacing w:after="0" w:line="248" w:lineRule="auto"/>
        <w:rPr>
          <w:sz w:val="20"/>
          <w:szCs w:val="20"/>
          <w:color w:val="auto"/>
        </w:rPr>
      </w:pPr>
      <w:r>
        <w:rPr>
          <w:rFonts w:ascii="Arial" w:cs="Arial" w:eastAsia="Arial" w:hAnsi="Arial"/>
          <w:sz w:val="21"/>
          <w:szCs w:val="21"/>
          <w:color w:val="auto"/>
        </w:rPr>
        <w:t>England region and heightened national attention on energy affordability. In overall customer satisfaction, we ranked as the #2 utility in the Northeast and continued to rank first in the Northeast as “a company you can trust.”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Employee Satisfaction and Culture</w:t>
      </w:r>
    </w:p>
    <w:p>
      <w:pPr>
        <w:spacing w:after="0" w:line="109" w:lineRule="exact"/>
        <w:rPr>
          <w:sz w:val="20"/>
          <w:szCs w:val="20"/>
          <w:color w:val="auto"/>
        </w:rPr>
      </w:pPr>
    </w:p>
    <w:p>
      <w:pPr>
        <w:ind w:left="1420" w:right="140"/>
        <w:spacing w:after="0" w:line="248" w:lineRule="auto"/>
        <w:rPr>
          <w:sz w:val="20"/>
          <w:szCs w:val="20"/>
          <w:color w:val="auto"/>
        </w:rPr>
      </w:pPr>
      <w:r>
        <w:rPr>
          <w:rFonts w:ascii="Arial" w:cs="Arial" w:eastAsia="Arial" w:hAnsi="Arial"/>
          <w:sz w:val="21"/>
          <w:szCs w:val="21"/>
          <w:i w:val="1"/>
          <w:iCs w:val="1"/>
          <w:color w:val="auto"/>
        </w:rPr>
        <w:t xml:space="preserve">Business NH Magazine </w:t>
      </w:r>
      <w:r>
        <w:rPr>
          <w:rFonts w:ascii="Arial" w:cs="Arial" w:eastAsia="Arial" w:hAnsi="Arial"/>
          <w:sz w:val="21"/>
          <w:szCs w:val="21"/>
          <w:color w:val="auto"/>
        </w:rPr>
        <w:t>named us as one of the Best Companies to work for in New Hampshire for</w:t>
      </w:r>
      <w:r>
        <w:rPr>
          <w:rFonts w:ascii="Arial" w:cs="Arial" w:eastAsia="Arial" w:hAnsi="Arial"/>
          <w:sz w:val="21"/>
          <w:szCs w:val="21"/>
          <w:i w:val="1"/>
          <w:iCs w:val="1"/>
          <w:color w:val="auto"/>
        </w:rPr>
        <w:t xml:space="preserve"> </w:t>
      </w:r>
      <w:r>
        <w:rPr>
          <w:rFonts w:ascii="Arial" w:cs="Arial" w:eastAsia="Arial" w:hAnsi="Arial"/>
          <w:sz w:val="21"/>
          <w:szCs w:val="21"/>
          <w:color w:val="auto"/>
        </w:rPr>
        <w:t>the fourth consecutive year earning us “Hall of Fame” status and solidifying our position as a coveted employer in the region.</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Infrastructure Investments</w:t>
      </w:r>
    </w:p>
    <w:p>
      <w:pPr>
        <w:spacing w:after="0" w:line="109" w:lineRule="exact"/>
        <w:rPr>
          <w:sz w:val="20"/>
          <w:szCs w:val="20"/>
          <w:color w:val="auto"/>
        </w:rPr>
      </w:pPr>
    </w:p>
    <w:p>
      <w:pPr>
        <w:ind w:left="1420" w:right="60"/>
        <w:spacing w:after="0" w:line="243" w:lineRule="auto"/>
        <w:rPr>
          <w:sz w:val="20"/>
          <w:szCs w:val="20"/>
          <w:color w:val="auto"/>
        </w:rPr>
      </w:pPr>
      <w:r>
        <w:rPr>
          <w:rFonts w:ascii="Arial" w:cs="Arial" w:eastAsia="Arial" w:hAnsi="Arial"/>
          <w:sz w:val="21"/>
          <w:szCs w:val="21"/>
          <w:color w:val="auto"/>
        </w:rPr>
        <w:t>We completed construction and commissioning of the Kingston Solar Project, which is presently the largest solar facility in New Hampshire. The project was awarded the New Hampshire Energy Week Project of the Year and was nominated for multiple awards by DistribuTech Northeast. Notably, electricity production from the facility has been 5% -10% higher than originally estimated.</w:t>
      </w:r>
    </w:p>
    <w:p>
      <w:pPr>
        <w:spacing w:after="0" w:line="74" w:lineRule="exact"/>
        <w:rPr>
          <w:sz w:val="20"/>
          <w:szCs w:val="20"/>
          <w:color w:val="auto"/>
        </w:rPr>
      </w:pPr>
    </w:p>
    <w:p>
      <w:pPr>
        <w:ind w:left="1420" w:right="100"/>
        <w:spacing w:after="0"/>
        <w:rPr>
          <w:sz w:val="20"/>
          <w:szCs w:val="20"/>
          <w:color w:val="auto"/>
        </w:rPr>
      </w:pPr>
      <w:r>
        <w:rPr>
          <w:rFonts w:ascii="Arial" w:cs="Arial" w:eastAsia="Arial" w:hAnsi="Arial"/>
          <w:sz w:val="21"/>
          <w:szCs w:val="21"/>
          <w:color w:val="auto"/>
        </w:rPr>
        <w:t>We completed the first year of a multi-year upgrade and replacement of the Company’s Advanced Metering Infrastructure (AMI) system, originally installed in 2007. The new system incorporates leading-edge smart meters supporting numerous enhanced rate options. with five-minute metering intervals, near real-time outage and restoration detection, system load and voltage sensing, remote disconnect capability, and customer-facing home area network applications.</w:t>
      </w:r>
    </w:p>
    <w:p>
      <w:pPr>
        <w:spacing w:after="0" w:line="79" w:lineRule="exact"/>
        <w:rPr>
          <w:sz w:val="20"/>
          <w:szCs w:val="20"/>
          <w:color w:val="auto"/>
        </w:rPr>
      </w:pPr>
    </w:p>
    <w:p>
      <w:pPr>
        <w:ind w:left="1420" w:right="420"/>
        <w:spacing w:after="0" w:line="267" w:lineRule="auto"/>
        <w:rPr>
          <w:sz w:val="20"/>
          <w:szCs w:val="20"/>
          <w:color w:val="auto"/>
        </w:rPr>
      </w:pPr>
      <w:r>
        <w:rPr>
          <w:rFonts w:ascii="Arial" w:cs="Arial" w:eastAsia="Arial" w:hAnsi="Arial"/>
          <w:sz w:val="20"/>
          <w:szCs w:val="20"/>
          <w:color w:val="auto"/>
        </w:rPr>
        <w:t>We completed the design and construction of a supplemental storage project at the Company’s Westminster, Massachusetts, liquified natural gas (LNG) facility. The additional storage capacity provides operational flexibility and ensures adequate supply during periods of extreme cold.</w:t>
      </w:r>
    </w:p>
    <w:p>
      <w:pPr>
        <w:spacing w:after="0" w:line="51" w:lineRule="exact"/>
        <w:rPr>
          <w:sz w:val="20"/>
          <w:szCs w:val="20"/>
          <w:color w:val="auto"/>
        </w:rPr>
      </w:pPr>
    </w:p>
    <w:p>
      <w:pPr>
        <w:ind w:left="1420" w:right="160"/>
        <w:spacing w:after="0" w:line="248" w:lineRule="auto"/>
        <w:rPr>
          <w:sz w:val="20"/>
          <w:szCs w:val="20"/>
          <w:color w:val="auto"/>
        </w:rPr>
      </w:pPr>
      <w:r>
        <w:rPr>
          <w:rFonts w:ascii="Arial" w:cs="Arial" w:eastAsia="Arial" w:hAnsi="Arial"/>
          <w:sz w:val="21"/>
          <w:szCs w:val="21"/>
          <w:color w:val="auto"/>
        </w:rPr>
        <w:t>We completed the design and construction of a large voltage conversion project to serve load growth in downtown Concord, New Hampshire, and enable the retirement of a substation originally installed in the early 1930’s.</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Strategy Execution</w:t>
      </w:r>
    </w:p>
    <w:p>
      <w:pPr>
        <w:spacing w:after="0" w:line="109" w:lineRule="exact"/>
        <w:rPr>
          <w:sz w:val="20"/>
          <w:szCs w:val="20"/>
          <w:color w:val="auto"/>
        </w:rPr>
      </w:pPr>
    </w:p>
    <w:p>
      <w:pPr>
        <w:ind w:left="1420" w:right="20"/>
        <w:spacing w:after="0"/>
        <w:rPr>
          <w:sz w:val="20"/>
          <w:szCs w:val="20"/>
          <w:color w:val="auto"/>
        </w:rPr>
      </w:pPr>
      <w:r>
        <w:rPr>
          <w:rFonts w:ascii="Arial" w:cs="Arial" w:eastAsia="Arial" w:hAnsi="Arial"/>
          <w:sz w:val="21"/>
          <w:szCs w:val="21"/>
          <w:color w:val="auto"/>
        </w:rPr>
        <w:t>We closed our acquisition of Bangor Natural Gas on January 31, 2025. All integration work including the conversion of customer service and billing systems, payroll systems, and accounting and financial systems was completed with no issues or customer complaints. We obtained an investment grade credit rating for Bangor Natural Gas and issued $32 million of long-term debt to complete financing of the acquisition.</w:t>
      </w:r>
    </w:p>
    <w:p>
      <w:pPr>
        <w:spacing w:after="0" w:line="79" w:lineRule="exact"/>
        <w:rPr>
          <w:sz w:val="20"/>
          <w:szCs w:val="20"/>
          <w:color w:val="auto"/>
        </w:rPr>
      </w:pPr>
    </w:p>
    <w:p>
      <w:pPr>
        <w:ind w:left="1420" w:right="60"/>
        <w:spacing w:after="0" w:line="243" w:lineRule="auto"/>
        <w:rPr>
          <w:sz w:val="20"/>
          <w:szCs w:val="20"/>
          <w:color w:val="auto"/>
        </w:rPr>
      </w:pPr>
      <w:r>
        <w:rPr>
          <w:rFonts w:ascii="Arial" w:cs="Arial" w:eastAsia="Arial" w:hAnsi="Arial"/>
          <w:sz w:val="21"/>
          <w:szCs w:val="21"/>
          <w:color w:val="auto"/>
        </w:rPr>
        <w:t>We successfully negotiated the acquisition of Maine Natural Gas. All transaction documents and financing commitments were obtained in addition to necessary regulatory approvals, leading to successful closing of the acquisition on October 31, 2025. Integration planning is currently complete with final integration expected to occur in mid-2026.</w:t>
      </w:r>
    </w:p>
    <w:p>
      <w:pPr>
        <w:spacing w:after="0" w:line="74" w:lineRule="exact"/>
        <w:rPr>
          <w:sz w:val="20"/>
          <w:szCs w:val="20"/>
          <w:color w:val="auto"/>
        </w:rPr>
      </w:pPr>
    </w:p>
    <w:p>
      <w:pPr>
        <w:ind w:left="1420" w:right="40"/>
        <w:spacing w:after="0" w:line="243" w:lineRule="auto"/>
        <w:rPr>
          <w:sz w:val="20"/>
          <w:szCs w:val="20"/>
          <w:color w:val="auto"/>
        </w:rPr>
      </w:pPr>
      <w:r>
        <w:rPr>
          <w:rFonts w:ascii="Arial" w:cs="Arial" w:eastAsia="Arial" w:hAnsi="Arial"/>
          <w:sz w:val="21"/>
          <w:szCs w:val="21"/>
          <w:color w:val="auto"/>
        </w:rPr>
        <w:t>We implemented an Energy Resource Interconnection System to provide customers with on-line, automated access to the status of their Distributed Energy Resources (“DER”) projects. This system is designed to improve the overall DER customer experience from application submittal to final approval to interconnect.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146685</wp:posOffset>
            </wp:positionV>
            <wp:extent cx="6337300" cy="825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620"/>
          </w:cols>
          <w:pgMar w:left="320" w:top="470" w:right="9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Regulation</w:t>
      </w:r>
    </w:p>
    <w:p>
      <w:pPr>
        <w:spacing w:after="0" w:line="109" w:lineRule="exact"/>
        <w:rPr>
          <w:sz w:val="20"/>
          <w:szCs w:val="20"/>
          <w:color w:val="auto"/>
        </w:rPr>
      </w:pPr>
    </w:p>
    <w:p>
      <w:pPr>
        <w:jc w:val="both"/>
        <w:ind w:left="1420" w:right="460"/>
        <w:spacing w:after="0" w:line="243" w:lineRule="auto"/>
        <w:rPr>
          <w:sz w:val="20"/>
          <w:szCs w:val="20"/>
          <w:color w:val="auto"/>
        </w:rPr>
      </w:pPr>
      <w:r>
        <w:rPr>
          <w:rFonts w:ascii="Arial" w:cs="Arial" w:eastAsia="Arial" w:hAnsi="Arial"/>
          <w:sz w:val="21"/>
          <w:szCs w:val="21"/>
          <w:color w:val="auto"/>
        </w:rPr>
        <w:t>We supported passage of ‘Fuel Choice’ legislation in Maine, preventing cities and towns from enacting local policies banning the use of natural gas and ensuring that residents of Maine can choose the heating source that is best for their home or business. We have now helped to pass Fuel Choice in both New Hampshire and Maine.</w:t>
      </w:r>
    </w:p>
    <w:p>
      <w:pPr>
        <w:spacing w:after="0" w:line="166" w:lineRule="exact"/>
        <w:rPr>
          <w:sz w:val="20"/>
          <w:szCs w:val="20"/>
          <w:color w:val="auto"/>
        </w:rPr>
      </w:pPr>
    </w:p>
    <w:p>
      <w:pPr>
        <w:ind w:left="640"/>
        <w:spacing w:after="0" w:line="238" w:lineRule="auto"/>
        <w:rPr>
          <w:sz w:val="20"/>
          <w:szCs w:val="20"/>
          <w:color w:val="auto"/>
        </w:rPr>
      </w:pPr>
      <w:r>
        <w:rPr>
          <w:rFonts w:ascii="Arial" w:cs="Arial" w:eastAsia="Arial" w:hAnsi="Arial"/>
          <w:sz w:val="21"/>
          <w:szCs w:val="21"/>
          <w:color w:val="auto"/>
        </w:rPr>
        <w:t>In addition to the successes noted above, we also continued to advance our long-term strategic planning initiatives, including customer engagement, clean transportation, renewable energy, operating systems’ integrity, grid modernization, and employee engagement. We continued to accelerate dividend growth for our investors continuing our unbroken record of annual dividend payments in 2025. On January 29, 2025, the Board of Directors approved an increase in the annual dividend to $1.80 per share, maintaining our dividend payout ratio near the low end of our long-term target range of 55% - 65%. On January 28, 2026, the Board of Directors voted to increase the 2026 annual dividend to $1.90 per share.</w:t>
      </w:r>
    </w:p>
    <w:p>
      <w:pPr>
        <w:spacing w:after="0" w:line="200" w:lineRule="exact"/>
        <w:rPr>
          <w:sz w:val="20"/>
          <w:szCs w:val="20"/>
          <w:color w:val="auto"/>
        </w:rPr>
      </w:pPr>
    </w:p>
    <w:p>
      <w:pPr>
        <w:spacing w:after="0" w:line="284"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EXECUTIVE COMPENSATION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EXECUTIVE COMPENSATION RECOVERY POLICY</w:t>
      </w:r>
    </w:p>
    <w:p>
      <w:pPr>
        <w:spacing w:after="0" w:line="200" w:lineRule="exact"/>
        <w:rPr>
          <w:sz w:val="20"/>
          <w:szCs w:val="20"/>
          <w:color w:val="auto"/>
        </w:rPr>
      </w:pPr>
    </w:p>
    <w:p>
      <w:pPr>
        <w:ind w:left="640" w:right="20"/>
        <w:spacing w:after="0" w:line="234" w:lineRule="auto"/>
        <w:rPr>
          <w:sz w:val="20"/>
          <w:szCs w:val="20"/>
          <w:color w:val="auto"/>
        </w:rPr>
      </w:pPr>
      <w:r>
        <w:rPr>
          <w:rFonts w:ascii="Arial" w:cs="Arial" w:eastAsia="Arial" w:hAnsi="Arial"/>
          <w:sz w:val="21"/>
          <w:szCs w:val="21"/>
          <w:color w:val="auto"/>
        </w:rPr>
        <w:t>The purpose of the Executive Compensation Recovery Policy (the “Policy”) is to provide for the recovery of certain executive compensation in the event of an accounting restatement resulting from material noncompliance with financial reporting requirements under the securities laws. In the event we are required to prepare an accounting restatement of our financial statements due to material non-compliance with any financial reporting requirement, we shall be entitled to recover any excess performance-based compensation received by any current or former Covered Executive</w:t>
      </w:r>
      <w:r>
        <w:rPr>
          <w:rFonts w:ascii="Arial" w:cs="Arial" w:eastAsia="Arial" w:hAnsi="Arial"/>
          <w:sz w:val="15"/>
          <w:szCs w:val="15"/>
          <w:color w:val="auto"/>
        </w:rPr>
        <w:t>5</w:t>
      </w:r>
      <w:r>
        <w:rPr>
          <w:rFonts w:ascii="Arial" w:cs="Arial" w:eastAsia="Arial" w:hAnsi="Arial"/>
          <w:sz w:val="21"/>
          <w:szCs w:val="21"/>
          <w:color w:val="auto"/>
        </w:rPr>
        <w:t xml:space="preserve"> during the three-year period immediately preceding the date on which we are required to prepare an accounting restatement. “Performance-based compensation</w:t>
      </w:r>
      <w:r>
        <w:rPr>
          <w:rFonts w:ascii="Arial" w:cs="Arial" w:eastAsia="Arial" w:hAnsi="Arial"/>
          <w:sz w:val="15"/>
          <w:szCs w:val="15"/>
          <w:color w:val="auto"/>
        </w:rPr>
        <w:t>6</w:t>
      </w:r>
      <w:r>
        <w:rPr>
          <w:rFonts w:ascii="Arial" w:cs="Arial" w:eastAsia="Arial" w:hAnsi="Arial"/>
          <w:sz w:val="21"/>
          <w:szCs w:val="21"/>
          <w:color w:val="auto"/>
        </w:rPr>
        <w:t>” is defined as all annual incentives and long-term incentives (whether in cash, in equity, or otherwise) granted, earned, vested or unvested with performance features based wholly or in part on our Company’s or a specified group’s attainment of a financial reporting measure. “Financial reporting measures” is defined as measures that are determined and presented in accordance with the accounting principles used in preparing our financial statements, and any measure(s) that are derived wholly or in part from these measures. We shall recover any erroneously awarded performance-based compensation in accordance with the Policy, with the exception that if the conditions of Rule 10D-1 of the Exchange Act and the listing standards of the NYSE are met, the Compensation Committee determines that recovery would be impractical. All actions taken under this Policy will comply with Section 10D of the Exchange Act and the listing standards of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90805</wp:posOffset>
            </wp:positionV>
            <wp:extent cx="20218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94" w:lineRule="exact"/>
        <w:rPr>
          <w:sz w:val="20"/>
          <w:szCs w:val="20"/>
          <w:color w:val="auto"/>
        </w:rPr>
      </w:pPr>
    </w:p>
    <w:p>
      <w:pPr>
        <w:ind w:left="820" w:hanging="186"/>
        <w:spacing w:after="0"/>
        <w:tabs>
          <w:tab w:leader="none" w:pos="82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The term “Covered Executive” includes the Company’s: chief executive officer; president; chief financial officer; chief accounting officer or</w:t>
      </w:r>
    </w:p>
    <w:p>
      <w:pPr>
        <w:ind w:left="820" w:right="540"/>
        <w:spacing w:after="0" w:line="234" w:lineRule="auto"/>
        <w:rPr>
          <w:sz w:val="20"/>
          <w:szCs w:val="20"/>
          <w:color w:val="auto"/>
        </w:rPr>
      </w:pPr>
      <w:r>
        <w:rPr>
          <w:rFonts w:ascii="Arial" w:cs="Arial" w:eastAsia="Arial" w:hAnsi="Arial"/>
          <w:sz w:val="16"/>
          <w:szCs w:val="16"/>
          <w:color w:val="auto"/>
        </w:rPr>
        <w:t>controller; any vice president in charge of a principal business unit, division or function; any other officer who performs a policy-making function</w:t>
      </w:r>
    </w:p>
    <w:p>
      <w:pPr>
        <w:spacing w:after="0" w:line="1" w:lineRule="exact"/>
        <w:rPr>
          <w:sz w:val="20"/>
          <w:szCs w:val="20"/>
          <w:color w:val="auto"/>
        </w:rPr>
      </w:pPr>
    </w:p>
    <w:p>
      <w:pPr>
        <w:ind w:left="820" w:right="140" w:hanging="186"/>
        <w:spacing w:after="0" w:line="201" w:lineRule="auto"/>
        <w:tabs>
          <w:tab w:leader="none" w:pos="820" w:val="left"/>
        </w:tabs>
        <w:numPr>
          <w:ilvl w:val="0"/>
          <w:numId w:val="31"/>
        </w:numPr>
        <w:rPr>
          <w:rFonts w:ascii="Arial" w:cs="Arial" w:eastAsia="Arial" w:hAnsi="Arial"/>
          <w:sz w:val="23"/>
          <w:szCs w:val="23"/>
          <w:color w:val="auto"/>
          <w:vertAlign w:val="superscript"/>
        </w:rPr>
      </w:pPr>
      <w:r>
        <w:rPr>
          <w:rFonts w:ascii="Arial" w:cs="Arial" w:eastAsia="Arial" w:hAnsi="Arial"/>
          <w:sz w:val="16"/>
          <w:szCs w:val="16"/>
          <w:color w:val="auto"/>
        </w:rPr>
        <w:t>For the purposes of the Executive Compensation Recovery Policy, performance-based compensation is defined as all annual incentives and long-term incentives, whether in cash, in equity, or otherwise, with performance features based on Unitil’s or a group’s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150495</wp:posOffset>
            </wp:positionV>
            <wp:extent cx="6337300" cy="825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620"/>
          </w:cols>
          <w:pgMar w:left="320" w:top="470" w:right="9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640" w:type="dxa"/>
        <w:tblCellMar>
          <w:top w:w="0" w:type="dxa"/>
          <w:left w:w="0" w:type="dxa"/>
          <w:bottom w:w="0" w:type="dxa"/>
          <w:right w:w="0" w:type="dxa"/>
        </w:tblCellMar>
      </w:tblPr>
      <w:tr>
        <w:trPr>
          <w:trHeight w:val="284"/>
        </w:trPr>
        <w:tc>
          <w:tcPr>
            <w:tcW w:w="5880" w:type="dxa"/>
            <w:vAlign w:val="bottom"/>
          </w:tcPr>
          <w:p>
            <w:pPr>
              <w:spacing w:after="0"/>
              <w:rPr>
                <w:sz w:val="20"/>
                <w:szCs w:val="20"/>
                <w:color w:val="auto"/>
              </w:rPr>
            </w:pPr>
            <w:r>
              <w:rPr>
                <w:rFonts w:ascii="Arial" w:cs="Arial" w:eastAsia="Arial" w:hAnsi="Arial"/>
                <w:sz w:val="21"/>
                <w:szCs w:val="21"/>
                <w:b w:val="1"/>
                <w:bCs w:val="1"/>
                <w:color w:val="auto"/>
              </w:rPr>
              <w:t>EXECUTIVE STOCK OWNERSHIP POLICY</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80" w:type="dxa"/>
            <w:vAlign w:val="bottom"/>
            <w:vMerge w:val="restart"/>
          </w:tcPr>
          <w:p>
            <w:pPr>
              <w:spacing w:after="0"/>
              <w:rPr>
                <w:sz w:val="20"/>
                <w:szCs w:val="20"/>
                <w:color w:val="auto"/>
              </w:rPr>
            </w:pPr>
            <w:r>
              <w:rPr>
                <w:rFonts w:ascii="Arial" w:cs="Arial" w:eastAsia="Arial" w:hAnsi="Arial"/>
                <w:sz w:val="21"/>
                <w:szCs w:val="21"/>
                <w:color w:val="auto"/>
              </w:rPr>
              <w:t>All Named Executive Officers of our Company are required to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vMerge w:val="restart"/>
            <w:shd w:val="clear" w:color="auto" w:fill="DAE6F2"/>
          </w:tcPr>
          <w:p>
            <w:pPr>
              <w:spacing w:after="0"/>
              <w:rPr>
                <w:sz w:val="20"/>
                <w:szCs w:val="20"/>
                <w:color w:val="auto"/>
              </w:rPr>
            </w:pPr>
            <w:r>
              <w:rPr>
                <w:rFonts w:ascii="Arial" w:cs="Arial" w:eastAsia="Arial" w:hAnsi="Arial"/>
                <w:sz w:val="11"/>
                <w:szCs w:val="11"/>
                <w:color w:val="auto"/>
                <w:w w:val="72"/>
              </w:rPr>
              <w:t> </w:t>
            </w:r>
          </w:p>
        </w:tc>
        <w:tc>
          <w:tcPr>
            <w:tcW w:w="3060" w:type="dxa"/>
            <w:vAlign w:val="bottom"/>
            <w:vMerge w:val="restart"/>
            <w:shd w:val="clear" w:color="auto" w:fill="DAE6F2"/>
          </w:tcPr>
          <w:p>
            <w:pPr>
              <w:ind w:left="60"/>
              <w:spacing w:after="0"/>
              <w:rPr>
                <w:sz w:val="20"/>
                <w:szCs w:val="20"/>
                <w:color w:val="auto"/>
              </w:rPr>
            </w:pPr>
            <w:r>
              <w:rPr>
                <w:rFonts w:ascii="Arial" w:cs="Arial" w:eastAsia="Arial" w:hAnsi="Arial"/>
                <w:sz w:val="17"/>
                <w:szCs w:val="17"/>
                <w:color w:val="auto"/>
              </w:rPr>
              <w:t>Chairman and CEO</w:t>
            </w:r>
          </w:p>
        </w:tc>
        <w:tc>
          <w:tcPr>
            <w:tcW w:w="180" w:type="dxa"/>
            <w:vAlign w:val="bottom"/>
            <w:shd w:val="clear" w:color="auto" w:fill="DAE6F2"/>
          </w:tcPr>
          <w:p>
            <w:pPr>
              <w:spacing w:after="0"/>
              <w:rPr>
                <w:sz w:val="20"/>
                <w:szCs w:val="20"/>
                <w:color w:val="auto"/>
              </w:rPr>
            </w:pPr>
          </w:p>
        </w:tc>
        <w:tc>
          <w:tcPr>
            <w:tcW w:w="280" w:type="dxa"/>
            <w:vAlign w:val="bottom"/>
            <w:vMerge w:val="restart"/>
            <w:shd w:val="clear" w:color="auto" w:fill="DAE6F2"/>
          </w:tcPr>
          <w:p>
            <w:pPr>
              <w:spacing w:after="0"/>
              <w:rPr>
                <w:sz w:val="20"/>
                <w:szCs w:val="20"/>
                <w:color w:val="auto"/>
              </w:rPr>
            </w:pPr>
            <w:r>
              <w:rPr>
                <w:rFonts w:ascii="Arial" w:cs="Arial" w:eastAsia="Arial" w:hAnsi="Arial"/>
                <w:sz w:val="17"/>
                <w:szCs w:val="17"/>
                <w:color w:val="auto"/>
              </w:rPr>
              <w:t>4X</w:t>
            </w:r>
          </w:p>
        </w:tc>
        <w:tc>
          <w:tcPr>
            <w:tcW w:w="360" w:type="dxa"/>
            <w:vAlign w:val="bottom"/>
            <w:shd w:val="clear" w:color="auto" w:fill="DAE6F2"/>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880" w:type="dxa"/>
            <w:vAlign w:val="bottom"/>
            <w:vMerge w:val="restart"/>
          </w:tcPr>
          <w:p>
            <w:pPr>
              <w:spacing w:after="0"/>
              <w:rPr>
                <w:sz w:val="20"/>
                <w:szCs w:val="20"/>
                <w:color w:val="auto"/>
              </w:rPr>
            </w:pPr>
            <w:r>
              <w:rPr>
                <w:rFonts w:ascii="Arial" w:cs="Arial" w:eastAsia="Arial" w:hAnsi="Arial"/>
                <w:sz w:val="21"/>
                <w:szCs w:val="21"/>
                <w:color w:val="auto"/>
              </w:rPr>
              <w:t>own shares of our common stock in the equivalent value of a</w:t>
            </w:r>
          </w:p>
        </w:tc>
        <w:tc>
          <w:tcPr>
            <w:tcW w:w="120" w:type="dxa"/>
            <w:vAlign w:val="bottom"/>
            <w:vMerge w:val="restart"/>
          </w:tcPr>
          <w:p>
            <w:pPr>
              <w:spacing w:after="0"/>
              <w:rPr>
                <w:sz w:val="14"/>
                <w:szCs w:val="14"/>
                <w:color w:val="auto"/>
              </w:rPr>
            </w:pPr>
          </w:p>
        </w:tc>
        <w:tc>
          <w:tcPr>
            <w:tcW w:w="100" w:type="dxa"/>
            <w:vAlign w:val="bottom"/>
            <w:vMerge w:val="continue"/>
            <w:shd w:val="clear" w:color="auto" w:fill="DAE6F2"/>
          </w:tcPr>
          <w:p>
            <w:pPr>
              <w:spacing w:after="0"/>
              <w:rPr>
                <w:sz w:val="14"/>
                <w:szCs w:val="14"/>
                <w:color w:val="auto"/>
              </w:rPr>
            </w:pPr>
          </w:p>
        </w:tc>
        <w:tc>
          <w:tcPr>
            <w:tcW w:w="3060" w:type="dxa"/>
            <w:vAlign w:val="bottom"/>
            <w:vMerge w:val="continue"/>
            <w:shd w:val="clear" w:color="auto" w:fill="DAE6F2"/>
          </w:tcPr>
          <w:p>
            <w:pPr>
              <w:spacing w:after="0"/>
              <w:rPr>
                <w:sz w:val="14"/>
                <w:szCs w:val="14"/>
                <w:color w:val="auto"/>
              </w:rPr>
            </w:pPr>
          </w:p>
        </w:tc>
        <w:tc>
          <w:tcPr>
            <w:tcW w:w="180" w:type="dxa"/>
            <w:vAlign w:val="bottom"/>
            <w:shd w:val="clear" w:color="auto" w:fill="DAE6F2"/>
          </w:tcPr>
          <w:p>
            <w:pPr>
              <w:spacing w:after="0"/>
              <w:rPr>
                <w:sz w:val="14"/>
                <w:szCs w:val="14"/>
                <w:color w:val="auto"/>
              </w:rPr>
            </w:pPr>
          </w:p>
        </w:tc>
        <w:tc>
          <w:tcPr>
            <w:tcW w:w="280" w:type="dxa"/>
            <w:vAlign w:val="bottom"/>
            <w:vMerge w:val="continue"/>
            <w:shd w:val="clear" w:color="auto" w:fill="DAE6F2"/>
          </w:tcPr>
          <w:p>
            <w:pPr>
              <w:spacing w:after="0"/>
              <w:rPr>
                <w:sz w:val="14"/>
                <w:szCs w:val="14"/>
                <w:color w:val="auto"/>
              </w:rPr>
            </w:pPr>
          </w:p>
        </w:tc>
        <w:tc>
          <w:tcPr>
            <w:tcW w:w="360" w:type="dxa"/>
            <w:vAlign w:val="bottom"/>
            <w:shd w:val="clear" w:color="auto" w:fill="DAE6F2"/>
          </w:tcPr>
          <w:p>
            <w:pPr>
              <w:ind w:left="100"/>
              <w:spacing w:after="0"/>
              <w:rPr>
                <w:sz w:val="20"/>
                <w:szCs w:val="20"/>
                <w:color w:val="auto"/>
              </w:rPr>
            </w:pPr>
            <w:r>
              <w:rPr>
                <w:rFonts w:ascii="Arial" w:cs="Arial" w:eastAsia="Arial" w:hAnsi="Arial"/>
                <w:sz w:val="9"/>
                <w:szCs w:val="9"/>
                <w:color w:val="auto"/>
              </w:rPr>
              <w:t>  </w:t>
            </w:r>
          </w:p>
        </w:tc>
        <w:tc>
          <w:tcPr>
            <w:tcW w:w="0" w:type="dxa"/>
            <w:vAlign w:val="bottom"/>
          </w:tcPr>
          <w:p>
            <w:pPr>
              <w:spacing w:after="0"/>
              <w:rPr>
                <w:sz w:val="1"/>
                <w:szCs w:val="1"/>
                <w:color w:val="auto"/>
              </w:rPr>
            </w:pPr>
          </w:p>
        </w:tc>
      </w:tr>
      <w:tr>
        <w:trPr>
          <w:trHeight w:val="78"/>
        </w:trPr>
        <w:tc>
          <w:tcPr>
            <w:tcW w:w="588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vMerge w:val="restart"/>
            <w:shd w:val="clear" w:color="auto" w:fill="DAE6F2"/>
          </w:tcPr>
          <w:p>
            <w:pPr>
              <w:spacing w:after="0"/>
              <w:rPr>
                <w:sz w:val="20"/>
                <w:szCs w:val="20"/>
                <w:color w:val="auto"/>
              </w:rPr>
            </w:pPr>
            <w:r>
              <w:rPr>
                <w:rFonts w:ascii="Arial" w:cs="Arial" w:eastAsia="Arial" w:hAnsi="Arial"/>
                <w:sz w:val="11"/>
                <w:szCs w:val="11"/>
                <w:color w:val="auto"/>
                <w:w w:val="72"/>
              </w:rPr>
              <w:t> </w:t>
            </w:r>
          </w:p>
        </w:tc>
        <w:tc>
          <w:tcPr>
            <w:tcW w:w="3060" w:type="dxa"/>
            <w:vAlign w:val="bottom"/>
            <w:vMerge w:val="restart"/>
            <w:shd w:val="clear" w:color="auto" w:fill="DAE6F2"/>
          </w:tcPr>
          <w:p>
            <w:pPr>
              <w:ind w:left="60"/>
              <w:spacing w:after="0" w:line="178" w:lineRule="exact"/>
              <w:rPr>
                <w:sz w:val="20"/>
                <w:szCs w:val="20"/>
                <w:color w:val="auto"/>
              </w:rPr>
            </w:pPr>
            <w:r>
              <w:rPr>
                <w:rFonts w:ascii="Arial" w:cs="Arial" w:eastAsia="Arial" w:hAnsi="Arial"/>
                <w:sz w:val="17"/>
                <w:szCs w:val="17"/>
                <w:color w:val="auto"/>
              </w:rPr>
              <w:t>President</w:t>
            </w:r>
          </w:p>
        </w:tc>
        <w:tc>
          <w:tcPr>
            <w:tcW w:w="180" w:type="dxa"/>
            <w:vAlign w:val="bottom"/>
            <w:shd w:val="clear" w:color="auto" w:fill="DAE6F2"/>
          </w:tcPr>
          <w:p>
            <w:pPr>
              <w:spacing w:after="0"/>
              <w:rPr>
                <w:sz w:val="6"/>
                <w:szCs w:val="6"/>
                <w:color w:val="auto"/>
              </w:rPr>
            </w:pPr>
          </w:p>
        </w:tc>
        <w:tc>
          <w:tcPr>
            <w:tcW w:w="280" w:type="dxa"/>
            <w:vAlign w:val="bottom"/>
            <w:vMerge w:val="restart"/>
            <w:shd w:val="clear" w:color="auto" w:fill="DAE6F2"/>
          </w:tcPr>
          <w:p>
            <w:pPr>
              <w:spacing w:after="0" w:line="178" w:lineRule="exact"/>
              <w:rPr>
                <w:sz w:val="20"/>
                <w:szCs w:val="20"/>
                <w:color w:val="auto"/>
              </w:rPr>
            </w:pPr>
            <w:r>
              <w:rPr>
                <w:rFonts w:ascii="Arial" w:cs="Arial" w:eastAsia="Arial" w:hAnsi="Arial"/>
                <w:sz w:val="17"/>
                <w:szCs w:val="17"/>
                <w:color w:val="auto"/>
              </w:rPr>
              <w:t>3X</w:t>
            </w:r>
          </w:p>
        </w:tc>
        <w:tc>
          <w:tcPr>
            <w:tcW w:w="360" w:type="dxa"/>
            <w:vAlign w:val="bottom"/>
            <w:shd w:val="clear" w:color="auto" w:fill="DAE6F2"/>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5880" w:type="dxa"/>
            <w:vAlign w:val="bottom"/>
            <w:vMerge w:val="restart"/>
          </w:tcPr>
          <w:p>
            <w:pPr>
              <w:spacing w:after="0"/>
              <w:rPr>
                <w:sz w:val="20"/>
                <w:szCs w:val="20"/>
                <w:color w:val="auto"/>
              </w:rPr>
            </w:pPr>
            <w:r>
              <w:rPr>
                <w:rFonts w:ascii="Arial" w:cs="Arial" w:eastAsia="Arial" w:hAnsi="Arial"/>
                <w:sz w:val="21"/>
                <w:szCs w:val="21"/>
                <w:color w:val="auto"/>
              </w:rPr>
              <w:t>multiple of base salary. Any newly appointed Named Executive</w:t>
            </w:r>
          </w:p>
        </w:tc>
        <w:tc>
          <w:tcPr>
            <w:tcW w:w="120" w:type="dxa"/>
            <w:vAlign w:val="bottom"/>
          </w:tcPr>
          <w:p>
            <w:pPr>
              <w:spacing w:after="0"/>
              <w:rPr>
                <w:sz w:val="8"/>
                <w:szCs w:val="8"/>
                <w:color w:val="auto"/>
              </w:rPr>
            </w:pPr>
          </w:p>
        </w:tc>
        <w:tc>
          <w:tcPr>
            <w:tcW w:w="100" w:type="dxa"/>
            <w:vAlign w:val="bottom"/>
            <w:vMerge w:val="continue"/>
            <w:shd w:val="clear" w:color="auto" w:fill="DAE6F2"/>
          </w:tcPr>
          <w:p>
            <w:pPr>
              <w:spacing w:after="0"/>
              <w:rPr>
                <w:sz w:val="8"/>
                <w:szCs w:val="8"/>
                <w:color w:val="auto"/>
              </w:rPr>
            </w:pPr>
          </w:p>
        </w:tc>
        <w:tc>
          <w:tcPr>
            <w:tcW w:w="3060" w:type="dxa"/>
            <w:vAlign w:val="bottom"/>
            <w:vMerge w:val="continue"/>
            <w:shd w:val="clear" w:color="auto" w:fill="DAE6F2"/>
          </w:tcPr>
          <w:p>
            <w:pPr>
              <w:spacing w:after="0"/>
              <w:rPr>
                <w:sz w:val="8"/>
                <w:szCs w:val="8"/>
                <w:color w:val="auto"/>
              </w:rPr>
            </w:pPr>
          </w:p>
        </w:tc>
        <w:tc>
          <w:tcPr>
            <w:tcW w:w="180" w:type="dxa"/>
            <w:vAlign w:val="bottom"/>
            <w:shd w:val="clear" w:color="auto" w:fill="DAE6F2"/>
          </w:tcPr>
          <w:p>
            <w:pPr>
              <w:spacing w:after="0"/>
              <w:rPr>
                <w:sz w:val="8"/>
                <w:szCs w:val="8"/>
                <w:color w:val="auto"/>
              </w:rPr>
            </w:pPr>
          </w:p>
        </w:tc>
        <w:tc>
          <w:tcPr>
            <w:tcW w:w="280" w:type="dxa"/>
            <w:vAlign w:val="bottom"/>
            <w:vMerge w:val="continue"/>
            <w:shd w:val="clear" w:color="auto" w:fill="DAE6F2"/>
          </w:tcPr>
          <w:p>
            <w:pPr>
              <w:spacing w:after="0"/>
              <w:rPr>
                <w:sz w:val="8"/>
                <w:szCs w:val="8"/>
                <w:color w:val="auto"/>
              </w:rPr>
            </w:pPr>
          </w:p>
        </w:tc>
        <w:tc>
          <w:tcPr>
            <w:tcW w:w="360" w:type="dxa"/>
            <w:vAlign w:val="bottom"/>
            <w:shd w:val="clear" w:color="auto" w:fill="DAE6F2"/>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5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shd w:val="clear" w:color="auto" w:fill="DAE6F2"/>
          </w:tcPr>
          <w:p>
            <w:pPr>
              <w:spacing w:after="0"/>
              <w:rPr>
                <w:sz w:val="20"/>
                <w:szCs w:val="20"/>
                <w:color w:val="auto"/>
              </w:rPr>
            </w:pPr>
            <w:r>
              <w:rPr>
                <w:rFonts w:ascii="Arial" w:cs="Arial" w:eastAsia="Arial" w:hAnsi="Arial"/>
                <w:sz w:val="11"/>
                <w:szCs w:val="11"/>
                <w:color w:val="auto"/>
                <w:w w:val="72"/>
              </w:rPr>
              <w:t> </w:t>
            </w:r>
          </w:p>
        </w:tc>
        <w:tc>
          <w:tcPr>
            <w:tcW w:w="3060" w:type="dxa"/>
            <w:vAlign w:val="bottom"/>
            <w:shd w:val="clear" w:color="auto" w:fill="DAE6F2"/>
          </w:tcPr>
          <w:p>
            <w:pPr>
              <w:ind w:left="60"/>
              <w:spacing w:after="0" w:line="173" w:lineRule="exact"/>
              <w:rPr>
                <w:sz w:val="20"/>
                <w:szCs w:val="20"/>
                <w:color w:val="auto"/>
              </w:rPr>
            </w:pPr>
            <w:r>
              <w:rPr>
                <w:rFonts w:ascii="Arial" w:cs="Arial" w:eastAsia="Arial" w:hAnsi="Arial"/>
                <w:sz w:val="17"/>
                <w:szCs w:val="17"/>
                <w:color w:val="auto"/>
              </w:rPr>
              <w:t>Chief Financial Officer</w:t>
            </w:r>
          </w:p>
        </w:tc>
        <w:tc>
          <w:tcPr>
            <w:tcW w:w="180" w:type="dxa"/>
            <w:vAlign w:val="bottom"/>
            <w:shd w:val="clear" w:color="auto" w:fill="DAE6F2"/>
          </w:tcPr>
          <w:p>
            <w:pPr>
              <w:spacing w:after="0"/>
              <w:rPr>
                <w:sz w:val="15"/>
                <w:szCs w:val="15"/>
                <w:color w:val="auto"/>
              </w:rPr>
            </w:pPr>
          </w:p>
        </w:tc>
        <w:tc>
          <w:tcPr>
            <w:tcW w:w="280" w:type="dxa"/>
            <w:vAlign w:val="bottom"/>
            <w:shd w:val="clear" w:color="auto" w:fill="DAE6F2"/>
          </w:tcPr>
          <w:p>
            <w:pPr>
              <w:spacing w:after="0" w:line="173" w:lineRule="exact"/>
              <w:rPr>
                <w:sz w:val="20"/>
                <w:szCs w:val="20"/>
                <w:color w:val="auto"/>
              </w:rPr>
            </w:pPr>
            <w:r>
              <w:rPr>
                <w:rFonts w:ascii="Arial" w:cs="Arial" w:eastAsia="Arial" w:hAnsi="Arial"/>
                <w:sz w:val="17"/>
                <w:szCs w:val="17"/>
                <w:color w:val="auto"/>
              </w:rPr>
              <w:t>3X</w:t>
            </w:r>
          </w:p>
        </w:tc>
        <w:tc>
          <w:tcPr>
            <w:tcW w:w="360" w:type="dxa"/>
            <w:vAlign w:val="bottom"/>
            <w:shd w:val="clear" w:color="auto" w:fill="DAE6F2"/>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80" w:type="dxa"/>
            <w:vAlign w:val="bottom"/>
          </w:tcPr>
          <w:p>
            <w:pPr>
              <w:spacing w:after="0" w:line="234" w:lineRule="exact"/>
              <w:rPr>
                <w:sz w:val="20"/>
                <w:szCs w:val="20"/>
                <w:color w:val="auto"/>
              </w:rPr>
            </w:pPr>
            <w:r>
              <w:rPr>
                <w:rFonts w:ascii="Arial" w:cs="Arial" w:eastAsia="Arial" w:hAnsi="Arial"/>
                <w:sz w:val="21"/>
                <w:szCs w:val="21"/>
                <w:color w:val="auto"/>
              </w:rPr>
              <w:t>Officer will have four years from the date of appointment to</w:t>
            </w:r>
          </w:p>
        </w:tc>
        <w:tc>
          <w:tcPr>
            <w:tcW w:w="120" w:type="dxa"/>
            <w:vAlign w:val="bottom"/>
          </w:tcPr>
          <w:p>
            <w:pPr>
              <w:spacing w:after="0"/>
              <w:rPr>
                <w:sz w:val="20"/>
                <w:szCs w:val="20"/>
                <w:color w:val="auto"/>
              </w:rPr>
            </w:pPr>
          </w:p>
        </w:tc>
        <w:tc>
          <w:tcPr>
            <w:tcW w:w="100" w:type="dxa"/>
            <w:vAlign w:val="bottom"/>
            <w:shd w:val="clear" w:color="auto" w:fill="DAE6F2"/>
          </w:tcPr>
          <w:p>
            <w:pPr>
              <w:spacing w:after="0"/>
              <w:rPr>
                <w:sz w:val="20"/>
                <w:szCs w:val="20"/>
                <w:color w:val="auto"/>
              </w:rPr>
            </w:pPr>
            <w:r>
              <w:rPr>
                <w:rFonts w:ascii="Arial" w:cs="Arial" w:eastAsia="Arial" w:hAnsi="Arial"/>
                <w:sz w:val="11"/>
                <w:szCs w:val="11"/>
                <w:color w:val="auto"/>
                <w:w w:val="72"/>
              </w:rPr>
              <w:t> </w:t>
            </w:r>
          </w:p>
        </w:tc>
        <w:tc>
          <w:tcPr>
            <w:tcW w:w="3060" w:type="dxa"/>
            <w:vAlign w:val="bottom"/>
            <w:shd w:val="clear" w:color="auto" w:fill="DAE6F2"/>
          </w:tcPr>
          <w:p>
            <w:pPr>
              <w:ind w:left="40"/>
              <w:spacing w:after="0"/>
              <w:rPr>
                <w:sz w:val="20"/>
                <w:szCs w:val="20"/>
                <w:color w:val="auto"/>
              </w:rPr>
            </w:pPr>
            <w:r>
              <w:rPr>
                <w:rFonts w:ascii="Arial" w:cs="Arial" w:eastAsia="Arial" w:hAnsi="Arial"/>
                <w:sz w:val="17"/>
                <w:szCs w:val="17"/>
                <w:color w:val="auto"/>
              </w:rPr>
              <w:t>All Other Named Executive Officers</w:t>
            </w:r>
          </w:p>
        </w:tc>
        <w:tc>
          <w:tcPr>
            <w:tcW w:w="180" w:type="dxa"/>
            <w:vAlign w:val="bottom"/>
            <w:shd w:val="clear" w:color="auto" w:fill="DAE6F2"/>
          </w:tcPr>
          <w:p>
            <w:pPr>
              <w:spacing w:after="0"/>
              <w:rPr>
                <w:sz w:val="20"/>
                <w:szCs w:val="20"/>
                <w:color w:val="auto"/>
              </w:rPr>
            </w:pPr>
          </w:p>
        </w:tc>
        <w:tc>
          <w:tcPr>
            <w:tcW w:w="280" w:type="dxa"/>
            <w:vAlign w:val="bottom"/>
            <w:shd w:val="clear" w:color="auto" w:fill="DAE6F2"/>
          </w:tcPr>
          <w:p>
            <w:pPr>
              <w:spacing w:after="0"/>
              <w:rPr>
                <w:sz w:val="20"/>
                <w:szCs w:val="20"/>
                <w:color w:val="auto"/>
              </w:rPr>
            </w:pPr>
            <w:r>
              <w:rPr>
                <w:rFonts w:ascii="Arial" w:cs="Arial" w:eastAsia="Arial" w:hAnsi="Arial"/>
                <w:sz w:val="17"/>
                <w:szCs w:val="17"/>
                <w:color w:val="auto"/>
              </w:rPr>
              <w:t>2X</w:t>
            </w:r>
          </w:p>
        </w:tc>
        <w:tc>
          <w:tcPr>
            <w:tcW w:w="360" w:type="dxa"/>
            <w:vAlign w:val="bottom"/>
            <w:shd w:val="clear" w:color="auto" w:fill="DAE6F2"/>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5880" w:type="dxa"/>
            <w:vAlign w:val="bottom"/>
            <w:vMerge w:val="restart"/>
          </w:tcPr>
          <w:p>
            <w:pPr>
              <w:spacing w:after="0"/>
              <w:rPr>
                <w:sz w:val="20"/>
                <w:szCs w:val="20"/>
                <w:color w:val="auto"/>
              </w:rPr>
            </w:pPr>
            <w:r>
              <w:rPr>
                <w:rFonts w:ascii="Arial" w:cs="Arial" w:eastAsia="Arial" w:hAnsi="Arial"/>
                <w:sz w:val="21"/>
                <w:szCs w:val="21"/>
                <w:color w:val="auto"/>
              </w:rPr>
              <w:t>obtain the required shares of stock. Additional information</w:t>
            </w:r>
          </w:p>
        </w:tc>
        <w:tc>
          <w:tcPr>
            <w:tcW w:w="120" w:type="dxa"/>
            <w:vAlign w:val="bottom"/>
          </w:tcPr>
          <w:p>
            <w:pPr>
              <w:spacing w:after="0"/>
              <w:rPr>
                <w:sz w:val="11"/>
                <w:szCs w:val="11"/>
                <w:color w:val="auto"/>
              </w:rPr>
            </w:pPr>
          </w:p>
        </w:tc>
        <w:tc>
          <w:tcPr>
            <w:tcW w:w="100" w:type="dxa"/>
            <w:vAlign w:val="bottom"/>
            <w:shd w:val="clear" w:color="auto" w:fill="DAE6F2"/>
          </w:tcPr>
          <w:p>
            <w:pPr>
              <w:spacing w:after="0"/>
              <w:rPr>
                <w:sz w:val="11"/>
                <w:szCs w:val="11"/>
                <w:color w:val="auto"/>
              </w:rPr>
            </w:pPr>
          </w:p>
        </w:tc>
        <w:tc>
          <w:tcPr>
            <w:tcW w:w="3060" w:type="dxa"/>
            <w:vAlign w:val="bottom"/>
            <w:shd w:val="clear" w:color="auto" w:fill="DAE6F2"/>
          </w:tcPr>
          <w:p>
            <w:pPr>
              <w:spacing w:after="0"/>
              <w:rPr>
                <w:sz w:val="11"/>
                <w:szCs w:val="11"/>
                <w:color w:val="auto"/>
              </w:rPr>
            </w:pPr>
          </w:p>
        </w:tc>
        <w:tc>
          <w:tcPr>
            <w:tcW w:w="180" w:type="dxa"/>
            <w:vAlign w:val="bottom"/>
            <w:shd w:val="clear" w:color="auto" w:fill="DAE6F2"/>
          </w:tcPr>
          <w:p>
            <w:pPr>
              <w:spacing w:after="0"/>
              <w:rPr>
                <w:sz w:val="11"/>
                <w:szCs w:val="11"/>
                <w:color w:val="auto"/>
              </w:rPr>
            </w:pPr>
          </w:p>
        </w:tc>
        <w:tc>
          <w:tcPr>
            <w:tcW w:w="280" w:type="dxa"/>
            <w:vAlign w:val="bottom"/>
            <w:shd w:val="clear" w:color="auto" w:fill="DAE6F2"/>
          </w:tcPr>
          <w:p>
            <w:pPr>
              <w:spacing w:after="0"/>
              <w:rPr>
                <w:sz w:val="11"/>
                <w:szCs w:val="11"/>
                <w:color w:val="auto"/>
              </w:rPr>
            </w:pPr>
          </w:p>
        </w:tc>
        <w:tc>
          <w:tcPr>
            <w:tcW w:w="360" w:type="dxa"/>
            <w:vAlign w:val="bottom"/>
            <w:shd w:val="clear" w:color="auto" w:fill="DAE6F2"/>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40" w:right="460"/>
        <w:spacing w:after="0" w:line="270" w:lineRule="auto"/>
        <w:rPr>
          <w:sz w:val="20"/>
          <w:szCs w:val="20"/>
          <w:color w:val="auto"/>
        </w:rPr>
      </w:pPr>
      <w:r>
        <w:rPr>
          <w:rFonts w:ascii="Arial" w:cs="Arial" w:eastAsia="Arial" w:hAnsi="Arial"/>
          <w:sz w:val="21"/>
          <w:szCs w:val="21"/>
          <w:color w:val="auto"/>
        </w:rPr>
        <w:t xml:space="preserve">concerning the current share ownership of our Directors and officers can be found in the section entitled </w:t>
      </w:r>
      <w:r>
        <w:rPr>
          <w:rFonts w:ascii="Arial" w:cs="Arial" w:eastAsia="Arial" w:hAnsi="Arial"/>
          <w:sz w:val="21"/>
          <w:szCs w:val="21"/>
          <w:i w:val="1"/>
          <w:iCs w:val="1"/>
          <w:color w:val="auto"/>
        </w:rPr>
        <w:t>Share Ownership —Beneficial Ownership</w:t>
      </w:r>
      <w:r>
        <w:rPr>
          <w:rFonts w:ascii="Arial" w:cs="Arial" w:eastAsia="Arial" w:hAnsi="Arial"/>
          <w:sz w:val="21"/>
          <w:szCs w:val="21"/>
          <w:color w:val="auto"/>
        </w:rPr>
        <w:t>.</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EXECUTIVE STOCK RETENTION POLICY</w:t>
      </w:r>
    </w:p>
    <w:p>
      <w:pPr>
        <w:spacing w:after="0" w:line="200" w:lineRule="exact"/>
        <w:rPr>
          <w:sz w:val="20"/>
          <w:szCs w:val="20"/>
          <w:color w:val="auto"/>
        </w:rPr>
      </w:pPr>
    </w:p>
    <w:p>
      <w:pPr>
        <w:ind w:left="640" w:right="320"/>
        <w:spacing w:after="0"/>
        <w:rPr>
          <w:sz w:val="20"/>
          <w:szCs w:val="20"/>
          <w:color w:val="auto"/>
        </w:rPr>
      </w:pPr>
      <w:r>
        <w:rPr>
          <w:rFonts w:ascii="Arial" w:cs="Arial" w:eastAsia="Arial" w:hAnsi="Arial"/>
          <w:sz w:val="21"/>
          <w:szCs w:val="21"/>
          <w:color w:val="auto"/>
        </w:rPr>
        <w:t>The Board believes that our executive officers should own a significant number of shares of our common stock to properly align their interests with those of our shareholders. All Named Executive Officers are required to hold all forms of equity received as compensation until retirement or other separation from the Company. The Board, in its sole discretion, may approve a waiver to this policy as circumstances may warrant. To date, no such waivers have been proposed or approved.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PROHIBITION ON HEDGING AND/OR PLEDGING COMPANY STOCK POLICY</w:t>
      </w:r>
    </w:p>
    <w:p>
      <w:pPr>
        <w:spacing w:after="0" w:line="96" w:lineRule="exact"/>
        <w:rPr>
          <w:sz w:val="20"/>
          <w:szCs w:val="20"/>
          <w:color w:val="auto"/>
        </w:rPr>
      </w:pPr>
    </w:p>
    <w:p>
      <w:pPr>
        <w:jc w:val="both"/>
        <w:ind w:left="640" w:right="80"/>
        <w:spacing w:after="0" w:line="243" w:lineRule="auto"/>
        <w:rPr>
          <w:sz w:val="20"/>
          <w:szCs w:val="20"/>
          <w:color w:val="auto"/>
        </w:rPr>
      </w:pPr>
      <w:r>
        <w:rPr>
          <w:rFonts w:ascii="Arial" w:cs="Arial" w:eastAsia="Arial" w:hAnsi="Arial"/>
          <w:sz w:val="21"/>
          <w:szCs w:val="21"/>
          <w:color w:val="auto"/>
        </w:rPr>
        <w:t>All members of the Board and the executive officers are prohibited from engaging in short sales or engaging in any hedging transaction with respect to Unitil common stock, as well as engaging in any transactions that result in pledging, or using as collateral, shares of Unitil common stock in order to secure personal loans or other obligations, including any shares that may be held in a margin account.</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TIMING AND PRICING OF STOCK AWARDS</w:t>
      </w:r>
    </w:p>
    <w:p>
      <w:pPr>
        <w:spacing w:after="0" w:line="96" w:lineRule="exact"/>
        <w:rPr>
          <w:sz w:val="20"/>
          <w:szCs w:val="20"/>
          <w:color w:val="auto"/>
        </w:rPr>
      </w:pPr>
    </w:p>
    <w:p>
      <w:pPr>
        <w:ind w:left="640" w:right="20"/>
        <w:spacing w:after="0" w:line="236" w:lineRule="auto"/>
        <w:rPr>
          <w:sz w:val="20"/>
          <w:szCs w:val="20"/>
          <w:color w:val="auto"/>
        </w:rPr>
      </w:pPr>
      <w:r>
        <w:rPr>
          <w:rFonts w:ascii="Arial" w:cs="Arial" w:eastAsia="Arial" w:hAnsi="Arial"/>
          <w:sz w:val="21"/>
          <w:szCs w:val="21"/>
          <w:color w:val="auto"/>
        </w:rPr>
        <w:t>While we do not have a formal policy regarding the timing of equity awards, our practices regarding the grant of equity awards are designed to comply with applicable securities laws, and to reflect the integrity of our executive compensation program. The Board, together with the Compensation Committee, are responsible for determining the timing and terms of equity awards to eligible persons, including Named Executive Officers, other employees, and Directors. We do not grant equity awards in anticipation of the release of material non-public information, and we do not time the release of material non-public information based upon grant dates of equity. Equity awards are granted in connection with our yearly compensation cycle at pre-scheduled meetings. Currently, we do not issue stock options or SARS, and there are no stock options or SARS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153035</wp:posOffset>
            </wp:positionV>
            <wp:extent cx="6337300" cy="825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620"/>
          </w:cols>
          <w:pgMar w:left="320" w:top="470" w:right="9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Compensation Philosophy and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33" w:lineRule="exact"/>
        <w:rPr>
          <w:sz w:val="20"/>
          <w:szCs w:val="20"/>
          <w:color w:val="auto"/>
        </w:rPr>
      </w:pPr>
    </w:p>
    <w:p>
      <w:pPr>
        <w:ind w:left="640" w:right="460"/>
        <w:spacing w:after="0" w:line="243" w:lineRule="auto"/>
        <w:rPr>
          <w:sz w:val="20"/>
          <w:szCs w:val="20"/>
          <w:color w:val="auto"/>
        </w:rPr>
      </w:pPr>
      <w:r>
        <w:rPr>
          <w:rFonts w:ascii="Arial" w:cs="Arial" w:eastAsia="Arial" w:hAnsi="Arial"/>
          <w:sz w:val="21"/>
          <w:szCs w:val="21"/>
          <w:color w:val="auto"/>
        </w:rPr>
        <w:t>The Compensation Committee is responsible for oversight of our executive compensation program. The Committee, the Board and management recognize the value and importance of sound principles for the development and administration of competitive compensation and benefit programs. We believe our executive compensation program:</w:t>
      </w:r>
    </w:p>
    <w:p>
      <w:pPr>
        <w:spacing w:after="0" w:line="75" w:lineRule="exact"/>
        <w:rPr>
          <w:sz w:val="20"/>
          <w:szCs w:val="20"/>
          <w:color w:val="auto"/>
        </w:rPr>
      </w:pPr>
    </w:p>
    <w:tbl>
      <w:tblPr>
        <w:tblLayout w:type="fixed"/>
        <w:tblInd w:w="920" w:type="dxa"/>
        <w:tblCellMar>
          <w:top w:w="0" w:type="dxa"/>
          <w:left w:w="0" w:type="dxa"/>
          <w:bottom w:w="0" w:type="dxa"/>
          <w:right w:w="0" w:type="dxa"/>
        </w:tblCellMar>
      </w:tblPr>
      <w:tr>
        <w:trPr>
          <w:trHeight w:val="252"/>
        </w:trPr>
        <w:tc>
          <w:tcPr>
            <w:tcW w:w="2740" w:type="dxa"/>
            <w:vAlign w:val="bottom"/>
            <w:gridSpan w:val="2"/>
          </w:tcPr>
          <w:p>
            <w:pPr>
              <w:spacing w:after="0"/>
              <w:rPr>
                <w:sz w:val="20"/>
                <w:szCs w:val="20"/>
                <w:color w:val="auto"/>
              </w:rPr>
            </w:pPr>
            <w:r>
              <w:rPr>
                <w:rFonts w:ascii="Arial" w:cs="Arial" w:eastAsia="Arial" w:hAnsi="Arial"/>
                <w:sz w:val="19"/>
                <w:szCs w:val="19"/>
                <w:color w:val="auto"/>
              </w:rPr>
              <w:t>is instrumental in the</w:t>
            </w:r>
          </w:p>
        </w:tc>
        <w:tc>
          <w:tcPr>
            <w:tcW w:w="260" w:type="dxa"/>
            <w:vAlign w:val="bottom"/>
          </w:tcPr>
          <w:p>
            <w:pPr>
              <w:ind w:left="80"/>
              <w:spacing w:after="0"/>
              <w:rPr>
                <w:sz w:val="20"/>
                <w:szCs w:val="20"/>
                <w:color w:val="auto"/>
              </w:rPr>
            </w:pPr>
            <w:r>
              <w:rPr>
                <w:rFonts w:ascii="Arial" w:cs="Arial" w:eastAsia="Arial" w:hAnsi="Arial"/>
                <w:sz w:val="21"/>
                <w:szCs w:val="21"/>
                <w:color w:val="auto"/>
              </w:rPr>
              <w:t> </w:t>
            </w:r>
          </w:p>
        </w:tc>
        <w:tc>
          <w:tcPr>
            <w:tcW w:w="6580" w:type="dxa"/>
            <w:vAlign w:val="bottom"/>
            <w:vMerge w:val="restart"/>
          </w:tcPr>
          <w:p>
            <w:pPr>
              <w:ind w:left="1280"/>
              <w:spacing w:after="0"/>
              <w:rPr>
                <w:sz w:val="20"/>
                <w:szCs w:val="20"/>
                <w:color w:val="auto"/>
              </w:rPr>
            </w:pPr>
            <w:r>
              <w:rPr>
                <w:rFonts w:ascii="Arial" w:cs="Arial" w:eastAsia="Arial" w:hAnsi="Arial"/>
                <w:sz w:val="19"/>
                <w:szCs w:val="19"/>
                <w:b w:val="1"/>
                <w:bCs w:val="1"/>
                <w:color w:val="auto"/>
              </w:rPr>
              <w:t>Executive Compensation – Guiding Principles</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520" w:type="dxa"/>
            <w:vAlign w:val="bottom"/>
            <w:vMerge w:val="restart"/>
          </w:tcPr>
          <w:p>
            <w:pPr>
              <w:ind w:left="120"/>
              <w:spacing w:after="0" w:line="208" w:lineRule="exact"/>
              <w:rPr>
                <w:sz w:val="20"/>
                <w:szCs w:val="20"/>
                <w:color w:val="auto"/>
              </w:rPr>
            </w:pPr>
            <w:r>
              <w:rPr>
                <w:rFonts w:ascii="Arial" w:cs="Arial" w:eastAsia="Arial" w:hAnsi="Arial"/>
                <w:sz w:val="19"/>
                <w:szCs w:val="19"/>
                <w:color w:val="auto"/>
              </w:rPr>
              <w:t>achievement of our short-</w:t>
            </w:r>
          </w:p>
        </w:tc>
        <w:tc>
          <w:tcPr>
            <w:tcW w:w="260" w:type="dxa"/>
            <w:vAlign w:val="bottom"/>
          </w:tcPr>
          <w:p>
            <w:pPr>
              <w:spacing w:after="0"/>
              <w:rPr>
                <w:sz w:val="14"/>
                <w:szCs w:val="14"/>
                <w:color w:val="auto"/>
              </w:rPr>
            </w:pPr>
          </w:p>
        </w:tc>
        <w:tc>
          <w:tcPr>
            <w:tcW w:w="6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20" w:type="dxa"/>
            <w:vAlign w:val="bottom"/>
          </w:tcPr>
          <w:p>
            <w:pPr>
              <w:spacing w:after="0"/>
              <w:rPr>
                <w:sz w:val="3"/>
                <w:szCs w:val="3"/>
                <w:color w:val="auto"/>
              </w:rPr>
            </w:pPr>
          </w:p>
        </w:tc>
        <w:tc>
          <w:tcPr>
            <w:tcW w:w="25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2520" w:type="dxa"/>
            <w:vAlign w:val="bottom"/>
          </w:tcPr>
          <w:p>
            <w:pPr>
              <w:ind w:left="120"/>
              <w:spacing w:after="0" w:line="208" w:lineRule="exact"/>
              <w:rPr>
                <w:sz w:val="20"/>
                <w:szCs w:val="20"/>
                <w:color w:val="auto"/>
              </w:rPr>
            </w:pPr>
            <w:r>
              <w:rPr>
                <w:rFonts w:ascii="Arial" w:cs="Arial" w:eastAsia="Arial" w:hAnsi="Arial"/>
                <w:sz w:val="19"/>
                <w:szCs w:val="19"/>
                <w:color w:val="auto"/>
              </w:rPr>
              <w:t>term and long-term</w:t>
            </w:r>
          </w:p>
        </w:tc>
        <w:tc>
          <w:tcPr>
            <w:tcW w:w="260" w:type="dxa"/>
            <w:vAlign w:val="bottom"/>
          </w:tcPr>
          <w:p>
            <w:pPr>
              <w:spacing w:after="0"/>
              <w:rPr>
                <w:sz w:val="18"/>
                <w:szCs w:val="18"/>
                <w:color w:val="auto"/>
              </w:rPr>
            </w:pPr>
          </w:p>
        </w:tc>
        <w:tc>
          <w:tcPr>
            <w:tcW w:w="6580" w:type="dxa"/>
            <w:vAlign w:val="bottom"/>
            <w:vMerge w:val="restart"/>
          </w:tcPr>
          <w:p>
            <w:pPr>
              <w:ind w:left="140"/>
              <w:spacing w:after="0"/>
              <w:rPr>
                <w:sz w:val="20"/>
                <w:szCs w:val="20"/>
                <w:color w:val="auto"/>
              </w:rPr>
            </w:pPr>
            <w:r>
              <w:rPr>
                <w:rFonts w:ascii="Arial" w:cs="Arial" w:eastAsia="Arial" w:hAnsi="Arial"/>
                <w:sz w:val="19"/>
                <w:szCs w:val="19"/>
                <w:color w:val="auto"/>
              </w:rPr>
              <w:t> Annual compensation (currently defined as base salary, cash incentive and</w:t>
            </w: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2520" w:type="dxa"/>
            <w:vAlign w:val="bottom"/>
          </w:tcPr>
          <w:p>
            <w:pPr>
              <w:ind w:left="120"/>
              <w:spacing w:after="0" w:line="208" w:lineRule="exact"/>
              <w:rPr>
                <w:sz w:val="20"/>
                <w:szCs w:val="20"/>
                <w:color w:val="auto"/>
              </w:rPr>
            </w:pPr>
            <w:r>
              <w:rPr>
                <w:rFonts w:ascii="Arial" w:cs="Arial" w:eastAsia="Arial" w:hAnsi="Arial"/>
                <w:sz w:val="19"/>
                <w:szCs w:val="19"/>
                <w:color w:val="auto"/>
              </w:rPr>
              <w:t>strategic and business</w:t>
            </w:r>
          </w:p>
        </w:tc>
        <w:tc>
          <w:tcPr>
            <w:tcW w:w="260" w:type="dxa"/>
            <w:vAlign w:val="bottom"/>
          </w:tcPr>
          <w:p>
            <w:pPr>
              <w:spacing w:after="0"/>
              <w:rPr>
                <w:sz w:val="18"/>
                <w:szCs w:val="18"/>
                <w:color w:val="auto"/>
              </w:rPr>
            </w:pPr>
          </w:p>
        </w:tc>
        <w:tc>
          <w:tcPr>
            <w:tcW w:w="6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2520" w:type="dxa"/>
            <w:vAlign w:val="bottom"/>
          </w:tcPr>
          <w:p>
            <w:pPr>
              <w:ind w:left="120"/>
              <w:spacing w:after="0"/>
              <w:rPr>
                <w:sz w:val="20"/>
                <w:szCs w:val="20"/>
                <w:color w:val="auto"/>
              </w:rPr>
            </w:pPr>
            <w:r>
              <w:rPr>
                <w:rFonts w:ascii="Arial" w:cs="Arial" w:eastAsia="Arial" w:hAnsi="Arial"/>
                <w:sz w:val="19"/>
                <w:szCs w:val="19"/>
                <w:color w:val="auto"/>
              </w:rPr>
              <w:t>objectives;</w:t>
            </w:r>
          </w:p>
        </w:tc>
        <w:tc>
          <w:tcPr>
            <w:tcW w:w="260" w:type="dxa"/>
            <w:vAlign w:val="bottom"/>
          </w:tcPr>
          <w:p>
            <w:pPr>
              <w:spacing w:after="0"/>
              <w:rPr>
                <w:sz w:val="20"/>
                <w:szCs w:val="20"/>
                <w:color w:val="auto"/>
              </w:rPr>
            </w:pPr>
          </w:p>
        </w:tc>
        <w:tc>
          <w:tcPr>
            <w:tcW w:w="6580" w:type="dxa"/>
            <w:vAlign w:val="bottom"/>
          </w:tcPr>
          <w:p>
            <w:pPr>
              <w:ind w:left="400"/>
              <w:spacing w:after="0"/>
              <w:rPr>
                <w:sz w:val="20"/>
                <w:szCs w:val="20"/>
                <w:color w:val="auto"/>
              </w:rPr>
            </w:pPr>
            <w:r>
              <w:rPr>
                <w:rFonts w:ascii="Arial" w:cs="Arial" w:eastAsia="Arial" w:hAnsi="Arial"/>
                <w:sz w:val="19"/>
                <w:szCs w:val="19"/>
                <w:color w:val="auto"/>
              </w:rPr>
              <w:t>equity compensation for the Company’s employees, including the</w:t>
            </w:r>
          </w:p>
        </w:tc>
        <w:tc>
          <w:tcPr>
            <w:tcW w:w="0" w:type="dxa"/>
            <w:vAlign w:val="bottom"/>
          </w:tcPr>
          <w:p>
            <w:pPr>
              <w:spacing w:after="0"/>
              <w:rPr>
                <w:sz w:val="1"/>
                <w:szCs w:val="1"/>
                <w:color w:val="auto"/>
              </w:rPr>
            </w:pPr>
          </w:p>
        </w:tc>
      </w:tr>
      <w:tr>
        <w:trPr>
          <w:trHeight w:val="208"/>
        </w:trPr>
        <w:tc>
          <w:tcPr>
            <w:tcW w:w="220" w:type="dxa"/>
            <w:vAlign w:val="bottom"/>
            <w:vMerge w:val="restart"/>
          </w:tcPr>
          <w:p>
            <w:pPr>
              <w:spacing w:after="0"/>
              <w:rPr>
                <w:sz w:val="18"/>
                <w:szCs w:val="18"/>
                <w:color w:val="auto"/>
              </w:rPr>
            </w:pPr>
          </w:p>
        </w:tc>
        <w:tc>
          <w:tcPr>
            <w:tcW w:w="2520" w:type="dxa"/>
            <w:vAlign w:val="bottom"/>
            <w:vMerge w:val="restart"/>
          </w:tcPr>
          <w:p>
            <w:pPr>
              <w:ind w:left="120"/>
              <w:spacing w:after="0"/>
              <w:rPr>
                <w:sz w:val="20"/>
                <w:szCs w:val="20"/>
                <w:color w:val="auto"/>
              </w:rPr>
            </w:pPr>
            <w:r>
              <w:rPr>
                <w:rFonts w:ascii="Arial" w:cs="Arial" w:eastAsia="Arial" w:hAnsi="Arial"/>
                <w:sz w:val="19"/>
                <w:szCs w:val="19"/>
                <w:color w:val="auto"/>
              </w:rPr>
              <w:t>provides appropriate</w:t>
            </w:r>
          </w:p>
        </w:tc>
        <w:tc>
          <w:tcPr>
            <w:tcW w:w="260" w:type="dxa"/>
            <w:vAlign w:val="bottom"/>
          </w:tcPr>
          <w:p>
            <w:pPr>
              <w:spacing w:after="0"/>
              <w:rPr>
                <w:sz w:val="18"/>
                <w:szCs w:val="18"/>
                <w:color w:val="auto"/>
              </w:rPr>
            </w:pPr>
          </w:p>
        </w:tc>
        <w:tc>
          <w:tcPr>
            <w:tcW w:w="6580" w:type="dxa"/>
            <w:vAlign w:val="bottom"/>
          </w:tcPr>
          <w:p>
            <w:pPr>
              <w:ind w:left="400"/>
              <w:spacing w:after="0" w:line="208" w:lineRule="exact"/>
              <w:rPr>
                <w:sz w:val="20"/>
                <w:szCs w:val="20"/>
                <w:color w:val="auto"/>
              </w:rPr>
            </w:pPr>
            <w:r>
              <w:rPr>
                <w:rFonts w:ascii="Arial" w:cs="Arial" w:eastAsia="Arial" w:hAnsi="Arial"/>
                <w:sz w:val="19"/>
                <w:szCs w:val="19"/>
                <w:color w:val="auto"/>
              </w:rPr>
              <w:t>Executive Officers) should generally target the national market median,</w:t>
            </w:r>
          </w:p>
        </w:tc>
        <w:tc>
          <w:tcPr>
            <w:tcW w:w="0" w:type="dxa"/>
            <w:vAlign w:val="bottom"/>
          </w:tcPr>
          <w:p>
            <w:pPr>
              <w:spacing w:after="0"/>
              <w:rPr>
                <w:sz w:val="1"/>
                <w:szCs w:val="1"/>
                <w:color w:val="auto"/>
              </w:rPr>
            </w:pPr>
          </w:p>
        </w:tc>
      </w:tr>
      <w:tr>
        <w:trPr>
          <w:trHeight w:val="190"/>
        </w:trPr>
        <w:tc>
          <w:tcPr>
            <w:tcW w:w="220" w:type="dxa"/>
            <w:vAlign w:val="bottom"/>
            <w:vMerge w:val="continue"/>
          </w:tcPr>
          <w:p>
            <w:pPr>
              <w:spacing w:after="0"/>
              <w:rPr>
                <w:sz w:val="16"/>
                <w:szCs w:val="16"/>
                <w:color w:val="auto"/>
              </w:rPr>
            </w:pPr>
          </w:p>
        </w:tc>
        <w:tc>
          <w:tcPr>
            <w:tcW w:w="25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580" w:type="dxa"/>
            <w:vAlign w:val="bottom"/>
          </w:tcPr>
          <w:p>
            <w:pPr>
              <w:ind w:left="400"/>
              <w:spacing w:after="0" w:line="191" w:lineRule="exact"/>
              <w:rPr>
                <w:sz w:val="20"/>
                <w:szCs w:val="20"/>
                <w:color w:val="auto"/>
              </w:rPr>
            </w:pPr>
            <w:r>
              <w:rPr>
                <w:rFonts w:ascii="Arial" w:cs="Arial" w:eastAsia="Arial" w:hAnsi="Arial"/>
                <w:sz w:val="19"/>
                <w:szCs w:val="19"/>
                <w:color w:val="auto"/>
              </w:rPr>
              <w:t>which is defined as the middle, or the 50th percentile, of the</w:t>
            </w:r>
          </w:p>
        </w:tc>
        <w:tc>
          <w:tcPr>
            <w:tcW w:w="0" w:type="dxa"/>
            <w:vAlign w:val="bottom"/>
          </w:tcPr>
          <w:p>
            <w:pPr>
              <w:spacing w:after="0"/>
              <w:rPr>
                <w:sz w:val="1"/>
                <w:szCs w:val="1"/>
                <w:color w:val="auto"/>
              </w:rPr>
            </w:pPr>
          </w:p>
        </w:tc>
      </w:tr>
      <w:tr>
        <w:trPr>
          <w:trHeight w:val="147"/>
        </w:trPr>
        <w:tc>
          <w:tcPr>
            <w:tcW w:w="220" w:type="dxa"/>
            <w:vAlign w:val="bottom"/>
          </w:tcPr>
          <w:p>
            <w:pPr>
              <w:spacing w:after="0"/>
              <w:rPr>
                <w:sz w:val="12"/>
                <w:szCs w:val="12"/>
                <w:color w:val="auto"/>
              </w:rPr>
            </w:pPr>
          </w:p>
        </w:tc>
        <w:tc>
          <w:tcPr>
            <w:tcW w:w="2520" w:type="dxa"/>
            <w:vAlign w:val="bottom"/>
          </w:tcPr>
          <w:p>
            <w:pPr>
              <w:ind w:left="120"/>
              <w:spacing w:after="0" w:line="148" w:lineRule="exact"/>
              <w:rPr>
                <w:sz w:val="20"/>
                <w:szCs w:val="20"/>
                <w:color w:val="auto"/>
              </w:rPr>
            </w:pPr>
            <w:r>
              <w:rPr>
                <w:rFonts w:ascii="Arial" w:cs="Arial" w:eastAsia="Arial" w:hAnsi="Arial"/>
                <w:sz w:val="17"/>
                <w:szCs w:val="17"/>
                <w:color w:val="auto"/>
              </w:rPr>
              <w:t>rewards for the fulfillment of</w:t>
            </w:r>
          </w:p>
        </w:tc>
        <w:tc>
          <w:tcPr>
            <w:tcW w:w="260" w:type="dxa"/>
            <w:vAlign w:val="bottom"/>
          </w:tcPr>
          <w:p>
            <w:pPr>
              <w:spacing w:after="0"/>
              <w:rPr>
                <w:sz w:val="12"/>
                <w:szCs w:val="12"/>
                <w:color w:val="auto"/>
              </w:rPr>
            </w:pPr>
          </w:p>
        </w:tc>
        <w:tc>
          <w:tcPr>
            <w:tcW w:w="6580" w:type="dxa"/>
            <w:vAlign w:val="bottom"/>
            <w:vMerge w:val="restart"/>
          </w:tcPr>
          <w:p>
            <w:pPr>
              <w:ind w:left="400"/>
              <w:spacing w:after="0"/>
              <w:rPr>
                <w:sz w:val="20"/>
                <w:szCs w:val="20"/>
                <w:color w:val="auto"/>
              </w:rPr>
            </w:pPr>
            <w:r>
              <w:rPr>
                <w:rFonts w:ascii="Arial" w:cs="Arial" w:eastAsia="Arial" w:hAnsi="Arial"/>
                <w:sz w:val="19"/>
                <w:szCs w:val="19"/>
                <w:color w:val="auto"/>
              </w:rPr>
              <w:t>compensation marketplace.</w:t>
            </w:r>
          </w:p>
        </w:tc>
        <w:tc>
          <w:tcPr>
            <w:tcW w:w="0" w:type="dxa"/>
            <w:vAlign w:val="bottom"/>
          </w:tcPr>
          <w:p>
            <w:pPr>
              <w:spacing w:after="0"/>
              <w:rPr>
                <w:sz w:val="1"/>
                <w:szCs w:val="1"/>
                <w:color w:val="auto"/>
              </w:rPr>
            </w:pPr>
          </w:p>
        </w:tc>
      </w:tr>
      <w:tr>
        <w:trPr>
          <w:trHeight w:val="120"/>
        </w:trPr>
        <w:tc>
          <w:tcPr>
            <w:tcW w:w="220" w:type="dxa"/>
            <w:vAlign w:val="bottom"/>
          </w:tcPr>
          <w:p>
            <w:pPr>
              <w:spacing w:after="0"/>
              <w:rPr>
                <w:sz w:val="10"/>
                <w:szCs w:val="10"/>
                <w:color w:val="auto"/>
              </w:rPr>
            </w:pPr>
          </w:p>
        </w:tc>
        <w:tc>
          <w:tcPr>
            <w:tcW w:w="2520" w:type="dxa"/>
            <w:vAlign w:val="bottom"/>
            <w:vMerge w:val="restart"/>
          </w:tcPr>
          <w:p>
            <w:pPr>
              <w:ind w:left="120"/>
              <w:spacing w:after="0" w:line="208" w:lineRule="exact"/>
              <w:rPr>
                <w:sz w:val="20"/>
                <w:szCs w:val="20"/>
                <w:color w:val="auto"/>
              </w:rPr>
            </w:pPr>
            <w:r>
              <w:rPr>
                <w:rFonts w:ascii="Arial" w:cs="Arial" w:eastAsia="Arial" w:hAnsi="Arial"/>
                <w:sz w:val="19"/>
                <w:szCs w:val="19"/>
                <w:color w:val="auto"/>
              </w:rPr>
              <w:t>strong operational and</w:t>
            </w:r>
          </w:p>
        </w:tc>
        <w:tc>
          <w:tcPr>
            <w:tcW w:w="260" w:type="dxa"/>
            <w:vAlign w:val="bottom"/>
          </w:tcPr>
          <w:p>
            <w:pPr>
              <w:spacing w:after="0"/>
              <w:rPr>
                <w:sz w:val="10"/>
                <w:szCs w:val="10"/>
                <w:color w:val="auto"/>
              </w:rPr>
            </w:pPr>
          </w:p>
        </w:tc>
        <w:tc>
          <w:tcPr>
            <w:tcW w:w="6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2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580" w:type="dxa"/>
            <w:vAlign w:val="bottom"/>
            <w:vMerge w:val="restart"/>
          </w:tcPr>
          <w:p>
            <w:pPr>
              <w:ind w:left="140"/>
              <w:spacing w:after="0"/>
              <w:rPr>
                <w:sz w:val="20"/>
                <w:szCs w:val="20"/>
                <w:color w:val="auto"/>
              </w:rPr>
            </w:pPr>
            <w:r>
              <w:rPr>
                <w:rFonts w:ascii="Arial" w:cs="Arial" w:eastAsia="Arial" w:hAnsi="Arial"/>
                <w:sz w:val="19"/>
                <w:szCs w:val="19"/>
                <w:color w:val="auto"/>
              </w:rPr>
              <w:t> The compensation methodology for determining base pay increases</w:t>
            </w:r>
          </w:p>
        </w:tc>
        <w:tc>
          <w:tcPr>
            <w:tcW w:w="0" w:type="dxa"/>
            <w:vAlign w:val="bottom"/>
          </w:tcPr>
          <w:p>
            <w:pPr>
              <w:spacing w:after="0"/>
              <w:rPr>
                <w:sz w:val="1"/>
                <w:szCs w:val="1"/>
                <w:color w:val="auto"/>
              </w:rPr>
            </w:pPr>
          </w:p>
        </w:tc>
      </w:tr>
      <w:tr>
        <w:trPr>
          <w:trHeight w:val="312"/>
        </w:trPr>
        <w:tc>
          <w:tcPr>
            <w:tcW w:w="220" w:type="dxa"/>
            <w:vAlign w:val="bottom"/>
          </w:tcPr>
          <w:p>
            <w:pPr>
              <w:spacing w:after="0"/>
              <w:rPr>
                <w:sz w:val="24"/>
                <w:szCs w:val="24"/>
                <w:color w:val="auto"/>
              </w:rPr>
            </w:pPr>
          </w:p>
        </w:tc>
        <w:tc>
          <w:tcPr>
            <w:tcW w:w="2520" w:type="dxa"/>
            <w:vAlign w:val="bottom"/>
          </w:tcPr>
          <w:p>
            <w:pPr>
              <w:ind w:left="120"/>
              <w:spacing w:after="0"/>
              <w:rPr>
                <w:sz w:val="20"/>
                <w:szCs w:val="20"/>
                <w:color w:val="auto"/>
              </w:rPr>
            </w:pPr>
            <w:r>
              <w:rPr>
                <w:rFonts w:ascii="Arial" w:cs="Arial" w:eastAsia="Arial" w:hAnsi="Arial"/>
                <w:sz w:val="19"/>
                <w:szCs w:val="19"/>
                <w:color w:val="auto"/>
              </w:rPr>
              <w:t>financial performance; and</w:t>
            </w:r>
          </w:p>
        </w:tc>
        <w:tc>
          <w:tcPr>
            <w:tcW w:w="260" w:type="dxa"/>
            <w:vAlign w:val="bottom"/>
          </w:tcPr>
          <w:p>
            <w:pPr>
              <w:spacing w:after="0"/>
              <w:rPr>
                <w:sz w:val="24"/>
                <w:szCs w:val="24"/>
                <w:color w:val="auto"/>
              </w:rPr>
            </w:pPr>
          </w:p>
        </w:tc>
        <w:tc>
          <w:tcPr>
            <w:tcW w:w="6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2520" w:type="dxa"/>
            <w:vAlign w:val="bottom"/>
          </w:tcPr>
          <w:p>
            <w:pPr>
              <w:ind w:left="120"/>
              <w:spacing w:after="0"/>
              <w:rPr>
                <w:sz w:val="20"/>
                <w:szCs w:val="20"/>
                <w:color w:val="auto"/>
              </w:rPr>
            </w:pPr>
            <w:r>
              <w:rPr>
                <w:rFonts w:ascii="Arial" w:cs="Arial" w:eastAsia="Arial" w:hAnsi="Arial"/>
                <w:sz w:val="19"/>
                <w:szCs w:val="19"/>
                <w:color w:val="auto"/>
              </w:rPr>
              <w:t>provides appropriate</w:t>
            </w:r>
          </w:p>
        </w:tc>
        <w:tc>
          <w:tcPr>
            <w:tcW w:w="260" w:type="dxa"/>
            <w:vAlign w:val="bottom"/>
          </w:tcPr>
          <w:p>
            <w:pPr>
              <w:spacing w:after="0"/>
              <w:rPr>
                <w:sz w:val="21"/>
                <w:szCs w:val="21"/>
                <w:color w:val="auto"/>
              </w:rPr>
            </w:pPr>
          </w:p>
        </w:tc>
        <w:tc>
          <w:tcPr>
            <w:tcW w:w="6580" w:type="dxa"/>
            <w:vAlign w:val="bottom"/>
          </w:tcPr>
          <w:p>
            <w:pPr>
              <w:ind w:left="400"/>
              <w:spacing w:after="0"/>
              <w:rPr>
                <w:sz w:val="20"/>
                <w:szCs w:val="20"/>
                <w:color w:val="auto"/>
              </w:rPr>
            </w:pPr>
            <w:r>
              <w:rPr>
                <w:rFonts w:ascii="Arial" w:cs="Arial" w:eastAsia="Arial" w:hAnsi="Arial"/>
                <w:sz w:val="19"/>
                <w:szCs w:val="19"/>
                <w:color w:val="auto"/>
              </w:rPr>
              <w:t>should be the same for all executive positions including the CEO and</w:t>
            </w: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2520" w:type="dxa"/>
            <w:vAlign w:val="bottom"/>
          </w:tcPr>
          <w:p>
            <w:pPr>
              <w:ind w:left="120"/>
              <w:spacing w:after="0"/>
              <w:rPr>
                <w:sz w:val="20"/>
                <w:szCs w:val="20"/>
                <w:color w:val="auto"/>
              </w:rPr>
            </w:pPr>
            <w:r>
              <w:rPr>
                <w:rFonts w:ascii="Arial" w:cs="Arial" w:eastAsia="Arial" w:hAnsi="Arial"/>
                <w:sz w:val="19"/>
                <w:szCs w:val="19"/>
                <w:color w:val="auto"/>
              </w:rPr>
              <w:t>rewards for the practice of</w:t>
            </w:r>
          </w:p>
        </w:tc>
        <w:tc>
          <w:tcPr>
            <w:tcW w:w="260" w:type="dxa"/>
            <w:vAlign w:val="bottom"/>
          </w:tcPr>
          <w:p>
            <w:pPr>
              <w:spacing w:after="0"/>
              <w:rPr>
                <w:sz w:val="19"/>
                <w:szCs w:val="19"/>
                <w:color w:val="auto"/>
              </w:rPr>
            </w:pPr>
          </w:p>
        </w:tc>
        <w:tc>
          <w:tcPr>
            <w:tcW w:w="6580" w:type="dxa"/>
            <w:vAlign w:val="bottom"/>
          </w:tcPr>
          <w:p>
            <w:pPr>
              <w:ind w:left="400"/>
              <w:spacing w:after="0"/>
              <w:rPr>
                <w:sz w:val="20"/>
                <w:szCs w:val="20"/>
                <w:color w:val="auto"/>
              </w:rPr>
            </w:pPr>
            <w:r>
              <w:rPr>
                <w:rFonts w:ascii="Arial" w:cs="Arial" w:eastAsia="Arial" w:hAnsi="Arial"/>
                <w:sz w:val="19"/>
                <w:szCs w:val="19"/>
                <w:color w:val="auto"/>
              </w:rPr>
              <w:t>other Named Executive Officers.</w:t>
            </w: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2520" w:type="dxa"/>
            <w:vAlign w:val="bottom"/>
          </w:tcPr>
          <w:p>
            <w:pPr>
              <w:ind w:left="120"/>
              <w:spacing w:after="0" w:line="208" w:lineRule="exact"/>
              <w:rPr>
                <w:sz w:val="20"/>
                <w:szCs w:val="20"/>
                <w:color w:val="auto"/>
              </w:rPr>
            </w:pPr>
            <w:r>
              <w:rPr>
                <w:rFonts w:ascii="Arial" w:cs="Arial" w:eastAsia="Arial" w:hAnsi="Arial"/>
                <w:sz w:val="19"/>
                <w:szCs w:val="19"/>
                <w:color w:val="auto"/>
              </w:rPr>
              <w:t>our core values and</w:t>
            </w:r>
          </w:p>
        </w:tc>
        <w:tc>
          <w:tcPr>
            <w:tcW w:w="260" w:type="dxa"/>
            <w:vAlign w:val="bottom"/>
          </w:tcPr>
          <w:p>
            <w:pPr>
              <w:spacing w:after="0"/>
              <w:rPr>
                <w:sz w:val="18"/>
                <w:szCs w:val="18"/>
                <w:color w:val="auto"/>
              </w:rPr>
            </w:pPr>
          </w:p>
        </w:tc>
        <w:tc>
          <w:tcPr>
            <w:tcW w:w="6580" w:type="dxa"/>
            <w:vAlign w:val="bottom"/>
            <w:vMerge w:val="restart"/>
          </w:tcPr>
          <w:p>
            <w:pPr>
              <w:ind w:left="140"/>
              <w:spacing w:after="0"/>
              <w:rPr>
                <w:sz w:val="20"/>
                <w:szCs w:val="20"/>
                <w:color w:val="auto"/>
              </w:rPr>
            </w:pPr>
            <w:r>
              <w:rPr>
                <w:rFonts w:ascii="Arial" w:cs="Arial" w:eastAsia="Arial" w:hAnsi="Arial"/>
                <w:sz w:val="19"/>
                <w:szCs w:val="19"/>
                <w:color w:val="auto"/>
              </w:rPr>
              <w:t> The compensation methodology should include a consistent formula for</w:t>
            </w: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2520" w:type="dxa"/>
            <w:vAlign w:val="bottom"/>
          </w:tcPr>
          <w:p>
            <w:pPr>
              <w:ind w:left="120"/>
              <w:spacing w:after="0" w:line="191" w:lineRule="exact"/>
              <w:rPr>
                <w:sz w:val="20"/>
                <w:szCs w:val="20"/>
                <w:color w:val="auto"/>
              </w:rPr>
            </w:pPr>
            <w:r>
              <w:rPr>
                <w:rFonts w:ascii="Arial" w:cs="Arial" w:eastAsia="Arial" w:hAnsi="Arial"/>
                <w:sz w:val="19"/>
                <w:szCs w:val="19"/>
                <w:color w:val="auto"/>
              </w:rPr>
              <w:t>principles, which creates</w:t>
            </w:r>
          </w:p>
        </w:tc>
        <w:tc>
          <w:tcPr>
            <w:tcW w:w="260" w:type="dxa"/>
            <w:vAlign w:val="bottom"/>
          </w:tcPr>
          <w:p>
            <w:pPr>
              <w:spacing w:after="0"/>
              <w:rPr>
                <w:sz w:val="16"/>
                <w:szCs w:val="16"/>
                <w:color w:val="auto"/>
              </w:rPr>
            </w:pPr>
          </w:p>
        </w:tc>
        <w:tc>
          <w:tcPr>
            <w:tcW w:w="6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2520" w:type="dxa"/>
            <w:vAlign w:val="bottom"/>
          </w:tcPr>
          <w:p>
            <w:pPr>
              <w:ind w:left="120"/>
              <w:spacing w:after="0" w:line="208" w:lineRule="exact"/>
              <w:rPr>
                <w:sz w:val="20"/>
                <w:szCs w:val="20"/>
                <w:color w:val="auto"/>
              </w:rPr>
            </w:pPr>
            <w:r>
              <w:rPr>
                <w:rFonts w:ascii="Arial" w:cs="Arial" w:eastAsia="Arial" w:hAnsi="Arial"/>
                <w:sz w:val="19"/>
                <w:szCs w:val="19"/>
                <w:color w:val="auto"/>
              </w:rPr>
              <w:t>lasting value for our</w:t>
            </w:r>
          </w:p>
        </w:tc>
        <w:tc>
          <w:tcPr>
            <w:tcW w:w="260" w:type="dxa"/>
            <w:vAlign w:val="bottom"/>
          </w:tcPr>
          <w:p>
            <w:pPr>
              <w:spacing w:after="0"/>
              <w:rPr>
                <w:sz w:val="18"/>
                <w:szCs w:val="18"/>
                <w:color w:val="auto"/>
              </w:rPr>
            </w:pPr>
          </w:p>
        </w:tc>
        <w:tc>
          <w:tcPr>
            <w:tcW w:w="6580" w:type="dxa"/>
            <w:vAlign w:val="bottom"/>
          </w:tcPr>
          <w:p>
            <w:pPr>
              <w:ind w:left="400"/>
              <w:spacing w:after="0" w:line="208" w:lineRule="exact"/>
              <w:rPr>
                <w:sz w:val="20"/>
                <w:szCs w:val="20"/>
                <w:color w:val="auto"/>
              </w:rPr>
            </w:pPr>
            <w:r>
              <w:rPr>
                <w:rFonts w:ascii="Arial" w:cs="Arial" w:eastAsia="Arial" w:hAnsi="Arial"/>
                <w:sz w:val="19"/>
                <w:szCs w:val="19"/>
                <w:color w:val="auto"/>
              </w:rPr>
              <w:t>determining each component of annual compensation based on both</w:t>
            </w: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2520" w:type="dxa"/>
            <w:vAlign w:val="bottom"/>
          </w:tcPr>
          <w:p>
            <w:pPr>
              <w:ind w:left="120"/>
              <w:spacing w:after="0" w:line="208" w:lineRule="exact"/>
              <w:rPr>
                <w:sz w:val="20"/>
                <w:szCs w:val="20"/>
                <w:color w:val="auto"/>
              </w:rPr>
            </w:pPr>
            <w:r>
              <w:rPr>
                <w:rFonts w:ascii="Arial" w:cs="Arial" w:eastAsia="Arial" w:hAnsi="Arial"/>
                <w:sz w:val="19"/>
                <w:szCs w:val="19"/>
                <w:color w:val="auto"/>
              </w:rPr>
              <w:t>shareholders and other</w:t>
            </w:r>
          </w:p>
        </w:tc>
        <w:tc>
          <w:tcPr>
            <w:tcW w:w="260" w:type="dxa"/>
            <w:vAlign w:val="bottom"/>
          </w:tcPr>
          <w:p>
            <w:pPr>
              <w:spacing w:after="0"/>
              <w:rPr>
                <w:sz w:val="18"/>
                <w:szCs w:val="18"/>
                <w:color w:val="auto"/>
              </w:rPr>
            </w:pPr>
          </w:p>
        </w:tc>
        <w:tc>
          <w:tcPr>
            <w:tcW w:w="6580" w:type="dxa"/>
            <w:vAlign w:val="bottom"/>
          </w:tcPr>
          <w:p>
            <w:pPr>
              <w:ind w:left="400"/>
              <w:spacing w:after="0" w:line="208" w:lineRule="exact"/>
              <w:rPr>
                <w:sz w:val="20"/>
                <w:szCs w:val="20"/>
                <w:color w:val="auto"/>
              </w:rPr>
            </w:pPr>
            <w:r>
              <w:rPr>
                <w:rFonts w:ascii="Arial" w:cs="Arial" w:eastAsia="Arial" w:hAnsi="Arial"/>
                <w:sz w:val="19"/>
                <w:szCs w:val="19"/>
                <w:color w:val="auto"/>
              </w:rPr>
              <w:t>objective and verifiable market data and on attainment of selected</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2520" w:type="dxa"/>
            <w:vAlign w:val="bottom"/>
          </w:tcPr>
          <w:p>
            <w:pPr>
              <w:ind w:left="120"/>
              <w:spacing w:after="0" w:line="217" w:lineRule="exact"/>
              <w:rPr>
                <w:sz w:val="20"/>
                <w:szCs w:val="20"/>
                <w:color w:val="auto"/>
              </w:rPr>
            </w:pPr>
            <w:r>
              <w:rPr>
                <w:rFonts w:ascii="Arial" w:cs="Arial" w:eastAsia="Arial" w:hAnsi="Arial"/>
                <w:sz w:val="19"/>
                <w:szCs w:val="19"/>
                <w:color w:val="auto"/>
              </w:rPr>
              <w:t>stakeholders.</w:t>
            </w:r>
          </w:p>
        </w:tc>
        <w:tc>
          <w:tcPr>
            <w:tcW w:w="260" w:type="dxa"/>
            <w:vAlign w:val="bottom"/>
          </w:tcPr>
          <w:p>
            <w:pPr>
              <w:spacing w:after="0"/>
              <w:rPr>
                <w:sz w:val="18"/>
                <w:szCs w:val="18"/>
                <w:color w:val="auto"/>
              </w:rPr>
            </w:pPr>
          </w:p>
        </w:tc>
        <w:tc>
          <w:tcPr>
            <w:tcW w:w="6580" w:type="dxa"/>
            <w:vAlign w:val="bottom"/>
          </w:tcPr>
          <w:p>
            <w:pPr>
              <w:ind w:left="400"/>
              <w:spacing w:after="0" w:line="217" w:lineRule="exact"/>
              <w:rPr>
                <w:sz w:val="20"/>
                <w:szCs w:val="20"/>
                <w:color w:val="auto"/>
              </w:rPr>
            </w:pPr>
            <w:r>
              <w:rPr>
                <w:rFonts w:ascii="Arial" w:cs="Arial" w:eastAsia="Arial" w:hAnsi="Arial"/>
                <w:sz w:val="19"/>
                <w:szCs w:val="19"/>
                <w:color w:val="auto"/>
              </w:rPr>
              <w:t>performance measures from the Company’s approved strategic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2444750</wp:posOffset>
            </wp:positionH>
            <wp:positionV relativeFrom="paragraph">
              <wp:posOffset>-2315845</wp:posOffset>
            </wp:positionV>
            <wp:extent cx="4298950" cy="31026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98950" cy="3102610"/>
                    </a:xfrm>
                    <a:prstGeom prst="rect">
                      <a:avLst/>
                    </a:prstGeom>
                    <a:noFill/>
                  </pic:spPr>
                </pic:pic>
              </a:graphicData>
            </a:graphic>
          </wp:anchor>
        </w:drawing>
      </w:r>
    </w:p>
    <w:p>
      <w:pPr>
        <w:ind w:left="4320" w:right="380"/>
        <w:spacing w:after="0" w:line="243" w:lineRule="auto"/>
        <w:rPr>
          <w:sz w:val="20"/>
          <w:szCs w:val="20"/>
          <w:color w:val="auto"/>
        </w:rPr>
      </w:pPr>
      <w:r>
        <w:rPr>
          <w:rFonts w:ascii="Arial" w:cs="Arial" w:eastAsia="Arial" w:hAnsi="Arial"/>
          <w:sz w:val="19"/>
          <w:szCs w:val="19"/>
          <w:color w:val="auto"/>
        </w:rPr>
        <w:t>(the “Strategic Plan”) or other approved relevant financial performance measures.</w:t>
      </w:r>
    </w:p>
    <w:p>
      <w:pPr>
        <w:spacing w:after="0" w:line="98" w:lineRule="exact"/>
        <w:rPr>
          <w:sz w:val="20"/>
          <w:szCs w:val="20"/>
          <w:color w:val="auto"/>
        </w:rPr>
      </w:pPr>
    </w:p>
    <w:p>
      <w:pPr>
        <w:ind w:left="4320" w:right="220" w:hanging="154"/>
        <w:spacing w:after="0" w:line="349" w:lineRule="auto"/>
        <w:rPr>
          <w:sz w:val="20"/>
          <w:szCs w:val="20"/>
          <w:color w:val="auto"/>
        </w:rPr>
      </w:pPr>
      <w:r>
        <w:rPr>
          <w:rFonts w:ascii="Arial" w:cs="Arial" w:eastAsia="Arial" w:hAnsi="Arial"/>
          <w:sz w:val="19"/>
          <w:szCs w:val="19"/>
          <w:color w:val="auto"/>
        </w:rPr>
        <w:t> The compensation program(s) for all employees should ensure pay equity for similar jobs across the organization.</w:t>
      </w:r>
    </w:p>
    <w:p>
      <w:pPr>
        <w:spacing w:after="0" w:line="179" w:lineRule="exact"/>
        <w:rPr>
          <w:sz w:val="20"/>
          <w:szCs w:val="20"/>
          <w:color w:val="auto"/>
        </w:rPr>
      </w:pPr>
    </w:p>
    <w:p>
      <w:pPr>
        <w:ind w:left="640" w:right="100"/>
        <w:spacing w:after="0" w:line="255" w:lineRule="auto"/>
        <w:rPr>
          <w:sz w:val="20"/>
          <w:szCs w:val="20"/>
          <w:color w:val="auto"/>
        </w:rPr>
      </w:pPr>
      <w:r>
        <w:rPr>
          <w:rFonts w:ascii="Arial" w:cs="Arial" w:eastAsia="Arial" w:hAnsi="Arial"/>
          <w:sz w:val="20"/>
          <w:szCs w:val="20"/>
          <w:color w:val="auto"/>
        </w:rPr>
        <w:t xml:space="preserve">The Compensation Committee uses a set of guiding principles in the design and implementation of the Company’s executive compensation program, which are outlined above. The primary goal of the guiding principles is to ensure consistency and fairness in all aspects of the Committee’s oversight of compensation policy. Additional information concerning the processes and operational procedures followed by the Committee can be found in the section entitled </w:t>
      </w:r>
      <w:r>
        <w:rPr>
          <w:rFonts w:ascii="Arial" w:cs="Arial" w:eastAsia="Arial" w:hAnsi="Arial"/>
          <w:sz w:val="20"/>
          <w:szCs w:val="20"/>
          <w:i w:val="1"/>
          <w:iCs w:val="1"/>
          <w:color w:val="auto"/>
        </w:rPr>
        <w:t>Compensation—Compensation Committee Operations</w:t>
      </w:r>
      <w:r>
        <w:rPr>
          <w:rFonts w:ascii="Arial" w:cs="Arial" w:eastAsia="Arial" w:hAnsi="Arial"/>
          <w:sz w:val="20"/>
          <w:szCs w:val="20"/>
          <w:color w:val="auto"/>
        </w:rPr>
        <w:t>.</w:t>
      </w: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Compensation Policy &amp;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right="20"/>
        <w:spacing w:after="0" w:line="249" w:lineRule="auto"/>
        <w:rPr>
          <w:sz w:val="20"/>
          <w:szCs w:val="20"/>
          <w:color w:val="auto"/>
        </w:rPr>
      </w:pPr>
      <w:r>
        <w:rPr>
          <w:rFonts w:ascii="Arial" w:cs="Arial" w:eastAsia="Arial" w:hAnsi="Arial"/>
          <w:sz w:val="20"/>
          <w:szCs w:val="20"/>
          <w:color w:val="auto"/>
        </w:rPr>
        <w:t xml:space="preserve">The principal objective of our executive compensation program is to attract, motivate, retain and reward highly qualified employees committed to the achievement of solid financial performance, outstanding service to customers, and excellence in the management of our assets. It is our belief that a strong sense of teamwork and shared responsibility are vital to achieving strong performance. Our incentive compensation reflects and supports this philosophy with an appropriate balance of financial and operational goals that apply to the entire management team. See the section entitled </w:t>
      </w:r>
      <w:r>
        <w:rPr>
          <w:rFonts w:ascii="Arial" w:cs="Arial" w:eastAsia="Arial" w:hAnsi="Arial"/>
          <w:sz w:val="20"/>
          <w:szCs w:val="20"/>
          <w:i w:val="1"/>
          <w:iCs w:val="1"/>
          <w:color w:val="auto"/>
        </w:rPr>
        <w:t>Compensation - Compensation Discussion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and Analysis </w:t>
      </w:r>
      <w:r>
        <w:rPr>
          <w:rFonts w:ascii="Arial" w:cs="Arial" w:eastAsia="Arial" w:hAnsi="Arial"/>
          <w:sz w:val="20"/>
          <w:szCs w:val="20"/>
          <w:color w:val="auto"/>
        </w:rPr>
        <w:t>-</w:t>
      </w:r>
      <w:r>
        <w:rPr>
          <w:rFonts w:ascii="Arial" w:cs="Arial" w:eastAsia="Arial" w:hAnsi="Arial"/>
          <w:sz w:val="20"/>
          <w:szCs w:val="20"/>
          <w:i w:val="1"/>
          <w:iCs w:val="1"/>
          <w:color w:val="auto"/>
        </w:rPr>
        <w:t xml:space="preserve"> Elements of Compensation </w:t>
      </w:r>
      <w:r>
        <w:rPr>
          <w:rFonts w:ascii="Arial" w:cs="Arial" w:eastAsia="Arial" w:hAnsi="Arial"/>
          <w:sz w:val="20"/>
          <w:szCs w:val="20"/>
          <w:color w:val="auto"/>
        </w:rPr>
        <w:t>for a discussion of the specific goals set, and results achieved, for</w:t>
      </w:r>
      <w:r>
        <w:rPr>
          <w:rFonts w:ascii="Arial" w:cs="Arial" w:eastAsia="Arial" w:hAnsi="Arial"/>
          <w:sz w:val="20"/>
          <w:szCs w:val="20"/>
          <w:i w:val="1"/>
          <w:iCs w:val="1"/>
          <w:color w:val="auto"/>
        </w:rPr>
        <w:t xml:space="preserve"> </w:t>
      </w:r>
      <w:r>
        <w:rPr>
          <w:rFonts w:ascii="Arial" w:cs="Arial" w:eastAsia="Arial" w:hAnsi="Arial"/>
          <w:sz w:val="20"/>
          <w:szCs w:val="20"/>
          <w:color w:val="auto"/>
        </w:rPr>
        <w:t>2025. We also believe that retention of talented and dedicated key executives will help ensure continued focus on the achievement of long-term growth in shareholder value and overall sustainability, which in turn will provide significant benefits to all of our stakeholders, including shareholders, customers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143510</wp:posOffset>
            </wp:positionV>
            <wp:extent cx="6337300" cy="825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620"/>
          </w:cols>
          <w:pgMar w:left="320" w:top="470" w:right="9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Compensation Policy – What We Do &amp; 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right="80"/>
        <w:spacing w:after="0" w:line="243" w:lineRule="auto"/>
        <w:rPr>
          <w:sz w:val="20"/>
          <w:szCs w:val="20"/>
          <w:color w:val="auto"/>
        </w:rPr>
      </w:pPr>
      <w:r>
        <w:rPr>
          <w:rFonts w:ascii="Arial" w:cs="Arial" w:eastAsia="Arial" w:hAnsi="Arial"/>
          <w:sz w:val="21"/>
          <w:szCs w:val="21"/>
          <w:color w:val="auto"/>
        </w:rPr>
        <w:t>The Compensation Committee continuously strives to make improvements to our executive compensation policies. Below is a summary of what we do and what we do not do with respect to executive compensation, the totality of which the Committee and the Board believe aligns with the long-term interests of our shareholders as well as with today’s commonly accepted best practices in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212725</wp:posOffset>
            </wp:positionV>
            <wp:extent cx="5520055" cy="32016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20055" cy="320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2024 Compensation Analysis –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right="80"/>
        <w:spacing w:after="0" w:line="239" w:lineRule="auto"/>
        <w:rPr>
          <w:sz w:val="20"/>
          <w:szCs w:val="20"/>
          <w:color w:val="auto"/>
        </w:rPr>
      </w:pPr>
      <w:r>
        <w:rPr>
          <w:rFonts w:ascii="Arial" w:cs="Arial" w:eastAsia="Arial" w:hAnsi="Arial"/>
          <w:sz w:val="21"/>
          <w:szCs w:val="21"/>
          <w:color w:val="auto"/>
        </w:rPr>
        <w:t>In early 2024, the Committee engaged Willis Towers to conduct a comprehensive review and assessment of executive compensation, non-union employee compensation, employee benefits, and Directors’ compensation (the “2024 Compensation Analysis”) in the context of market practices and our compensation philosophy. The Committee used the 2024 Compensation Analysis as a baseline benchmark to set 2025 compensation, and will continue to do so in future years until the next comprehensive analysis is completed, which is expected in 2029, with updates as needed or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148590</wp:posOffset>
            </wp:positionV>
            <wp:extent cx="6337300" cy="908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620"/>
          </w:cols>
          <w:pgMar w:left="320" w:top="470" w:right="9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ectPr>
          <w:pgSz w:w="11900" w:h="16838" w:orient="portrait"/>
          <w:cols w:equalWidth="0" w:num="1">
            <w:col w:w="10620"/>
          </w:cols>
          <w:pgMar w:left="320" w:top="470" w:right="959" w:bottom="1440" w:gutter="0" w:footer="0" w:header="0"/>
        </w:sectPr>
      </w:pPr>
    </w:p>
    <w:p>
      <w:pPr>
        <w:spacing w:after="0" w:line="305" w:lineRule="exact"/>
        <w:rPr>
          <w:sz w:val="20"/>
          <w:szCs w:val="20"/>
          <w:color w:val="auto"/>
        </w:rPr>
      </w:pPr>
    </w:p>
    <w:p>
      <w:pPr>
        <w:ind w:left="640" w:right="140"/>
        <w:spacing w:after="0" w:line="236" w:lineRule="auto"/>
        <w:rPr>
          <w:sz w:val="20"/>
          <w:szCs w:val="20"/>
          <w:color w:val="auto"/>
        </w:rPr>
      </w:pPr>
      <w:r>
        <w:rPr>
          <w:rFonts w:ascii="Arial" w:cs="Arial" w:eastAsia="Arial" w:hAnsi="Arial"/>
          <w:sz w:val="21"/>
          <w:szCs w:val="21"/>
          <w:color w:val="auto"/>
        </w:rPr>
        <w:t>The Committee’s standard practice is to engage a compensation consultant to prepare a comprehensive study of all elements of compensation every five years, with updates or specific studies on executive compensation or compensation-related matters as needed. Prior to the completion of the 2024 Compensation Analysis, the last comprehensive analysis was performed in 2019, as described in the following pages of this proxy statement.</w:t>
      </w:r>
    </w:p>
    <w:p>
      <w:pPr>
        <w:spacing w:after="0" w:line="81" w:lineRule="exact"/>
        <w:rPr>
          <w:sz w:val="20"/>
          <w:szCs w:val="20"/>
          <w:color w:val="auto"/>
        </w:rPr>
      </w:pPr>
    </w:p>
    <w:p>
      <w:pPr>
        <w:ind w:left="640" w:right="100"/>
        <w:spacing w:after="0" w:line="238" w:lineRule="auto"/>
        <w:rPr>
          <w:sz w:val="20"/>
          <w:szCs w:val="20"/>
          <w:color w:val="auto"/>
        </w:rPr>
      </w:pPr>
      <w:r>
        <w:rPr>
          <w:rFonts w:ascii="Arial" w:cs="Arial" w:eastAsia="Arial" w:hAnsi="Arial"/>
          <w:sz w:val="21"/>
          <w:szCs w:val="21"/>
          <w:color w:val="auto"/>
        </w:rPr>
        <w:t>The scope of the 2024 Compensation Analysis included an overall review and analysis of our executive, non-union staff and Directors’ compensation as it relates to and supports our business strategy, alignment with the compensation philosophy, overall competitiveness, and peer group selection.</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General Methodology</w:t>
      </w:r>
    </w:p>
    <w:p>
      <w:pPr>
        <w:spacing w:after="0" w:line="109" w:lineRule="exact"/>
        <w:rPr>
          <w:sz w:val="20"/>
          <w:szCs w:val="20"/>
          <w:color w:val="auto"/>
        </w:rPr>
      </w:pPr>
    </w:p>
    <w:p>
      <w:pPr>
        <w:ind w:left="640"/>
        <w:spacing w:after="0" w:line="246" w:lineRule="auto"/>
        <w:rPr>
          <w:sz w:val="20"/>
          <w:szCs w:val="20"/>
          <w:color w:val="auto"/>
        </w:rPr>
      </w:pPr>
      <w:r>
        <w:rPr>
          <w:rFonts w:ascii="Arial" w:cs="Arial" w:eastAsia="Arial" w:hAnsi="Arial"/>
          <w:sz w:val="20"/>
          <w:szCs w:val="20"/>
          <w:color w:val="auto"/>
        </w:rPr>
        <w:t>Willis Towers employed the same methodology used in past analyses and study updates to assess our position in the compensation marketplace. Willis Towers used both compensation data from published compensation surveys focused on comparably sized organizations in the utility sector and general industry sector (for all senior management positions), and compensation data from proxy filings of our approved peer group of 12 publicly-traded utility companies with annual revenues between</w:t>
      </w:r>
    </w:p>
    <w:p>
      <w:pPr>
        <w:spacing w:after="0" w:line="2" w:lineRule="exact"/>
        <w:rPr>
          <w:sz w:val="20"/>
          <w:szCs w:val="20"/>
          <w:color w:val="auto"/>
        </w:rPr>
      </w:pPr>
    </w:p>
    <w:p>
      <w:pPr>
        <w:ind w:left="640" w:right="640"/>
        <w:spacing w:after="0" w:line="245" w:lineRule="auto"/>
        <w:rPr>
          <w:sz w:val="20"/>
          <w:szCs w:val="20"/>
          <w:color w:val="auto"/>
        </w:rPr>
      </w:pPr>
      <w:r>
        <w:rPr>
          <w:rFonts w:ascii="Arial" w:cs="Arial" w:eastAsia="Arial" w:hAnsi="Arial"/>
          <w:sz w:val="21"/>
          <w:szCs w:val="21"/>
          <w:color w:val="auto"/>
        </w:rPr>
        <w:t>$97.4 million and $2.37 billion (the “2024 Peer Group”)</w:t>
      </w:r>
      <w:r>
        <w:rPr>
          <w:rFonts w:ascii="Arial" w:cs="Arial" w:eastAsia="Arial" w:hAnsi="Arial"/>
          <w:sz w:val="15"/>
          <w:szCs w:val="15"/>
          <w:color w:val="auto"/>
        </w:rPr>
        <w:t>7</w:t>
      </w:r>
      <w:r>
        <w:rPr>
          <w:rFonts w:ascii="Arial" w:cs="Arial" w:eastAsia="Arial" w:hAnsi="Arial"/>
          <w:sz w:val="21"/>
          <w:szCs w:val="21"/>
          <w:color w:val="auto"/>
        </w:rPr>
        <w:t xml:space="preserve"> for CEO and CFO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1159510</wp:posOffset>
            </wp:positionV>
            <wp:extent cx="20218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2024 Compensation Analysis 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-172720</wp:posOffset>
            </wp:positionV>
            <wp:extent cx="3028315" cy="58750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028315" cy="5875020"/>
                    </a:xfrm>
                    <a:prstGeom prst="rect">
                      <a:avLst/>
                    </a:prstGeom>
                    <a:noFill/>
                  </pic:spPr>
                </pic:pic>
              </a:graphicData>
            </a:graphic>
          </wp:anchor>
        </w:drawing>
      </w:r>
    </w:p>
    <w:p>
      <w:pPr>
        <w:spacing w:after="0" w:line="91" w:lineRule="exact"/>
        <w:rPr>
          <w:sz w:val="20"/>
          <w:szCs w:val="20"/>
          <w:color w:val="auto"/>
        </w:rPr>
      </w:pPr>
    </w:p>
    <w:p>
      <w:pPr>
        <w:ind w:right="740"/>
        <w:spacing w:after="0" w:line="322" w:lineRule="auto"/>
        <w:rPr>
          <w:sz w:val="20"/>
          <w:szCs w:val="20"/>
          <w:color w:val="auto"/>
        </w:rPr>
      </w:pPr>
      <w:r>
        <w:rPr>
          <w:rFonts w:ascii="Arial" w:cs="Arial" w:eastAsia="Arial" w:hAnsi="Arial"/>
          <w:sz w:val="17"/>
          <w:szCs w:val="17"/>
          <w:b w:val="1"/>
          <w:bCs w:val="1"/>
          <w:color w:val="auto"/>
        </w:rPr>
        <w:t>Review of Total Compensation Philosophy Senior Management Competitive Assessment:</w:t>
      </w:r>
    </w:p>
    <w:p>
      <w:pPr>
        <w:ind w:right="180"/>
        <w:spacing w:after="0" w:line="249" w:lineRule="auto"/>
        <w:rPr>
          <w:sz w:val="20"/>
          <w:szCs w:val="20"/>
          <w:color w:val="auto"/>
        </w:rPr>
      </w:pPr>
      <w:r>
        <w:rPr>
          <w:rFonts w:ascii="Arial" w:cs="Arial" w:eastAsia="Arial" w:hAnsi="Arial"/>
          <w:sz w:val="17"/>
          <w:szCs w:val="17"/>
          <w:color w:val="auto"/>
        </w:rPr>
        <w:t>Detailed review of total direct compensation* for approximately 29 executive positions, including the CEO, CFO and other Named Executive Officers</w:t>
      </w:r>
    </w:p>
    <w:p>
      <w:pPr>
        <w:spacing w:after="0" w:line="9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 Confirmation of competitive marketplace and peer</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group alignment</w:t>
      </w:r>
    </w:p>
    <w:p>
      <w:pPr>
        <w:ind w:left="140"/>
        <w:spacing w:after="0"/>
        <w:rPr>
          <w:sz w:val="20"/>
          <w:szCs w:val="20"/>
          <w:color w:val="auto"/>
        </w:rPr>
      </w:pPr>
      <w:r>
        <w:rPr>
          <w:rFonts w:ascii="Arial" w:cs="Arial" w:eastAsia="Arial" w:hAnsi="Arial"/>
          <w:sz w:val="17"/>
          <w:szCs w:val="17"/>
          <w:color w:val="auto"/>
        </w:rPr>
        <w:t>  Assessment of base pay level competitiveness and mix</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of total direct compensation</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 Competitiveness of cash and equity incentive levels</w:t>
      </w:r>
    </w:p>
    <w:p>
      <w:pPr>
        <w:spacing w:after="0" w:line="70" w:lineRule="exact"/>
        <w:rPr>
          <w:sz w:val="20"/>
          <w:szCs w:val="20"/>
          <w:color w:val="auto"/>
        </w:rPr>
      </w:pPr>
    </w:p>
    <w:p>
      <w:pPr>
        <w:ind w:left="400" w:right="280" w:hanging="168"/>
        <w:spacing w:after="0" w:line="357" w:lineRule="auto"/>
        <w:rPr>
          <w:sz w:val="20"/>
          <w:szCs w:val="20"/>
          <w:color w:val="auto"/>
        </w:rPr>
      </w:pPr>
      <w:r>
        <w:rPr>
          <w:rFonts w:ascii="Arial" w:cs="Arial" w:eastAsia="Arial" w:hAnsi="Arial"/>
          <w:sz w:val="17"/>
          <w:szCs w:val="17"/>
          <w:color w:val="auto"/>
        </w:rPr>
        <w:t>  Identification of gaps against market relative to base pay, incentive targets and equity levels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Non-Union Staff Competitive Assessment:</w:t>
      </w:r>
    </w:p>
    <w:p>
      <w:pPr>
        <w:spacing w:after="0" w:line="17" w:lineRule="exact"/>
        <w:rPr>
          <w:sz w:val="20"/>
          <w:szCs w:val="20"/>
          <w:color w:val="auto"/>
        </w:rPr>
      </w:pPr>
    </w:p>
    <w:p>
      <w:pPr>
        <w:ind w:right="540"/>
        <w:spacing w:after="0" w:line="249" w:lineRule="auto"/>
        <w:rPr>
          <w:sz w:val="20"/>
          <w:szCs w:val="20"/>
          <w:color w:val="auto"/>
        </w:rPr>
      </w:pPr>
      <w:r>
        <w:rPr>
          <w:rFonts w:ascii="Arial" w:cs="Arial" w:eastAsia="Arial" w:hAnsi="Arial"/>
          <w:sz w:val="17"/>
          <w:szCs w:val="17"/>
          <w:color w:val="auto"/>
        </w:rPr>
        <w:t>Competitive assessment of non-union staff cash compensation for 68 jobs covering approximately 96 incumbents</w:t>
      </w:r>
    </w:p>
    <w:p>
      <w:pPr>
        <w:spacing w:after="0" w:line="9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 Cash compensation</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 Comparison of actual pay and desired philosophy with</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published survey data</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 Appropriateness of salary structure</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 Analysis of incentive targets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Competitive Assessment:</w:t>
      </w:r>
    </w:p>
    <w:p>
      <w:pPr>
        <w:spacing w:after="0" w:line="17"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Competitive assessment of total compensation for outside Board members</w:t>
      </w:r>
    </w:p>
    <w:p>
      <w:pPr>
        <w:spacing w:after="0" w:line="8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 Confirmation of peer group</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 Assessment of pay elements including board and</w:t>
      </w:r>
    </w:p>
    <w:p>
      <w:pPr>
        <w:spacing w:after="0" w:line="93" w:lineRule="exact"/>
        <w:rPr>
          <w:sz w:val="20"/>
          <w:szCs w:val="20"/>
          <w:color w:val="auto"/>
        </w:rPr>
      </w:pPr>
    </w:p>
    <w:p>
      <w:pPr>
        <w:ind w:left="400" w:right="80"/>
        <w:spacing w:after="0" w:line="237" w:lineRule="auto"/>
        <w:rPr>
          <w:sz w:val="20"/>
          <w:szCs w:val="20"/>
          <w:color w:val="auto"/>
        </w:rPr>
      </w:pPr>
      <w:r>
        <w:rPr>
          <w:rFonts w:ascii="Arial" w:cs="Arial" w:eastAsia="Arial" w:hAnsi="Arial"/>
          <w:sz w:val="17"/>
          <w:szCs w:val="17"/>
          <w:color w:val="auto"/>
        </w:rPr>
        <w:t>committee annual cash and equity retainers, meeting fees, board and committee leadership premiums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 Identification of gaps against market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Broad Based Benefit Program Assessment:</w:t>
      </w:r>
    </w:p>
    <w:p>
      <w:pPr>
        <w:spacing w:after="0" w:line="17"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Review of program design to ensure competitiveness as an element of total compensation</w:t>
      </w:r>
    </w:p>
    <w:p>
      <w:pPr>
        <w:spacing w:after="0" w:line="72" w:lineRule="exact"/>
        <w:rPr>
          <w:sz w:val="20"/>
          <w:szCs w:val="20"/>
          <w:color w:val="auto"/>
        </w:rPr>
      </w:pPr>
    </w:p>
    <w:p>
      <w:pPr>
        <w:ind w:right="320"/>
        <w:spacing w:after="0" w:line="241" w:lineRule="auto"/>
        <w:rPr>
          <w:sz w:val="20"/>
          <w:szCs w:val="20"/>
          <w:color w:val="auto"/>
        </w:rPr>
      </w:pPr>
      <w:r>
        <w:rPr>
          <w:rFonts w:ascii="Arial" w:cs="Arial" w:eastAsia="Arial" w:hAnsi="Arial"/>
          <w:sz w:val="16"/>
          <w:szCs w:val="16"/>
          <w:i w:val="1"/>
          <w:iCs w:val="1"/>
          <w:color w:val="auto"/>
        </w:rPr>
        <w:t>*for the purposes of this analysis, total direct compensation is defined as base salary, annual incentives and long-term incentives.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 </w:t>
      </w:r>
    </w:p>
    <w:p>
      <w:pPr>
        <w:spacing w:after="0" w:line="188" w:lineRule="exact"/>
        <w:rPr>
          <w:sz w:val="20"/>
          <w:szCs w:val="20"/>
          <w:color w:val="auto"/>
        </w:rPr>
      </w:pPr>
    </w:p>
    <w:p>
      <w:pPr>
        <w:sectPr>
          <w:pgSz w:w="11900" w:h="16838" w:orient="portrait"/>
          <w:cols w:equalWidth="0" w:num="2">
            <w:col w:w="5520" w:space="560"/>
            <w:col w:w="4540"/>
          </w:cols>
          <w:pgMar w:left="320" w:top="470" w:right="959" w:bottom="1440" w:gutter="0" w:footer="0" w:header="0"/>
          <w:type w:val="continuous"/>
        </w:sectPr>
      </w:pPr>
    </w:p>
    <w:p>
      <w:pPr>
        <w:jc w:val="both"/>
        <w:ind w:left="820" w:right="340" w:hanging="186"/>
        <w:spacing w:after="0" w:line="215" w:lineRule="auto"/>
        <w:tabs>
          <w:tab w:leader="none" w:pos="820" w:val="left"/>
        </w:tabs>
        <w:numPr>
          <w:ilvl w:val="0"/>
          <w:numId w:val="32"/>
        </w:numPr>
        <w:rPr>
          <w:rFonts w:ascii="Arial" w:cs="Arial" w:eastAsia="Arial" w:hAnsi="Arial"/>
          <w:sz w:val="23"/>
          <w:szCs w:val="23"/>
          <w:color w:val="auto"/>
          <w:vertAlign w:val="superscript"/>
        </w:rPr>
      </w:pPr>
      <w:r>
        <w:rPr>
          <w:rFonts w:ascii="Arial" w:cs="Arial" w:eastAsia="Arial" w:hAnsi="Arial"/>
          <w:sz w:val="16"/>
          <w:szCs w:val="16"/>
          <w:color w:val="auto"/>
        </w:rPr>
        <w:t>The 2024 selected group consists of ALLETE, Inc., Avista Corporation, Chesapeake Utilities Corporation, MGE Energy, Inc., New Jersey Resources Corporation, NorthWestern Energy Group, Inc., Northwest Natural Gas Company, ONE Gas, Inc., Otter Tail Corporation, PNM Resources, Inc., RGC Resources,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151130</wp:posOffset>
            </wp:positionV>
            <wp:extent cx="6337300" cy="825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620"/>
          </w:cols>
          <w:pgMar w:left="320" w:top="470" w:right="9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13"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Compensation Data from Published Compensation Surveys</w:t>
      </w:r>
    </w:p>
    <w:p>
      <w:pPr>
        <w:spacing w:after="0" w:line="105" w:lineRule="exact"/>
        <w:rPr>
          <w:sz w:val="20"/>
          <w:szCs w:val="20"/>
          <w:color w:val="auto"/>
        </w:rPr>
      </w:pPr>
    </w:p>
    <w:p>
      <w:pPr>
        <w:ind w:left="1040" w:right="80"/>
        <w:spacing w:after="0" w:line="228" w:lineRule="auto"/>
        <w:rPr>
          <w:sz w:val="20"/>
          <w:szCs w:val="20"/>
          <w:color w:val="auto"/>
        </w:rPr>
      </w:pPr>
      <w:r>
        <w:rPr>
          <w:rFonts w:ascii="Arial" w:cs="Arial" w:eastAsia="Arial" w:hAnsi="Arial"/>
          <w:sz w:val="17"/>
          <w:szCs w:val="17"/>
          <w:color w:val="auto"/>
        </w:rPr>
        <w:t>Compensation data from published compensation surveys focused on comparably sized organizations in the utility sector and general industry sector (for “cross industry” positions)</w:t>
      </w:r>
      <w:r>
        <w:rPr>
          <w:rFonts w:ascii="Arial" w:cs="Arial" w:eastAsia="Arial" w:hAnsi="Arial"/>
          <w:sz w:val="25"/>
          <w:szCs w:val="25"/>
          <w:color w:val="auto"/>
          <w:vertAlign w:val="superscript"/>
        </w:rPr>
        <w:t>8</w:t>
      </w:r>
      <w:r>
        <w:rPr>
          <w:rFonts w:ascii="Arial" w:cs="Arial" w:eastAsia="Arial" w:hAnsi="Arial"/>
          <w:sz w:val="17"/>
          <w:szCs w:val="17"/>
          <w:color w:val="auto"/>
        </w:rPr>
        <w:t>. Published survey data were size adjusted based on revenue, employee regression and/or scope parameters. Because the surveys are confidential, the specific data selected by Willis Towers did not indicate survey participants by company name. Published compensation surveys generally provide a broader sample of data upon which to base compensation decisions, which is essential when analyzing a large number of positions, as was the case with the 2024 Compensation Analysis.</w:t>
      </w:r>
    </w:p>
    <w:p>
      <w:pPr>
        <w:spacing w:after="0" w:line="200"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Compensation Data from Proxy Filings</w:t>
      </w:r>
    </w:p>
    <w:p>
      <w:pPr>
        <w:spacing w:after="0" w:line="105" w:lineRule="exact"/>
        <w:rPr>
          <w:sz w:val="20"/>
          <w:szCs w:val="20"/>
          <w:color w:val="auto"/>
        </w:rPr>
      </w:pPr>
    </w:p>
    <w:p>
      <w:pPr>
        <w:ind w:left="1040"/>
        <w:spacing w:after="0" w:line="252" w:lineRule="auto"/>
        <w:rPr>
          <w:sz w:val="20"/>
          <w:szCs w:val="20"/>
          <w:color w:val="auto"/>
        </w:rPr>
      </w:pPr>
      <w:r>
        <w:rPr>
          <w:rFonts w:ascii="Arial" w:cs="Arial" w:eastAsia="Arial" w:hAnsi="Arial"/>
          <w:sz w:val="17"/>
          <w:szCs w:val="17"/>
          <w:color w:val="auto"/>
        </w:rPr>
        <w:t>Compensation data was also extracted from the 2024 Peer Group proxy filings. The Compensation Committee used this data to analyze only the CEO’s and CFO’s compensation, with the objective of ensuring that CEO and CFO total compensation was reasonable, competitive and consistent with pay practices at peer companies. Data from peer company proxy filings generally validate published survey information with definitive executive compensation data from specific companies.</w:t>
      </w:r>
    </w:p>
    <w:p>
      <w:pPr>
        <w:spacing w:after="0" w:line="157" w:lineRule="exact"/>
        <w:rPr>
          <w:sz w:val="20"/>
          <w:szCs w:val="20"/>
          <w:color w:val="auto"/>
        </w:rPr>
      </w:pPr>
    </w:p>
    <w:p>
      <w:pPr>
        <w:ind w:left="640" w:right="80"/>
        <w:spacing w:after="0" w:line="243" w:lineRule="auto"/>
        <w:rPr>
          <w:sz w:val="20"/>
          <w:szCs w:val="20"/>
          <w:color w:val="auto"/>
        </w:rPr>
      </w:pPr>
      <w:r>
        <w:rPr>
          <w:rFonts w:ascii="Arial" w:cs="Arial" w:eastAsia="Arial" w:hAnsi="Arial"/>
          <w:sz w:val="21"/>
          <w:szCs w:val="21"/>
          <w:color w:val="auto"/>
        </w:rPr>
        <w:t>Willis Towers completed the 2024 Compensation Analysis in October 2024. Deliverables included a review of peer group identification, detailed information on executive, non-union staff, and Director’s compensation, the research methodology and process, key findings concerning base salary and incentive compensation, program assessment, and several recommendations for the Committee’s consideration.</w:t>
      </w:r>
    </w:p>
    <w:p>
      <w:pPr>
        <w:spacing w:after="0" w:line="165" w:lineRule="exact"/>
        <w:rPr>
          <w:sz w:val="20"/>
          <w:szCs w:val="20"/>
          <w:color w:val="auto"/>
        </w:rPr>
      </w:pPr>
    </w:p>
    <w:p>
      <w:pPr>
        <w:ind w:left="640" w:right="280"/>
        <w:spacing w:after="0" w:line="267" w:lineRule="auto"/>
        <w:rPr>
          <w:sz w:val="20"/>
          <w:szCs w:val="20"/>
          <w:color w:val="auto"/>
        </w:rPr>
      </w:pPr>
      <w:r>
        <w:rPr>
          <w:rFonts w:ascii="Arial" w:cs="Arial" w:eastAsia="Arial" w:hAnsi="Arial"/>
          <w:sz w:val="20"/>
          <w:szCs w:val="20"/>
          <w:color w:val="auto"/>
        </w:rPr>
        <w:t xml:space="preserve">Results of the Directors’ competitive assessment were also provided to the Nominating and Governance Committee. Please see the section entitled </w:t>
      </w:r>
      <w:r>
        <w:rPr>
          <w:rFonts w:ascii="Arial" w:cs="Arial" w:eastAsia="Arial" w:hAnsi="Arial"/>
          <w:sz w:val="20"/>
          <w:szCs w:val="20"/>
          <w:i w:val="1"/>
          <w:iCs w:val="1"/>
          <w:color w:val="auto"/>
        </w:rPr>
        <w:t>Compensation – Compensation of Directors</w:t>
      </w:r>
      <w:r>
        <w:rPr>
          <w:rFonts w:ascii="Arial" w:cs="Arial" w:eastAsia="Arial" w:hAnsi="Arial"/>
          <w:sz w:val="20"/>
          <w:szCs w:val="20"/>
          <w:color w:val="auto"/>
        </w:rPr>
        <w:t xml:space="preserve"> for additional information on the Nominating and Governance Committee’s actions concerning Directors’ compensation.</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Committee used the information provided in the 2024 Compensation Analysis:</w:t>
      </w:r>
    </w:p>
    <w:p>
      <w:pPr>
        <w:spacing w:after="0" w:line="109"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to gain a general understanding of current compensation in the context of market practices;</w:t>
      </w:r>
    </w:p>
    <w:p>
      <w:pPr>
        <w:spacing w:after="0" w:line="226" w:lineRule="exact"/>
        <w:rPr>
          <w:sz w:val="20"/>
          <w:szCs w:val="20"/>
          <w:color w:val="auto"/>
        </w:rPr>
      </w:pPr>
    </w:p>
    <w:p>
      <w:pPr>
        <w:ind w:left="1420" w:right="360"/>
        <w:spacing w:after="0" w:line="264" w:lineRule="auto"/>
        <w:rPr>
          <w:sz w:val="20"/>
          <w:szCs w:val="20"/>
          <w:color w:val="auto"/>
        </w:rPr>
      </w:pPr>
      <w:r>
        <w:rPr>
          <w:rFonts w:ascii="Arial" w:cs="Arial" w:eastAsia="Arial" w:hAnsi="Arial"/>
          <w:sz w:val="21"/>
          <w:szCs w:val="21"/>
          <w:color w:val="auto"/>
        </w:rPr>
        <w:t>as a reference point, or benchmark, upon which to base its compensation decisions starting with decisions for the 2025 compensation year; and</w:t>
      </w:r>
    </w:p>
    <w:p>
      <w:pPr>
        <w:spacing w:after="0" w:line="53" w:lineRule="exact"/>
        <w:rPr>
          <w:sz w:val="20"/>
          <w:szCs w:val="20"/>
          <w:color w:val="auto"/>
        </w:rPr>
      </w:pPr>
    </w:p>
    <w:p>
      <w:pPr>
        <w:ind w:left="1420" w:right="200"/>
        <w:spacing w:after="0" w:line="264" w:lineRule="auto"/>
        <w:rPr>
          <w:sz w:val="20"/>
          <w:szCs w:val="20"/>
          <w:color w:val="auto"/>
        </w:rPr>
      </w:pPr>
      <w:r>
        <w:rPr>
          <w:rFonts w:ascii="Arial" w:cs="Arial" w:eastAsia="Arial" w:hAnsi="Arial"/>
          <w:sz w:val="21"/>
          <w:szCs w:val="21"/>
          <w:color w:val="auto"/>
        </w:rPr>
        <w:t>to analyze the competitiveness of each executive officer’s, including the CEO’s and CFO’s, overall compensation and alignment with the compensation philosophy.</w:t>
      </w:r>
    </w:p>
    <w:p>
      <w:pPr>
        <w:spacing w:after="0" w:line="200" w:lineRule="exact"/>
        <w:rPr>
          <w:sz w:val="20"/>
          <w:szCs w:val="20"/>
          <w:color w:val="auto"/>
        </w:rPr>
      </w:pPr>
    </w:p>
    <w:p>
      <w:pPr>
        <w:spacing w:after="0" w:line="260"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Compensation Decisions for 2020 - 2024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right="60"/>
        <w:spacing w:after="0" w:line="249" w:lineRule="auto"/>
        <w:rPr>
          <w:sz w:val="20"/>
          <w:szCs w:val="20"/>
          <w:color w:val="auto"/>
        </w:rPr>
      </w:pPr>
      <w:r>
        <w:rPr>
          <w:rFonts w:ascii="Arial" w:cs="Arial" w:eastAsia="Arial" w:hAnsi="Arial"/>
          <w:sz w:val="20"/>
          <w:szCs w:val="20"/>
          <w:color w:val="auto"/>
        </w:rPr>
        <w:t>In order to prudently manage outside consulting expenses, the Compensation Committee decided to forego consulting work related to overall executive pay decisions in the years 2020, 2021, 2022, and 2023. Instead, the Committee determined the information contained in the comprehensive 2019 Compensation Analysis remained relevant and therefore was used as an across-the-board assessment benchmark. The Committee also used existing compensation programs and policies previously found to be reasonable and competitive to evaluate overall executive compensation paid in 2020 through 2024. The Committee recommended and the Board approved executive compensation paid in January of each respective year as noted. We continue to include the details of the 2019 Compensation Analysis, which is described below, as it is the benchmark for 2023 and 2024 executive compensation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80645</wp:posOffset>
            </wp:positionV>
            <wp:extent cx="20218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147" w:lineRule="exact"/>
        <w:rPr>
          <w:sz w:val="20"/>
          <w:szCs w:val="20"/>
          <w:color w:val="auto"/>
        </w:rPr>
      </w:pPr>
    </w:p>
    <w:p>
      <w:pPr>
        <w:ind w:left="820" w:right="100" w:hanging="186"/>
        <w:spacing w:after="0" w:line="215" w:lineRule="auto"/>
        <w:tabs>
          <w:tab w:leader="none" w:pos="820" w:val="left"/>
        </w:tabs>
        <w:numPr>
          <w:ilvl w:val="0"/>
          <w:numId w:val="34"/>
        </w:numPr>
        <w:rPr>
          <w:rFonts w:ascii="Arial" w:cs="Arial" w:eastAsia="Arial" w:hAnsi="Arial"/>
          <w:sz w:val="23"/>
          <w:szCs w:val="23"/>
          <w:color w:val="auto"/>
          <w:vertAlign w:val="superscript"/>
        </w:rPr>
      </w:pPr>
      <w:r>
        <w:rPr>
          <w:rFonts w:ascii="Arial" w:cs="Arial" w:eastAsia="Arial" w:hAnsi="Arial"/>
          <w:sz w:val="16"/>
          <w:szCs w:val="16"/>
          <w:color w:val="auto"/>
        </w:rPr>
        <w:t>The primary sources of data were the Willis Towers Watson CDB Executive Energy Services and General Industry Compensation Databases that provide market compensation data on over 1,000 U.S. organizations, as well as other published survey sources including the Mercer Executive Compensation Survey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151130</wp:posOffset>
            </wp:positionV>
            <wp:extent cx="6337300" cy="825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620"/>
          </w:cols>
          <w:pgMar w:left="320" w:top="470" w:right="9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2590800" cy="13036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90800" cy="13036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2019 Compensation Analysis Benchmarking</w:t>
      </w:r>
    </w:p>
    <w:p>
      <w:pPr>
        <w:spacing w:after="0" w:line="11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2020 Compensation Decisions</w:t>
      </w:r>
    </w:p>
    <w:p>
      <w:pPr>
        <w:spacing w:after="0" w:line="6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2021 Compensation Decisions</w:t>
      </w:r>
    </w:p>
    <w:p>
      <w:pPr>
        <w:spacing w:after="0" w:line="6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2022 Compensation Decisions</w:t>
      </w:r>
    </w:p>
    <w:p>
      <w:pPr>
        <w:spacing w:after="0" w:line="6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2023 Compensation Decisions</w:t>
      </w:r>
    </w:p>
    <w:p>
      <w:pPr>
        <w:spacing w:after="0" w:line="6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2024 Compensation Decisions</w:t>
      </w:r>
    </w:p>
    <w:p>
      <w:pPr>
        <w:spacing w:after="0" w:line="200" w:lineRule="exact"/>
        <w:rPr>
          <w:sz w:val="20"/>
          <w:szCs w:val="20"/>
          <w:color w:val="auto"/>
        </w:rPr>
      </w:pPr>
    </w:p>
    <w:p>
      <w:pPr>
        <w:spacing w:after="0" w:line="323" w:lineRule="exact"/>
        <w:rPr>
          <w:sz w:val="20"/>
          <w:szCs w:val="20"/>
          <w:color w:val="auto"/>
        </w:rPr>
      </w:pPr>
    </w:p>
    <w:p>
      <w:pPr>
        <w:ind w:left="640"/>
        <w:spacing w:after="0" w:line="234" w:lineRule="auto"/>
        <w:rPr>
          <w:sz w:val="20"/>
          <w:szCs w:val="20"/>
          <w:color w:val="auto"/>
        </w:rPr>
      </w:pPr>
      <w:r>
        <w:rPr>
          <w:rFonts w:ascii="Arial" w:cs="Arial" w:eastAsia="Arial" w:hAnsi="Arial"/>
          <w:sz w:val="21"/>
          <w:szCs w:val="21"/>
          <w:color w:val="auto"/>
        </w:rPr>
        <w:t>The Committee engaged Willis Towers in 2019 to conduct a comprehensive review and assessment of senior management compensation, including CEO, CFO, and other Named Executive Officers’ compensation, non-union employee compensation, employee benefits, and Directors’ compensation (the “2019 Compensation Analysis” or as used in this section entitled “</w:t>
      </w:r>
      <w:r>
        <w:rPr>
          <w:rFonts w:ascii="Arial" w:cs="Arial" w:eastAsia="Arial" w:hAnsi="Arial"/>
          <w:sz w:val="21"/>
          <w:szCs w:val="21"/>
          <w:i w:val="1"/>
          <w:iCs w:val="1"/>
          <w:color w:val="auto"/>
        </w:rPr>
        <w:t>Compensation Decisions 2020-2024,</w:t>
      </w:r>
      <w:r>
        <w:rPr>
          <w:rFonts w:ascii="Arial" w:cs="Arial" w:eastAsia="Arial" w:hAnsi="Arial"/>
          <w:sz w:val="21"/>
          <w:szCs w:val="21"/>
          <w:color w:val="auto"/>
        </w:rPr>
        <w:t>” the “Analysis”) in the context of market</w:t>
      </w:r>
      <w:r>
        <w:rPr>
          <w:rFonts w:ascii="Arial" w:cs="Arial" w:eastAsia="Arial" w:hAnsi="Arial"/>
          <w:sz w:val="21"/>
          <w:szCs w:val="21"/>
          <w:i w:val="1"/>
          <w:iCs w:val="1"/>
          <w:color w:val="auto"/>
        </w:rPr>
        <w:t xml:space="preserve"> </w:t>
      </w:r>
      <w:r>
        <w:rPr>
          <w:rFonts w:ascii="Arial" w:cs="Arial" w:eastAsia="Arial" w:hAnsi="Arial"/>
          <w:sz w:val="21"/>
          <w:szCs w:val="21"/>
          <w:color w:val="auto"/>
        </w:rPr>
        <w:t>practices and our compensation philosophy. The Committee requested Willis Towers provide an assessment of current levels of competitive compensation and broad-based benefit programs to use as a tool to assist the Committee with its decisions concerning, initially, 2020 compensation, and ultimately, 2021 to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2019 Compensation Analysis – 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2019 Compensation Analysis Scope of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-172720</wp:posOffset>
            </wp:positionV>
            <wp:extent cx="3028315" cy="51320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028315" cy="513207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of Total Compensation Philosophy</w:t>
      </w:r>
    </w:p>
    <w:p>
      <w:pPr>
        <w:spacing w:after="0" w:line="116"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b w:val="1"/>
          <w:bCs w:val="1"/>
          <w:color w:val="auto"/>
        </w:rPr>
        <w:t xml:space="preserve">Senior Management Competitive Assessment: </w:t>
      </w:r>
      <w:r>
        <w:rPr>
          <w:rFonts w:ascii="Arial" w:cs="Arial" w:eastAsia="Arial" w:hAnsi="Arial"/>
          <w:sz w:val="17"/>
          <w:szCs w:val="17"/>
          <w:color w:val="auto"/>
        </w:rPr>
        <w:t>Detailed review of total direct compensation* for approximately 20 executive positions, including the CEO, CFO and other Named Executive Officers</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 Confirmation of competitive marketplace and peer</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group  </w:t>
      </w:r>
    </w:p>
    <w:p>
      <w:pPr>
        <w:ind w:left="140"/>
        <w:spacing w:after="0"/>
        <w:rPr>
          <w:sz w:val="20"/>
          <w:szCs w:val="20"/>
          <w:color w:val="auto"/>
        </w:rPr>
      </w:pPr>
      <w:r>
        <w:rPr>
          <w:rFonts w:ascii="Arial" w:cs="Arial" w:eastAsia="Arial" w:hAnsi="Arial"/>
          <w:sz w:val="17"/>
          <w:szCs w:val="17"/>
          <w:color w:val="auto"/>
        </w:rPr>
        <w:t>  Assessment of pay level competitiveness and mix of</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total compensation  </w:t>
      </w:r>
    </w:p>
    <w:p>
      <w:pPr>
        <w:ind w:left="140"/>
        <w:spacing w:after="0"/>
        <w:rPr>
          <w:sz w:val="20"/>
          <w:szCs w:val="20"/>
          <w:color w:val="auto"/>
        </w:rPr>
      </w:pPr>
      <w:r>
        <w:rPr>
          <w:rFonts w:ascii="Arial" w:cs="Arial" w:eastAsia="Arial" w:hAnsi="Arial"/>
          <w:sz w:val="17"/>
          <w:szCs w:val="17"/>
          <w:color w:val="auto"/>
        </w:rPr>
        <w:t>  Competitiveness of cash and equity incentive levels  </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Non-Union Staff Competitive Assessment:</w:t>
      </w:r>
    </w:p>
    <w:p>
      <w:pPr>
        <w:spacing w:after="0" w:line="17" w:lineRule="exact"/>
        <w:rPr>
          <w:sz w:val="20"/>
          <w:szCs w:val="20"/>
          <w:color w:val="auto"/>
        </w:rPr>
      </w:pPr>
    </w:p>
    <w:p>
      <w:pPr>
        <w:jc w:val="both"/>
        <w:ind w:right="780"/>
        <w:spacing w:after="0" w:line="249" w:lineRule="auto"/>
        <w:rPr>
          <w:sz w:val="20"/>
          <w:szCs w:val="20"/>
          <w:color w:val="auto"/>
        </w:rPr>
      </w:pPr>
      <w:r>
        <w:rPr>
          <w:rFonts w:ascii="Arial" w:cs="Arial" w:eastAsia="Arial" w:hAnsi="Arial"/>
          <w:sz w:val="17"/>
          <w:szCs w:val="17"/>
          <w:color w:val="auto"/>
        </w:rPr>
        <w:t>Competitive assessment of non-union staff cash compensation for 75 jobs covering approximately 150 incumbents</w:t>
      </w:r>
    </w:p>
    <w:p>
      <w:pPr>
        <w:spacing w:after="0" w:line="9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 Cash compensation</w:t>
      </w:r>
    </w:p>
    <w:p>
      <w:pPr>
        <w:spacing w:after="0" w:line="90" w:lineRule="exact"/>
        <w:rPr>
          <w:sz w:val="20"/>
          <w:szCs w:val="20"/>
          <w:color w:val="auto"/>
        </w:rPr>
      </w:pPr>
    </w:p>
    <w:p>
      <w:pPr>
        <w:ind w:left="220" w:right="1600"/>
        <w:spacing w:after="0" w:line="391" w:lineRule="auto"/>
        <w:rPr>
          <w:sz w:val="20"/>
          <w:szCs w:val="20"/>
          <w:color w:val="auto"/>
        </w:rPr>
      </w:pPr>
      <w:r>
        <w:rPr>
          <w:rFonts w:ascii="Arial" w:cs="Arial" w:eastAsia="Arial" w:hAnsi="Arial"/>
          <w:sz w:val="17"/>
          <w:szCs w:val="17"/>
          <w:color w:val="auto"/>
        </w:rPr>
        <w:t>  Appropriateness of salary structure   Analysis of incentive targets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Competitive Assessment:</w:t>
      </w:r>
    </w:p>
    <w:p>
      <w:pPr>
        <w:spacing w:after="0" w:line="17"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Competitive assessment of total direct compensation* for outside Board members</w:t>
      </w:r>
    </w:p>
    <w:p>
      <w:pPr>
        <w:spacing w:after="0" w:line="8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 Confirmation of peer group</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 Assessment of pay elements including board and</w:t>
      </w:r>
    </w:p>
    <w:p>
      <w:pPr>
        <w:spacing w:after="0" w:line="93" w:lineRule="exact"/>
        <w:rPr>
          <w:sz w:val="20"/>
          <w:szCs w:val="20"/>
          <w:color w:val="auto"/>
        </w:rPr>
      </w:pPr>
    </w:p>
    <w:p>
      <w:pPr>
        <w:ind w:left="400" w:right="100"/>
        <w:spacing w:after="0" w:line="260" w:lineRule="auto"/>
        <w:rPr>
          <w:sz w:val="20"/>
          <w:szCs w:val="20"/>
          <w:color w:val="auto"/>
        </w:rPr>
      </w:pPr>
      <w:r>
        <w:rPr>
          <w:rFonts w:ascii="Arial" w:cs="Arial" w:eastAsia="Arial" w:hAnsi="Arial"/>
          <w:sz w:val="17"/>
          <w:szCs w:val="17"/>
          <w:color w:val="auto"/>
        </w:rPr>
        <w:t>committee annual retainers, meeting fees, board and committee leadership premiums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Broad Based Benefit Program Assessment:</w:t>
      </w:r>
    </w:p>
    <w:p>
      <w:pPr>
        <w:spacing w:after="0" w:line="17"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Review of program design to ensure competitiveness as an element of total compensation</w:t>
      </w:r>
    </w:p>
    <w:p>
      <w:pPr>
        <w:spacing w:after="0" w:line="72"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i w:val="1"/>
          <w:iCs w:val="1"/>
          <w:color w:val="auto"/>
        </w:rPr>
        <w:t>*For the purposes of this analysis, total direct compensation is defined as base salary, annual incentives and long-term incentives.</w:t>
      </w:r>
    </w:p>
    <w:p>
      <w:pPr>
        <w:spacing w:after="0" w:line="915" w:lineRule="exact"/>
        <w:rPr>
          <w:sz w:val="20"/>
          <w:szCs w:val="20"/>
          <w:color w:val="auto"/>
        </w:rPr>
      </w:pPr>
    </w:p>
    <w:p>
      <w:pPr>
        <w:sectPr>
          <w:pgSz w:w="11900" w:h="16838" w:orient="portrait"/>
          <w:cols w:equalWidth="0" w:num="2">
            <w:col w:w="5480" w:space="600"/>
            <w:col w:w="4540"/>
          </w:cols>
          <w:pgMar w:left="320" w:top="470" w:right="959" w:bottom="1440" w:gutter="0" w:footer="0" w:header="0"/>
        </w:sectPr>
      </w:pPr>
    </w:p>
    <w:p>
      <w:pPr>
        <w:ind w:left="640" w:right="160"/>
        <w:spacing w:after="0" w:line="239" w:lineRule="auto"/>
        <w:rPr>
          <w:sz w:val="20"/>
          <w:szCs w:val="20"/>
          <w:color w:val="auto"/>
        </w:rPr>
      </w:pPr>
      <w:r>
        <w:rPr>
          <w:rFonts w:ascii="Arial" w:cs="Arial" w:eastAsia="Arial" w:hAnsi="Arial"/>
          <w:sz w:val="21"/>
          <w:szCs w:val="21"/>
          <w:color w:val="auto"/>
        </w:rPr>
        <w:t>The 2019 Compensation Analysis scope included an overall analysis of our compensation as it relates to and supports our business strategy and alignment with the compensation philosophy. The final report included peer group identification, detailed information on executive, non-union staff and Directors’ compensation, as well as a review of the research methodology and process, key findings concerning base salary and incentive compensation, program assessment, and several recommendations for the Committee’s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148590</wp:posOffset>
            </wp:positionV>
            <wp:extent cx="6337300" cy="825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620"/>
          </w:cols>
          <w:pgMar w:left="320" w:top="470" w:right="9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General Methodology</w:t>
      </w:r>
    </w:p>
    <w:p>
      <w:pPr>
        <w:spacing w:after="0" w:line="96" w:lineRule="exact"/>
        <w:rPr>
          <w:sz w:val="20"/>
          <w:szCs w:val="20"/>
          <w:color w:val="auto"/>
        </w:rPr>
      </w:pPr>
    </w:p>
    <w:p>
      <w:pPr>
        <w:ind w:left="640" w:right="80"/>
        <w:spacing w:after="0"/>
        <w:rPr>
          <w:sz w:val="20"/>
          <w:szCs w:val="20"/>
          <w:color w:val="auto"/>
        </w:rPr>
      </w:pPr>
      <w:r>
        <w:rPr>
          <w:rFonts w:ascii="Arial" w:cs="Arial" w:eastAsia="Arial" w:hAnsi="Arial"/>
          <w:sz w:val="21"/>
          <w:szCs w:val="21"/>
          <w:color w:val="auto"/>
        </w:rPr>
        <w:t>Willis Towers used both compensation data from published compensation surveys focused on comparably sized organizations in the utility sector and general industry sector (for “cross industry” positions), and compensation data from proxy filings of our approved peer group of 13 publicly traded utility companies with annual revenues between $275 million and $1.6 billion (the “2019 Peer Group”)</w:t>
      </w:r>
      <w:r>
        <w:rPr>
          <w:rFonts w:ascii="Arial" w:cs="Arial" w:eastAsia="Arial" w:hAnsi="Arial"/>
          <w:sz w:val="15"/>
          <w:szCs w:val="15"/>
          <w:color w:val="auto"/>
        </w:rPr>
        <w:t>9</w:t>
      </w:r>
      <w:r>
        <w:rPr>
          <w:rFonts w:ascii="Arial" w:cs="Arial" w:eastAsia="Arial" w:hAnsi="Arial"/>
          <w:sz w:val="21"/>
          <w:szCs w:val="21"/>
          <w:color w:val="auto"/>
        </w:rPr>
        <w:t>, which was approved by the Compensation Committee in April 2019 for the purposes of this Analysis.</w:t>
      </w:r>
    </w:p>
    <w:p>
      <w:pPr>
        <w:spacing w:after="0" w:line="203"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Compensation Data from Published Compensation Surveys</w:t>
      </w:r>
    </w:p>
    <w:p>
      <w:pPr>
        <w:spacing w:after="0" w:line="105" w:lineRule="exact"/>
        <w:rPr>
          <w:sz w:val="20"/>
          <w:szCs w:val="20"/>
          <w:color w:val="auto"/>
        </w:rPr>
      </w:pPr>
    </w:p>
    <w:p>
      <w:pPr>
        <w:ind w:left="1040" w:right="260"/>
        <w:spacing w:after="0" w:line="223" w:lineRule="auto"/>
        <w:rPr>
          <w:sz w:val="20"/>
          <w:szCs w:val="20"/>
          <w:color w:val="auto"/>
        </w:rPr>
      </w:pPr>
      <w:r>
        <w:rPr>
          <w:rFonts w:ascii="Arial" w:cs="Arial" w:eastAsia="Arial" w:hAnsi="Arial"/>
          <w:sz w:val="17"/>
          <w:szCs w:val="17"/>
          <w:color w:val="auto"/>
        </w:rPr>
        <w:t>Compensation data from published compensation surveys focused on comparably sized organizations in the utility sector and general industry sector (for “cross industry” positions)</w:t>
      </w:r>
      <w:r>
        <w:rPr>
          <w:rFonts w:ascii="Arial" w:cs="Arial" w:eastAsia="Arial" w:hAnsi="Arial"/>
          <w:sz w:val="25"/>
          <w:szCs w:val="25"/>
          <w:color w:val="auto"/>
          <w:vertAlign w:val="superscript"/>
        </w:rPr>
        <w:t>10</w:t>
      </w:r>
      <w:r>
        <w:rPr>
          <w:rFonts w:ascii="Arial" w:cs="Arial" w:eastAsia="Arial" w:hAnsi="Arial"/>
          <w:sz w:val="17"/>
          <w:szCs w:val="17"/>
          <w:color w:val="auto"/>
        </w:rPr>
        <w:t>. Published survey data were size adjusted based on revenue, employee regression and/or scope parameters. Because the surveys are confidential, the specific data selected by Willis Towers did not indicate survey participants by company name.</w:t>
      </w:r>
    </w:p>
    <w:p>
      <w:pPr>
        <w:spacing w:after="0" w:line="213"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auto"/>
        </w:rPr>
        <w:t>Compensation Data from Proxy Filings</w:t>
      </w:r>
    </w:p>
    <w:p>
      <w:pPr>
        <w:spacing w:after="0" w:line="105" w:lineRule="exact"/>
        <w:rPr>
          <w:sz w:val="20"/>
          <w:szCs w:val="20"/>
          <w:color w:val="auto"/>
        </w:rPr>
      </w:pPr>
    </w:p>
    <w:p>
      <w:pPr>
        <w:ind w:left="1040"/>
        <w:spacing w:after="0" w:line="259" w:lineRule="auto"/>
        <w:rPr>
          <w:sz w:val="20"/>
          <w:szCs w:val="20"/>
          <w:color w:val="auto"/>
        </w:rPr>
      </w:pPr>
      <w:r>
        <w:rPr>
          <w:rFonts w:ascii="Arial" w:cs="Arial" w:eastAsia="Arial" w:hAnsi="Arial"/>
          <w:sz w:val="17"/>
          <w:szCs w:val="17"/>
          <w:color w:val="auto"/>
        </w:rPr>
        <w:t>Compensation data was also extracted from the 2019 Peer Group proxy filings. The Compensation Committee used this data to analyze only the CEO’s and CFO’s compensation, with the objective of ensuring that CEO and CFO total compensation was reasonable, competitive and consistent with pay practices at peer companies.</w:t>
      </w:r>
    </w:p>
    <w:p>
      <w:pPr>
        <w:spacing w:after="0" w:line="150" w:lineRule="exact"/>
        <w:rPr>
          <w:sz w:val="20"/>
          <w:szCs w:val="20"/>
          <w:color w:val="auto"/>
        </w:rPr>
      </w:pPr>
    </w:p>
    <w:p>
      <w:pPr>
        <w:ind w:left="640" w:right="340"/>
        <w:spacing w:after="0" w:line="243" w:lineRule="auto"/>
        <w:rPr>
          <w:sz w:val="20"/>
          <w:szCs w:val="20"/>
          <w:color w:val="auto"/>
        </w:rPr>
      </w:pPr>
      <w:r>
        <w:rPr>
          <w:rFonts w:ascii="Arial" w:cs="Arial" w:eastAsia="Arial" w:hAnsi="Arial"/>
          <w:sz w:val="21"/>
          <w:szCs w:val="21"/>
          <w:color w:val="auto"/>
        </w:rPr>
        <w:t>Published compensation surveys generally provide a broader sample of data upon which to base compensation decisions, which is essential when analyzing a large number of positions, as was the case with the 2019 Compensation Analysis. Data from peer company proxy filings generally validate published survey information with definitive executive compensation data from specific companies.</w:t>
      </w:r>
    </w:p>
    <w:p>
      <w:pPr>
        <w:spacing w:after="0" w:line="165" w:lineRule="exact"/>
        <w:rPr>
          <w:sz w:val="20"/>
          <w:szCs w:val="20"/>
          <w:color w:val="auto"/>
        </w:rPr>
      </w:pPr>
    </w:p>
    <w:p>
      <w:pPr>
        <w:ind w:left="640" w:right="360"/>
        <w:spacing w:after="0"/>
        <w:rPr>
          <w:sz w:val="20"/>
          <w:szCs w:val="20"/>
          <w:color w:val="auto"/>
        </w:rPr>
      </w:pPr>
      <w:r>
        <w:rPr>
          <w:rFonts w:ascii="Arial" w:cs="Arial" w:eastAsia="Arial" w:hAnsi="Arial"/>
          <w:sz w:val="21"/>
          <w:szCs w:val="21"/>
          <w:color w:val="auto"/>
        </w:rPr>
        <w:t>The 2019 Compensation Analysis allowed the Committee to gain a greater understanding of then current compensation in the context of market practices, establish a benchmark upon which to base its compensation decisions for compensation years 2020 through 2024, and accurately assess the competitiveness of each executive officer’s, including the CEO’s and CFO’s, overall compensation and alignment with the Committee’s Compensation Philosophy.</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Salary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Our Salary Administration Policy has three objectives:</w:t>
      </w:r>
    </w:p>
    <w:p>
      <w:pPr>
        <w:spacing w:after="0" w:line="200" w:lineRule="exact"/>
        <w:rPr>
          <w:sz w:val="20"/>
          <w:szCs w:val="20"/>
          <w:color w:val="auto"/>
        </w:rPr>
      </w:pPr>
    </w:p>
    <w:p>
      <w:pPr>
        <w:spacing w:after="0" w:line="377" w:lineRule="exact"/>
        <w:rPr>
          <w:sz w:val="20"/>
          <w:szCs w:val="20"/>
          <w:color w:val="auto"/>
        </w:rPr>
      </w:pPr>
    </w:p>
    <w:p>
      <w:pPr>
        <w:ind w:left="1420" w:right="240"/>
        <w:spacing w:after="0" w:line="264" w:lineRule="auto"/>
        <w:rPr>
          <w:sz w:val="20"/>
          <w:szCs w:val="20"/>
          <w:color w:val="auto"/>
        </w:rPr>
      </w:pPr>
      <w:r>
        <w:rPr>
          <w:rFonts w:ascii="Arial" w:cs="Arial" w:eastAsia="Arial" w:hAnsi="Arial"/>
          <w:sz w:val="21"/>
          <w:szCs w:val="21"/>
          <w:color w:val="auto"/>
        </w:rPr>
        <w:t>to provide a compensation program equal to or better than the median of compensation programs provided by geographically comparable businesses;</w:t>
      </w:r>
    </w:p>
    <w:p>
      <w:pPr>
        <w:spacing w:after="0" w:line="53" w:lineRule="exact"/>
        <w:rPr>
          <w:sz w:val="20"/>
          <w:szCs w:val="20"/>
          <w:color w:val="auto"/>
        </w:rPr>
      </w:pPr>
    </w:p>
    <w:p>
      <w:pPr>
        <w:ind w:left="1420" w:right="40"/>
        <w:spacing w:after="0" w:line="264" w:lineRule="auto"/>
        <w:rPr>
          <w:sz w:val="20"/>
          <w:szCs w:val="20"/>
          <w:color w:val="auto"/>
        </w:rPr>
      </w:pPr>
      <w:r>
        <w:rPr>
          <w:rFonts w:ascii="Arial" w:cs="Arial" w:eastAsia="Arial" w:hAnsi="Arial"/>
          <w:sz w:val="21"/>
          <w:szCs w:val="21"/>
          <w:color w:val="auto"/>
        </w:rPr>
        <w:t>to manage base salaries in a manner that recognizes and appropriately rewards performance within prescribed budgetary limits;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67310</wp:posOffset>
            </wp:positionV>
            <wp:extent cx="20218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44" w:lineRule="exact"/>
        <w:rPr>
          <w:sz w:val="20"/>
          <w:szCs w:val="20"/>
          <w:color w:val="auto"/>
        </w:rPr>
      </w:pPr>
    </w:p>
    <w:p>
      <w:pPr>
        <w:ind w:left="820" w:hanging="186"/>
        <w:spacing w:after="0"/>
        <w:tabs>
          <w:tab w:leader="none" w:pos="82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The 2019 selected group includes ALLETE, Inc., Avista Corporation, Chesapeake Utilities Corporation, El Paso Electric Company, Genie</w:t>
      </w:r>
    </w:p>
    <w:p>
      <w:pPr>
        <w:ind w:left="820" w:right="320"/>
        <w:spacing w:after="0" w:line="234" w:lineRule="auto"/>
        <w:rPr>
          <w:sz w:val="20"/>
          <w:szCs w:val="20"/>
          <w:color w:val="auto"/>
        </w:rPr>
      </w:pPr>
      <w:r>
        <w:rPr>
          <w:rFonts w:ascii="Arial" w:cs="Arial" w:eastAsia="Arial" w:hAnsi="Arial"/>
          <w:sz w:val="16"/>
          <w:szCs w:val="16"/>
          <w:color w:val="auto"/>
        </w:rPr>
        <w:t>Energy, Ltd., MGE Energy, Inc., Northwestern Corporation, Northwest Natural Gas Company, ONE Gas, Inc., Otter Tail Corporation, PNM Resources, Inc., Pattern Energy Group, Inc., South Jersey Industries, Inc.</w:t>
      </w:r>
    </w:p>
    <w:p>
      <w:pPr>
        <w:spacing w:after="0" w:line="1" w:lineRule="exact"/>
        <w:rPr>
          <w:sz w:val="20"/>
          <w:szCs w:val="20"/>
          <w:color w:val="auto"/>
        </w:rPr>
      </w:pPr>
    </w:p>
    <w:p>
      <w:pPr>
        <w:ind w:left="820" w:right="100" w:hanging="186"/>
        <w:spacing w:after="0" w:line="211" w:lineRule="auto"/>
        <w:tabs>
          <w:tab w:leader="none" w:pos="82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The primary sources of data were the Willis Towers Watson CDB Executive Energy Services and General Industry Compensation Databases that provide market compensation data on over 1,000 U.S. organizations, as well as other published survey sources including the Mercer Executive Compensation Survey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151765</wp:posOffset>
            </wp:positionV>
            <wp:extent cx="6337300" cy="908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620"/>
          </w:cols>
          <w:pgMar w:left="320" w:top="470" w:right="9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1420" w:right="40"/>
        <w:spacing w:after="0" w:line="264" w:lineRule="auto"/>
        <w:rPr>
          <w:sz w:val="20"/>
          <w:szCs w:val="20"/>
          <w:color w:val="auto"/>
        </w:rPr>
      </w:pPr>
      <w:r>
        <w:rPr>
          <w:rFonts w:ascii="Arial" w:cs="Arial" w:eastAsia="Arial" w:hAnsi="Arial"/>
          <w:sz w:val="21"/>
          <w:szCs w:val="21"/>
          <w:color w:val="auto"/>
        </w:rPr>
        <w:t>to provide base salary opportunities that are competitive with external pay practices for substantially comparable work.</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Salary Administration Policy includes three important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5398770</wp:posOffset>
            </wp:positionH>
            <wp:positionV relativeFrom="paragraph">
              <wp:posOffset>86360</wp:posOffset>
            </wp:positionV>
            <wp:extent cx="1204595" cy="19640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04595" cy="1964055"/>
                    </a:xfrm>
                    <a:prstGeom prst="rect">
                      <a:avLst/>
                    </a:prstGeom>
                    <a:noFill/>
                  </pic:spPr>
                </pic:pic>
              </a:graphicData>
            </a:graphic>
          </wp:anchor>
        </w:drawing>
      </w:r>
    </w:p>
    <w:p>
      <w:pPr>
        <w:spacing w:after="0" w:line="167" w:lineRule="exact"/>
        <w:rPr>
          <w:sz w:val="20"/>
          <w:szCs w:val="20"/>
          <w:color w:val="auto"/>
        </w:rPr>
      </w:pPr>
    </w:p>
    <w:p>
      <w:pPr>
        <w:ind w:left="1040"/>
        <w:spacing w:after="0"/>
        <w:rPr>
          <w:sz w:val="20"/>
          <w:szCs w:val="20"/>
          <w:color w:val="auto"/>
        </w:rPr>
      </w:pPr>
      <w:r>
        <w:rPr>
          <w:rFonts w:ascii="Arial" w:cs="Arial" w:eastAsia="Arial" w:hAnsi="Arial"/>
          <w:sz w:val="21"/>
          <w:szCs w:val="21"/>
          <w:b w:val="1"/>
          <w:bCs w:val="1"/>
          <w:color w:val="auto"/>
        </w:rPr>
        <w:t>Job Description</w:t>
      </w:r>
    </w:p>
    <w:p>
      <w:pPr>
        <w:spacing w:after="0" w:line="18" w:lineRule="exact"/>
        <w:rPr>
          <w:sz w:val="20"/>
          <w:szCs w:val="20"/>
          <w:color w:val="auto"/>
        </w:rPr>
      </w:pPr>
    </w:p>
    <w:p>
      <w:pPr>
        <w:ind w:left="1040" w:right="3080"/>
        <w:spacing w:after="0" w:line="246" w:lineRule="auto"/>
        <w:rPr>
          <w:sz w:val="20"/>
          <w:szCs w:val="20"/>
          <w:color w:val="auto"/>
        </w:rPr>
      </w:pPr>
      <w:r>
        <w:rPr>
          <w:rFonts w:ascii="Arial" w:cs="Arial" w:eastAsia="Arial" w:hAnsi="Arial"/>
          <w:sz w:val="17"/>
          <w:szCs w:val="17"/>
          <w:color w:val="auto"/>
        </w:rPr>
        <w:t>Every employee of the Company has a job description that represents his or her position within the Company. All job descriptions are written using a requisite format describing the position purpose, principal accountabilities, competencies, challenges, decision-making authority, qualifications, and scope and quantitative dimensions.</w:t>
      </w:r>
    </w:p>
    <w:p>
      <w:pPr>
        <w:spacing w:after="0" w:line="148" w:lineRule="exact"/>
        <w:rPr>
          <w:sz w:val="20"/>
          <w:szCs w:val="20"/>
          <w:color w:val="auto"/>
        </w:rPr>
      </w:pPr>
    </w:p>
    <w:p>
      <w:pPr>
        <w:ind w:left="1040"/>
        <w:spacing w:after="0"/>
        <w:rPr>
          <w:sz w:val="20"/>
          <w:szCs w:val="20"/>
          <w:color w:val="auto"/>
        </w:rPr>
      </w:pPr>
      <w:r>
        <w:rPr>
          <w:rFonts w:ascii="Arial" w:cs="Arial" w:eastAsia="Arial" w:hAnsi="Arial"/>
          <w:sz w:val="21"/>
          <w:szCs w:val="21"/>
          <w:b w:val="1"/>
          <w:bCs w:val="1"/>
          <w:color w:val="auto"/>
        </w:rPr>
        <w:t>Job Evaluation</w:t>
      </w:r>
    </w:p>
    <w:p>
      <w:pPr>
        <w:spacing w:after="0" w:line="18" w:lineRule="exact"/>
        <w:rPr>
          <w:sz w:val="20"/>
          <w:szCs w:val="20"/>
          <w:color w:val="auto"/>
        </w:rPr>
      </w:pPr>
    </w:p>
    <w:p>
      <w:pPr>
        <w:ind w:left="1040" w:right="2820"/>
        <w:spacing w:after="0" w:line="242" w:lineRule="auto"/>
        <w:rPr>
          <w:sz w:val="20"/>
          <w:szCs w:val="20"/>
          <w:color w:val="auto"/>
        </w:rPr>
      </w:pPr>
      <w:r>
        <w:rPr>
          <w:rFonts w:ascii="Arial" w:cs="Arial" w:eastAsia="Arial" w:hAnsi="Arial"/>
          <w:sz w:val="17"/>
          <w:szCs w:val="17"/>
          <w:color w:val="auto"/>
        </w:rPr>
        <w:t xml:space="preserve">We use a variety of published salary sources and survey data to assist in the review and evaluation of non-executive, non-union job descriptions in order to confirm reasonable and appropriate base compensation for each position. See also the section entitled </w:t>
      </w:r>
      <w:r>
        <w:rPr>
          <w:rFonts w:ascii="Arial" w:cs="Arial" w:eastAsia="Arial" w:hAnsi="Arial"/>
          <w:sz w:val="17"/>
          <w:szCs w:val="17"/>
          <w:i w:val="1"/>
          <w:iCs w:val="1"/>
          <w:color w:val="auto"/>
        </w:rPr>
        <w:t xml:space="preserve">Compensation - Base Salary </w:t>
      </w:r>
      <w:r>
        <w:rPr>
          <w:rFonts w:ascii="Arial" w:cs="Arial" w:eastAsia="Arial" w:hAnsi="Arial"/>
          <w:sz w:val="17"/>
          <w:szCs w:val="17"/>
          <w:color w:val="auto"/>
        </w:rPr>
        <w:t>below. This practice provides for internal equity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positions as well as external comparability with other companies. The end result of the job evaluation process is that each job is assigned a pay grade that translates into a salary range. Executive level positions (including the Named Executive Officers) are reviewed and evaluated independently by Willis Towers.</w:t>
      </w:r>
    </w:p>
    <w:p>
      <w:pPr>
        <w:spacing w:after="0" w:line="178" w:lineRule="exact"/>
        <w:rPr>
          <w:sz w:val="20"/>
          <w:szCs w:val="20"/>
          <w:color w:val="auto"/>
        </w:rPr>
      </w:pPr>
    </w:p>
    <w:p>
      <w:pPr>
        <w:ind w:left="1040"/>
        <w:spacing w:after="0"/>
        <w:rPr>
          <w:sz w:val="20"/>
          <w:szCs w:val="20"/>
          <w:color w:val="auto"/>
        </w:rPr>
      </w:pPr>
      <w:r>
        <w:rPr>
          <w:rFonts w:ascii="Arial" w:cs="Arial" w:eastAsia="Arial" w:hAnsi="Arial"/>
          <w:sz w:val="21"/>
          <w:szCs w:val="21"/>
          <w:b w:val="1"/>
          <w:bCs w:val="1"/>
          <w:color w:val="auto"/>
        </w:rPr>
        <w:t>Market Analysis &amp; Salary Range</w:t>
      </w:r>
    </w:p>
    <w:p>
      <w:pPr>
        <w:spacing w:after="0" w:line="18" w:lineRule="exact"/>
        <w:rPr>
          <w:sz w:val="20"/>
          <w:szCs w:val="20"/>
          <w:color w:val="auto"/>
        </w:rPr>
      </w:pPr>
    </w:p>
    <w:p>
      <w:pPr>
        <w:ind w:left="1040" w:right="60"/>
        <w:spacing w:after="0" w:line="241" w:lineRule="auto"/>
        <w:rPr>
          <w:sz w:val="20"/>
          <w:szCs w:val="20"/>
          <w:color w:val="auto"/>
        </w:rPr>
      </w:pPr>
      <w:r>
        <w:rPr>
          <w:rFonts w:ascii="Arial" w:cs="Arial" w:eastAsia="Arial" w:hAnsi="Arial"/>
          <w:sz w:val="17"/>
          <w:szCs w:val="17"/>
          <w:color w:val="auto"/>
        </w:rPr>
        <w:t>We participate in numerous salary market studies to ensure that the competitiveness of base salaries is maintained. We adjust the salary ranges each year based upon the results of these surveys to ensure that we maintain our salary ranges at the median market level. Historically, the salary ranges have been adjusted by approximately 2 - 4 % annually based on market survey data. The midpoint of the base salary range is set at the median level of the broad-based published compensation survey group when compared to similar positions at comparable companies. The minimum in the salary range is determined by multiplying the midpoint by 80%, and the maximum is determined by multiplying the midpoint by 120%. In general, the salary range minimum is commonly the lowest amount we will pay a new employee in the job, with the aim of employees reaching the midpoint of the range within five years. The midpoint is where we strive to pay fully trained, fully competent employees. The midpoint to maximum range is where high-performing employees and long-term employees tend to be paid. Exceptions are occasionally made based on experience, skills, education, and other factors.</w:t>
      </w:r>
    </w:p>
    <w:p>
      <w:pPr>
        <w:spacing w:after="0" w:line="380"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37" w:lineRule="exact"/>
        <w:rPr>
          <w:sz w:val="20"/>
          <w:szCs w:val="20"/>
          <w:color w:val="auto"/>
        </w:rPr>
      </w:pPr>
    </w:p>
    <w:p>
      <w:pPr>
        <w:ind w:left="640" w:right="80"/>
        <w:spacing w:after="0"/>
        <w:rPr>
          <w:sz w:val="20"/>
          <w:szCs w:val="20"/>
          <w:color w:val="auto"/>
        </w:rPr>
      </w:pPr>
      <w:r>
        <w:rPr>
          <w:rFonts w:ascii="Arial" w:cs="Arial" w:eastAsia="Arial" w:hAnsi="Arial"/>
          <w:sz w:val="21"/>
          <w:szCs w:val="21"/>
          <w:color w:val="auto"/>
        </w:rPr>
        <w:t>We set base salary ranges for every job grade and position based upon salary survey data provided by Willis Towers and in accordance with the Salary Administration Policy described above. In relation to each Named Executive Officer, base salary is set within the salary range based upon individual experience, skills, and education, as well as performance relative to individual annual goals. This process is used for both executive and non-executive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149225</wp:posOffset>
            </wp:positionV>
            <wp:extent cx="6337300" cy="908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620"/>
          </w:cols>
          <w:pgMar w:left="320" w:top="470" w:right="9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Short-Term Incentive Compensation – Cash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37" w:lineRule="exact"/>
        <w:rPr>
          <w:sz w:val="20"/>
          <w:szCs w:val="20"/>
          <w:color w:val="auto"/>
        </w:rPr>
      </w:pPr>
    </w:p>
    <w:p>
      <w:pPr>
        <w:ind w:left="640" w:right="120"/>
        <w:spacing w:after="0" w:line="236" w:lineRule="auto"/>
        <w:rPr>
          <w:sz w:val="20"/>
          <w:szCs w:val="20"/>
          <w:color w:val="auto"/>
        </w:rPr>
      </w:pPr>
      <w:r>
        <w:rPr>
          <w:rFonts w:ascii="Arial" w:cs="Arial" w:eastAsia="Arial" w:hAnsi="Arial"/>
          <w:sz w:val="21"/>
          <w:szCs w:val="21"/>
          <w:color w:val="auto"/>
        </w:rPr>
        <w:t>We set annual target cash incentive awards equal to the median of the broad-based published compensation survey group for the executive officers’ target cash incentive awards at other comparable companies based on data provided by Willis Towers. The Committee also used information from the proxy statements of our peer group, at the 25</w:t>
      </w:r>
      <w:r>
        <w:rPr>
          <w:rFonts w:ascii="Arial" w:cs="Arial" w:eastAsia="Arial" w:hAnsi="Arial"/>
          <w:sz w:val="15"/>
          <w:szCs w:val="15"/>
          <w:color w:val="auto"/>
        </w:rPr>
        <w:t>th</w:t>
      </w:r>
      <w:r>
        <w:rPr>
          <w:rFonts w:ascii="Arial" w:cs="Arial" w:eastAsia="Arial" w:hAnsi="Arial"/>
          <w:sz w:val="21"/>
          <w:szCs w:val="21"/>
          <w:color w:val="auto"/>
        </w:rPr>
        <w:t xml:space="preserve"> percentile target, as a secondary source to set the CEO’s and CFO’s annual target cash incentive award. We have developed a “balanced score card” approach to setting goals for the annual incentive awards, which includes certain goals from the Strategic Plan that represent success in financial results, electric reliability, gas safety, customer service and distribution cost per customer. The Compensation Committee approves the quantitative goals, also referred to as performance metrics, for these awards annually. See the section entitled </w:t>
      </w:r>
      <w:r>
        <w:rPr>
          <w:rFonts w:ascii="Arial" w:cs="Arial" w:eastAsia="Arial" w:hAnsi="Arial"/>
          <w:sz w:val="21"/>
          <w:szCs w:val="21"/>
          <w:i w:val="1"/>
          <w:iCs w:val="1"/>
          <w:color w:val="auto"/>
        </w:rPr>
        <w:t>Compensation - Compensation Discussion and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Analysis — Elements of Compensation </w:t>
      </w:r>
      <w:r>
        <w:rPr>
          <w:rFonts w:ascii="Arial" w:cs="Arial" w:eastAsia="Arial" w:hAnsi="Arial"/>
          <w:sz w:val="21"/>
          <w:szCs w:val="21"/>
          <w:color w:val="auto"/>
        </w:rPr>
        <w:t>for a discussion of the balanced score card.</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Long-Term Incentive Compensation –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50" w:lineRule="exact"/>
        <w:rPr>
          <w:sz w:val="20"/>
          <w:szCs w:val="20"/>
          <w:color w:val="auto"/>
        </w:rPr>
      </w:pPr>
    </w:p>
    <w:p>
      <w:pPr>
        <w:ind w:left="640" w:right="60"/>
        <w:spacing w:after="0" w:line="236" w:lineRule="auto"/>
        <w:rPr>
          <w:sz w:val="20"/>
          <w:szCs w:val="20"/>
          <w:color w:val="auto"/>
        </w:rPr>
      </w:pPr>
      <w:r>
        <w:rPr>
          <w:rFonts w:ascii="Arial" w:cs="Arial" w:eastAsia="Arial" w:hAnsi="Arial"/>
          <w:sz w:val="21"/>
          <w:szCs w:val="21"/>
          <w:color w:val="auto"/>
        </w:rPr>
        <w:t>We grant shares of restricted stock to selected management participants in the Third Amended Stock Plan generally on an annual basis. The size of the annual restricted stock award (the “target award”) is based upon the midpoint of the participant’s salary grade, multiplied by the participant’s salary grade multiplier (i.e., the equity compensation opportunity percentage), divided by the 30-day average stock price of our common stock</w:t>
      </w:r>
      <w:r>
        <w:rPr>
          <w:rFonts w:ascii="Arial" w:cs="Arial" w:eastAsia="Arial" w:hAnsi="Arial"/>
          <w:sz w:val="15"/>
          <w:szCs w:val="15"/>
          <w:color w:val="auto"/>
        </w:rPr>
        <w:t>11</w:t>
      </w:r>
      <w:r>
        <w:rPr>
          <w:rFonts w:ascii="Arial" w:cs="Arial" w:eastAsia="Arial" w:hAnsi="Arial"/>
          <w:sz w:val="21"/>
          <w:szCs w:val="21"/>
          <w:color w:val="auto"/>
        </w:rPr>
        <w:t>, less the percentage of anticipated Federal and Medicare taxes to equal the number of shares to be granted. The salary grade multiplier is based on research data provided by Willis Towers in their competitive assessment (the “Assessment”) of long-term incentive compensation (“LTI”) program design conducted in 2021. Willis Towers incorporated information from the proxy statements of our peer group into the Assessment as a benchmark to set the salary grade multiplier.</w:t>
      </w:r>
    </w:p>
    <w:p>
      <w:pPr>
        <w:spacing w:after="0" w:line="176" w:lineRule="exact"/>
        <w:rPr>
          <w:sz w:val="20"/>
          <w:szCs w:val="20"/>
          <w:color w:val="auto"/>
        </w:rPr>
      </w:pPr>
    </w:p>
    <w:p>
      <w:pPr>
        <w:ind w:left="640" w:right="80"/>
        <w:spacing w:after="0" w:line="243" w:lineRule="auto"/>
        <w:rPr>
          <w:sz w:val="20"/>
          <w:szCs w:val="20"/>
          <w:color w:val="auto"/>
        </w:rPr>
      </w:pPr>
      <w:r>
        <w:rPr>
          <w:rFonts w:ascii="Arial" w:cs="Arial" w:eastAsia="Arial" w:hAnsi="Arial"/>
          <w:sz w:val="21"/>
          <w:szCs w:val="21"/>
          <w:color w:val="auto"/>
        </w:rPr>
        <w:t>All Named Executive Officers are required to hold all forms of equity, vested or unvested, received as compensation until retirement or other separation from Unitil. The Board, in its sole discretion, may approve a waiver to this policy as circumstances may warrant. However, to date, no such waiver has been requested or granted.</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Performance-Related Incentive Compensation</w:t>
      </w:r>
    </w:p>
    <w:p>
      <w:pPr>
        <w:spacing w:after="0" w:line="12" w:lineRule="exact"/>
        <w:rPr>
          <w:sz w:val="20"/>
          <w:szCs w:val="20"/>
          <w:color w:val="auto"/>
        </w:rPr>
      </w:pPr>
    </w:p>
    <w:p>
      <w:pPr>
        <w:ind w:left="640" w:right="280"/>
        <w:spacing w:after="0" w:line="236" w:lineRule="auto"/>
        <w:rPr>
          <w:sz w:val="20"/>
          <w:szCs w:val="20"/>
          <w:color w:val="auto"/>
        </w:rPr>
      </w:pPr>
      <w:r>
        <w:rPr>
          <w:rFonts w:ascii="Arial" w:cs="Arial" w:eastAsia="Arial" w:hAnsi="Arial"/>
          <w:sz w:val="21"/>
          <w:szCs w:val="21"/>
          <w:color w:val="auto"/>
        </w:rPr>
        <w:t xml:space="preserve">In addition to individual performance, overall Company performance is a critical component in the determination of how each individual executive is paid relative to the market median of the broad-based published compensation survey group, as described above. See also the section entitled </w:t>
      </w:r>
      <w:r>
        <w:rPr>
          <w:rFonts w:ascii="Arial" w:cs="Arial" w:eastAsia="Arial" w:hAnsi="Arial"/>
          <w:sz w:val="21"/>
          <w:szCs w:val="21"/>
          <w:i w:val="1"/>
          <w:iCs w:val="1"/>
          <w:color w:val="auto"/>
        </w:rPr>
        <w:t>Compensation –</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Compensation of Named Executive Officers – Proportional Compensation </w:t>
      </w:r>
      <w:r>
        <w:rPr>
          <w:rFonts w:ascii="Arial" w:cs="Arial" w:eastAsia="Arial" w:hAnsi="Arial"/>
          <w:sz w:val="21"/>
          <w:szCs w:val="21"/>
          <w:color w:val="auto"/>
        </w:rPr>
        <w:t>for additional information on</w:t>
      </w:r>
      <w:r>
        <w:rPr>
          <w:rFonts w:ascii="Arial" w:cs="Arial" w:eastAsia="Arial" w:hAnsi="Arial"/>
          <w:sz w:val="21"/>
          <w:szCs w:val="21"/>
          <w:i w:val="1"/>
          <w:iCs w:val="1"/>
          <w:color w:val="auto"/>
        </w:rPr>
        <w:t xml:space="preserve"> </w:t>
      </w:r>
      <w:r>
        <w:rPr>
          <w:rFonts w:ascii="Arial" w:cs="Arial" w:eastAsia="Arial" w:hAnsi="Arial"/>
          <w:sz w:val="21"/>
          <w:szCs w:val="21"/>
          <w:color w:val="auto"/>
        </w:rPr>
        <w:t>performance-related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83185</wp:posOffset>
            </wp:positionV>
            <wp:extent cx="20218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138" w:lineRule="exact"/>
        <w:rPr>
          <w:sz w:val="20"/>
          <w:szCs w:val="20"/>
          <w:color w:val="auto"/>
        </w:rPr>
      </w:pPr>
    </w:p>
    <w:p>
      <w:pPr>
        <w:ind w:left="820" w:right="100" w:hanging="186"/>
        <w:spacing w:after="0" w:line="207" w:lineRule="auto"/>
        <w:tabs>
          <w:tab w:leader="none" w:pos="820" w:val="left"/>
        </w:tabs>
        <w:numPr>
          <w:ilvl w:val="0"/>
          <w:numId w:val="39"/>
        </w:numPr>
        <w:rPr>
          <w:rFonts w:ascii="Arial" w:cs="Arial" w:eastAsia="Arial" w:hAnsi="Arial"/>
          <w:sz w:val="23"/>
          <w:szCs w:val="23"/>
          <w:color w:val="auto"/>
          <w:vertAlign w:val="superscript"/>
        </w:rPr>
      </w:pPr>
      <w:r>
        <w:rPr>
          <w:rFonts w:ascii="Arial" w:cs="Arial" w:eastAsia="Arial" w:hAnsi="Arial"/>
          <w:sz w:val="16"/>
          <w:szCs w:val="16"/>
          <w:color w:val="auto"/>
        </w:rPr>
        <w:t>Generally, the 30-day average stock price is calculated using the Unitil common stock closing price from (approximately) December 15 of the prior year through January 15 of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149860</wp:posOffset>
            </wp:positionV>
            <wp:extent cx="6337300" cy="908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620"/>
          </w:cols>
          <w:pgMar w:left="320" w:top="470" w:right="9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3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Summary</w:t>
      </w:r>
    </w:p>
    <w:p>
      <w:pPr>
        <w:spacing w:after="0" w:line="96" w:lineRule="exact"/>
        <w:rPr>
          <w:sz w:val="20"/>
          <w:szCs w:val="20"/>
          <w:color w:val="auto"/>
        </w:rPr>
      </w:pPr>
    </w:p>
    <w:p>
      <w:pPr>
        <w:ind w:left="640" w:right="180"/>
        <w:spacing w:after="0" w:line="243" w:lineRule="auto"/>
        <w:rPr>
          <w:sz w:val="20"/>
          <w:szCs w:val="20"/>
          <w:color w:val="auto"/>
        </w:rPr>
      </w:pPr>
      <w:r>
        <w:rPr>
          <w:rFonts w:ascii="Arial" w:cs="Arial" w:eastAsia="Arial" w:hAnsi="Arial"/>
          <w:sz w:val="21"/>
          <w:szCs w:val="21"/>
          <w:color w:val="auto"/>
        </w:rPr>
        <w:t>As required by the Dodd-Frank Wall Street Reform and Consumer Protection Act of 2010 (the “Dodd-Frank Act”), the SEC adopted a rule requiring us to disclose the ratio of the median employee’s annual total compensation to the total annual compensation of the principal executive officer on an annual basis. Our principal executive officer is Mr. Meissner (the “CEO”).</w:t>
      </w:r>
    </w:p>
    <w:p>
      <w:pPr>
        <w:spacing w:after="0" w:line="166" w:lineRule="exact"/>
        <w:rPr>
          <w:sz w:val="20"/>
          <w:szCs w:val="20"/>
          <w:color w:val="auto"/>
        </w:rPr>
      </w:pPr>
    </w:p>
    <w:p>
      <w:pPr>
        <w:ind w:left="640" w:right="20"/>
        <w:spacing w:after="0" w:line="243" w:lineRule="auto"/>
        <w:rPr>
          <w:sz w:val="20"/>
          <w:szCs w:val="20"/>
          <w:color w:val="auto"/>
        </w:rPr>
      </w:pPr>
      <w:r>
        <w:rPr>
          <w:rFonts w:ascii="Arial" w:cs="Arial" w:eastAsia="Arial" w:hAnsi="Arial"/>
          <w:sz w:val="21"/>
          <w:szCs w:val="21"/>
          <w:color w:val="auto"/>
        </w:rPr>
        <w:t>We believe the compensation program and salary administration policy should be consistent and internally equitable to motivate all employees to perform in ways that enhance shareholder value. We also believe that our compensation philosophy and processes yield an equitable result for all employees, which is reflected in the resulting ratio.</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Methodology</w:t>
      </w:r>
    </w:p>
    <w:p>
      <w:pPr>
        <w:spacing w:after="0" w:line="12" w:lineRule="exact"/>
        <w:rPr>
          <w:sz w:val="20"/>
          <w:szCs w:val="20"/>
          <w:color w:val="auto"/>
        </w:rPr>
      </w:pPr>
    </w:p>
    <w:p>
      <w:pPr>
        <w:ind w:left="640" w:right="60"/>
        <w:spacing w:after="0" w:line="237" w:lineRule="auto"/>
        <w:rPr>
          <w:sz w:val="20"/>
          <w:szCs w:val="20"/>
          <w:color w:val="auto"/>
        </w:rPr>
      </w:pPr>
      <w:r>
        <w:rPr>
          <w:rFonts w:ascii="Arial" w:cs="Arial" w:eastAsia="Arial" w:hAnsi="Arial"/>
          <w:sz w:val="21"/>
          <w:szCs w:val="21"/>
          <w:color w:val="auto"/>
        </w:rPr>
        <w:t>To reasonably identify the median employee, we prepared a list of all active employees (excluding the CEO) as of December 31, 2025. The list included part-time employees. As of December 31, 2025, we employed 595 people of which 403 were non-union employees and 192 were union employees covered by a collective bargaining agreement.</w:t>
      </w:r>
    </w:p>
    <w:p>
      <w:pPr>
        <w:spacing w:after="0" w:line="170" w:lineRule="exact"/>
        <w:rPr>
          <w:sz w:val="20"/>
          <w:szCs w:val="20"/>
          <w:color w:val="auto"/>
        </w:rPr>
      </w:pPr>
    </w:p>
    <w:p>
      <w:pPr>
        <w:ind w:left="640" w:right="20"/>
        <w:spacing w:after="0" w:line="253" w:lineRule="auto"/>
        <w:rPr>
          <w:sz w:val="20"/>
          <w:szCs w:val="20"/>
          <w:color w:val="auto"/>
        </w:rPr>
      </w:pPr>
      <w:r>
        <w:rPr>
          <w:rFonts w:ascii="Arial" w:cs="Arial" w:eastAsia="Arial" w:hAnsi="Arial"/>
          <w:sz w:val="20"/>
          <w:szCs w:val="20"/>
          <w:color w:val="auto"/>
        </w:rPr>
        <w:t xml:space="preserve">Next, we extracted the taxable wages number reported in Box 1 of the 2025 Form W-2 from our payroll records for each employee, excluding the CEO. We did not annualize wages and salaries for those employees who were not employed for the full year of 2025. The median employee was then identified based on taxable wages as reported on Form W-2. Once identified, we calculated the median employee’s total annual compensation in the same manner as “Total Compensation” shown for the CEO in the Summary Compensation Table in the section entitled </w:t>
      </w:r>
      <w:r>
        <w:rPr>
          <w:rFonts w:ascii="Arial" w:cs="Arial" w:eastAsia="Arial" w:hAnsi="Arial"/>
          <w:sz w:val="20"/>
          <w:szCs w:val="20"/>
          <w:i w:val="1"/>
          <w:iCs w:val="1"/>
          <w:color w:val="auto"/>
        </w:rPr>
        <w:t>Compensation – Compensation of Named Executive Officers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140970</wp:posOffset>
            </wp:positionV>
            <wp:extent cx="6337300" cy="908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620"/>
          </w:cols>
          <w:pgMar w:left="320" w:top="470" w:right="9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Results</w:t>
      </w:r>
    </w:p>
    <w:p>
      <w:pPr>
        <w:spacing w:after="0" w:line="12" w:lineRule="exact"/>
        <w:rPr>
          <w:sz w:val="20"/>
          <w:szCs w:val="20"/>
          <w:color w:val="auto"/>
        </w:rPr>
      </w:pPr>
    </w:p>
    <w:p>
      <w:pPr>
        <w:ind w:left="640" w:right="100"/>
        <w:spacing w:after="0" w:line="239" w:lineRule="auto"/>
        <w:rPr>
          <w:sz w:val="20"/>
          <w:szCs w:val="20"/>
          <w:color w:val="auto"/>
        </w:rPr>
      </w:pPr>
      <w:r>
        <w:rPr>
          <w:rFonts w:ascii="Arial" w:cs="Arial" w:eastAsia="Arial" w:hAnsi="Arial"/>
          <w:sz w:val="21"/>
          <w:szCs w:val="21"/>
          <w:color w:val="auto"/>
        </w:rPr>
        <w:t>The table below shows the information used for the calculation of the ratio of the estimated annual total compensation of the median employee identified using the methodology described above to the annual total compensation of Mr. Meissner as calculated for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139700</wp:posOffset>
            </wp:positionV>
            <wp:extent cx="6337300" cy="2393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337300" cy="239395"/>
                    </a:xfrm>
                    <a:prstGeom prst="rect">
                      <a:avLst/>
                    </a:prstGeom>
                    <a:noFill/>
                  </pic:spPr>
                </pic:pic>
              </a:graphicData>
            </a:graphic>
          </wp:anchor>
        </w:drawing>
      </w:r>
    </w:p>
    <w:p>
      <w:pPr>
        <w:spacing w:after="0" w:line="291" w:lineRule="exact"/>
        <w:rPr>
          <w:sz w:val="20"/>
          <w:szCs w:val="20"/>
          <w:color w:val="auto"/>
        </w:rPr>
      </w:pPr>
    </w:p>
    <w:p>
      <w:pPr>
        <w:ind w:left="4400"/>
        <w:spacing w:after="0"/>
        <w:rPr>
          <w:sz w:val="20"/>
          <w:szCs w:val="20"/>
          <w:color w:val="auto"/>
        </w:rPr>
      </w:pPr>
      <w:r>
        <w:rPr>
          <w:rFonts w:ascii="Arial" w:cs="Arial" w:eastAsia="Arial" w:hAnsi="Arial"/>
          <w:sz w:val="21"/>
          <w:szCs w:val="21"/>
          <w:b w:val="1"/>
          <w:bCs w:val="1"/>
          <w:color w:val="FFFFFF"/>
        </w:rPr>
        <w:t>2025 PAY RATIO TABLE</w:t>
      </w:r>
    </w:p>
    <w:p>
      <w:pPr>
        <w:spacing w:after="0" w:line="43" w:lineRule="exact"/>
        <w:rPr>
          <w:sz w:val="20"/>
          <w:szCs w:val="20"/>
          <w:color w:val="auto"/>
        </w:rPr>
      </w:pPr>
    </w:p>
    <w:tbl>
      <w:tblPr>
        <w:tblLayout w:type="fixed"/>
        <w:tblInd w:w="650" w:type="dxa"/>
        <w:tblCellMar>
          <w:top w:w="0" w:type="dxa"/>
          <w:left w:w="0" w:type="dxa"/>
          <w:bottom w:w="0" w:type="dxa"/>
          <w:right w:w="0" w:type="dxa"/>
        </w:tblCellMar>
      </w:tblPr>
      <w:tr>
        <w:trPr>
          <w:trHeight w:val="141"/>
        </w:trPr>
        <w:tc>
          <w:tcPr>
            <w:tcW w:w="300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9"/>
              </w:rPr>
              <w:t>Non-Equity</w:t>
            </w:r>
          </w:p>
        </w:tc>
        <w:tc>
          <w:tcPr>
            <w:tcW w:w="82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Change in</w:t>
            </w:r>
          </w:p>
        </w:tc>
        <w:tc>
          <w:tcPr>
            <w:tcW w:w="130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00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Year</w:t>
            </w:r>
          </w:p>
        </w:tc>
        <w:tc>
          <w:tcPr>
            <w:tcW w:w="920" w:type="dxa"/>
            <w:vAlign w:val="bottom"/>
            <w:tcBorders>
              <w:right w:val="single" w:sz="8" w:color="auto"/>
            </w:tcBorders>
            <w:vMerge w:val="restart"/>
          </w:tcPr>
          <w:p>
            <w:pPr>
              <w:jc w:val="right"/>
              <w:ind w:right="206"/>
              <w:spacing w:after="0"/>
              <w:rPr>
                <w:sz w:val="20"/>
                <w:szCs w:val="20"/>
                <w:color w:val="auto"/>
              </w:rPr>
            </w:pPr>
            <w:r>
              <w:rPr>
                <w:rFonts w:ascii="Arial" w:cs="Arial" w:eastAsia="Arial" w:hAnsi="Arial"/>
                <w:sz w:val="14"/>
                <w:szCs w:val="14"/>
                <w:b w:val="1"/>
                <w:bCs w:val="1"/>
                <w:color w:val="auto"/>
              </w:rPr>
              <w:t>Salary</w:t>
            </w:r>
          </w:p>
        </w:tc>
        <w:tc>
          <w:tcPr>
            <w:tcW w:w="94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9"/>
              </w:rPr>
              <w:t>Stock</w:t>
            </w:r>
          </w:p>
        </w:tc>
        <w:tc>
          <w:tcPr>
            <w:tcW w:w="60" w:type="dxa"/>
            <w:vAlign w:val="bottom"/>
          </w:tcPr>
          <w:p>
            <w:pPr>
              <w:spacing w:after="0"/>
              <w:rPr>
                <w:sz w:val="13"/>
                <w:szCs w:val="13"/>
                <w:color w:val="auto"/>
              </w:rPr>
            </w:pPr>
          </w:p>
        </w:tc>
        <w:tc>
          <w:tcPr>
            <w:tcW w:w="12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9"/>
              </w:rPr>
              <w:t>Incentive Plan</w:t>
            </w:r>
          </w:p>
        </w:tc>
        <w:tc>
          <w:tcPr>
            <w:tcW w:w="8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5"/>
              </w:rPr>
              <w:t>Pension</w:t>
            </w:r>
          </w:p>
        </w:tc>
        <w:tc>
          <w:tcPr>
            <w:tcW w:w="130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8"/>
              </w:rPr>
              <w:t>All Other</w:t>
            </w:r>
          </w:p>
        </w:tc>
        <w:tc>
          <w:tcPr>
            <w:tcW w:w="1080" w:type="dxa"/>
            <w:vAlign w:val="bottom"/>
            <w:vMerge w:val="restart"/>
          </w:tcPr>
          <w:p>
            <w:pPr>
              <w:jc w:val="right"/>
              <w:ind w:right="346"/>
              <w:spacing w:after="0"/>
              <w:rPr>
                <w:sz w:val="20"/>
                <w:szCs w:val="20"/>
                <w:color w:val="auto"/>
              </w:rPr>
            </w:pPr>
            <w:r>
              <w:rPr>
                <w:rFonts w:ascii="Arial" w:cs="Arial" w:eastAsia="Arial" w:hAnsi="Arial"/>
                <w:sz w:val="14"/>
                <w:szCs w:val="14"/>
                <w:b w:val="1"/>
                <w:bCs w:val="1"/>
                <w:color w:val="auto"/>
              </w:rPr>
              <w:t>Total</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0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vMerge w:val="continue"/>
          </w:tcPr>
          <w:p>
            <w:pPr>
              <w:spacing w:after="0"/>
              <w:rPr>
                <w:sz w:val="15"/>
                <w:szCs w:val="15"/>
                <w:color w:val="auto"/>
              </w:rPr>
            </w:pPr>
          </w:p>
        </w:tc>
        <w:tc>
          <w:tcPr>
            <w:tcW w:w="920" w:type="dxa"/>
            <w:vAlign w:val="bottom"/>
            <w:tcBorders>
              <w:bottom w:val="single" w:sz="8" w:color="auto"/>
              <w:right w:val="single" w:sz="8" w:color="auto"/>
            </w:tcBorders>
            <w:vMerge w:val="continue"/>
          </w:tcPr>
          <w:p>
            <w:pPr>
              <w:spacing w:after="0"/>
              <w:rPr>
                <w:sz w:val="15"/>
                <w:szCs w:val="15"/>
                <w:color w:val="auto"/>
              </w:rPr>
            </w:pPr>
          </w:p>
        </w:tc>
        <w:tc>
          <w:tcPr>
            <w:tcW w:w="94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4"/>
                <w:szCs w:val="14"/>
                <w:b w:val="1"/>
                <w:bCs w:val="1"/>
                <w:color w:val="auto"/>
                <w:w w:val="93"/>
              </w:rPr>
              <w:t xml:space="preserve">Awards </w:t>
            </w:r>
            <w:r>
              <w:rPr>
                <w:rFonts w:ascii="Arial" w:cs="Arial" w:eastAsia="Arial" w:hAnsi="Arial"/>
                <w:sz w:val="20"/>
                <w:szCs w:val="20"/>
                <w:i w:val="1"/>
                <w:iCs w:val="1"/>
                <w:color w:val="auto"/>
                <w:w w:val="93"/>
                <w:vertAlign w:val="superscript"/>
              </w:rPr>
              <w:t>(1)</w:t>
            </w:r>
          </w:p>
        </w:tc>
        <w:tc>
          <w:tcPr>
            <w:tcW w:w="6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4"/>
                <w:szCs w:val="14"/>
                <w:b w:val="1"/>
                <w:bCs w:val="1"/>
                <w:color w:val="auto"/>
                <w:w w:val="97"/>
              </w:rPr>
              <w:t xml:space="preserve">Compensation </w:t>
            </w:r>
            <w:r>
              <w:rPr>
                <w:rFonts w:ascii="Arial" w:cs="Arial" w:eastAsia="Arial" w:hAnsi="Arial"/>
                <w:sz w:val="20"/>
                <w:szCs w:val="20"/>
                <w:i w:val="1"/>
                <w:iCs w:val="1"/>
                <w:color w:val="auto"/>
                <w:w w:val="97"/>
                <w:vertAlign w:val="superscript"/>
              </w:rPr>
              <w:t>(2)</w:t>
            </w:r>
            <w:r>
              <w:rPr>
                <w:rFonts w:ascii="Arial" w:cs="Arial" w:eastAsia="Arial" w:hAnsi="Arial"/>
                <w:sz w:val="14"/>
                <w:szCs w:val="14"/>
                <w:b w:val="1"/>
                <w:bCs w:val="1"/>
                <w:color w:val="auto"/>
                <w:w w:val="97"/>
              </w:rPr>
              <w:t xml:space="preserve"> </w:t>
            </w:r>
          </w:p>
        </w:tc>
        <w:tc>
          <w:tcPr>
            <w:tcW w:w="8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4"/>
                <w:szCs w:val="14"/>
                <w:b w:val="1"/>
                <w:bCs w:val="1"/>
                <w:color w:val="auto"/>
                <w:w w:val="90"/>
              </w:rPr>
              <w:t xml:space="preserve">Value </w:t>
            </w:r>
            <w:r>
              <w:rPr>
                <w:rFonts w:ascii="Arial" w:cs="Arial" w:eastAsia="Arial" w:hAnsi="Arial"/>
                <w:sz w:val="20"/>
                <w:szCs w:val="20"/>
                <w:i w:val="1"/>
                <w:iCs w:val="1"/>
                <w:color w:val="auto"/>
                <w:w w:val="90"/>
                <w:vertAlign w:val="superscript"/>
              </w:rPr>
              <w:t>(3)</w:t>
            </w:r>
          </w:p>
        </w:tc>
        <w:tc>
          <w:tcPr>
            <w:tcW w:w="130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4"/>
                <w:szCs w:val="14"/>
                <w:b w:val="1"/>
                <w:bCs w:val="1"/>
                <w:color w:val="auto"/>
                <w:w w:val="95"/>
              </w:rPr>
              <w:t xml:space="preserve">Compensation </w:t>
            </w:r>
            <w:r>
              <w:rPr>
                <w:rFonts w:ascii="Arial" w:cs="Arial" w:eastAsia="Arial" w:hAnsi="Arial"/>
                <w:sz w:val="20"/>
                <w:szCs w:val="20"/>
                <w:i w:val="1"/>
                <w:iCs w:val="1"/>
                <w:color w:val="auto"/>
                <w:w w:val="95"/>
                <w:vertAlign w:val="superscript"/>
              </w:rPr>
              <w:t>(4)</w:t>
            </w:r>
          </w:p>
        </w:tc>
        <w:tc>
          <w:tcPr>
            <w:tcW w:w="10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Borders>
              <w:left w:val="single" w:sz="8" w:color="auto"/>
              <w:bottom w:val="single" w:sz="8" w:color="auto"/>
              <w:right w:val="single" w:sz="8" w:color="314A72"/>
            </w:tcBorders>
            <w:shd w:val="clear" w:color="auto" w:fill="314A72"/>
          </w:tcPr>
          <w:p>
            <w:pPr>
              <w:ind w:left="1480"/>
              <w:spacing w:after="0"/>
              <w:rPr>
                <w:sz w:val="20"/>
                <w:szCs w:val="20"/>
                <w:color w:val="auto"/>
              </w:rPr>
            </w:pPr>
            <w:r>
              <w:rPr>
                <w:rFonts w:ascii="Arial" w:cs="Arial" w:eastAsia="Arial" w:hAnsi="Arial"/>
                <w:sz w:val="14"/>
                <w:szCs w:val="14"/>
                <w:b w:val="1"/>
                <w:bCs w:val="1"/>
                <w:color w:val="FFFFFF"/>
              </w:rPr>
              <w:t>(a)</w:t>
            </w:r>
          </w:p>
        </w:tc>
        <w:tc>
          <w:tcPr>
            <w:tcW w:w="640" w:type="dxa"/>
            <w:vAlign w:val="bottom"/>
            <w:tcBorders>
              <w:bottom w:val="single" w:sz="8" w:color="auto"/>
              <w:right w:val="single" w:sz="8" w:color="314A72"/>
            </w:tcBorders>
            <w:shd w:val="clear" w:color="auto" w:fill="314A72"/>
          </w:tcPr>
          <w:p>
            <w:pPr>
              <w:ind w:left="200"/>
              <w:spacing w:after="0"/>
              <w:rPr>
                <w:sz w:val="20"/>
                <w:szCs w:val="20"/>
                <w:color w:val="auto"/>
              </w:rPr>
            </w:pPr>
            <w:r>
              <w:rPr>
                <w:rFonts w:ascii="Arial" w:cs="Arial" w:eastAsia="Arial" w:hAnsi="Arial"/>
                <w:sz w:val="14"/>
                <w:szCs w:val="14"/>
                <w:b w:val="1"/>
                <w:bCs w:val="1"/>
                <w:color w:val="FFFFFF"/>
              </w:rPr>
              <w:t>(b)</w:t>
            </w:r>
          </w:p>
        </w:tc>
        <w:tc>
          <w:tcPr>
            <w:tcW w:w="920" w:type="dxa"/>
            <w:vAlign w:val="bottom"/>
            <w:tcBorders>
              <w:bottom w:val="single" w:sz="8" w:color="auto"/>
              <w:right w:val="single" w:sz="8" w:color="314A72"/>
            </w:tcBorders>
            <w:shd w:val="clear" w:color="auto" w:fill="314A72"/>
          </w:tcPr>
          <w:p>
            <w:pPr>
              <w:jc w:val="right"/>
              <w:ind w:right="306"/>
              <w:spacing w:after="0"/>
              <w:rPr>
                <w:sz w:val="20"/>
                <w:szCs w:val="20"/>
                <w:color w:val="auto"/>
              </w:rPr>
            </w:pPr>
            <w:r>
              <w:rPr>
                <w:rFonts w:ascii="Arial" w:cs="Arial" w:eastAsia="Arial" w:hAnsi="Arial"/>
                <w:sz w:val="14"/>
                <w:szCs w:val="14"/>
                <w:b w:val="1"/>
                <w:bCs w:val="1"/>
                <w:color w:val="FFFFFF"/>
              </w:rPr>
              <w:t>(C)</w:t>
            </w:r>
          </w:p>
        </w:tc>
        <w:tc>
          <w:tcPr>
            <w:tcW w:w="1000" w:type="dxa"/>
            <w:vAlign w:val="bottom"/>
            <w:tcBorders>
              <w:bottom w:val="single" w:sz="8" w:color="auto"/>
            </w:tcBorders>
            <w:gridSpan w:val="2"/>
            <w:shd w:val="clear" w:color="auto" w:fill="314A72"/>
          </w:tcPr>
          <w:p>
            <w:pPr>
              <w:jc w:val="center"/>
              <w:ind w:right="100"/>
              <w:spacing w:after="0"/>
              <w:rPr>
                <w:sz w:val="20"/>
                <w:szCs w:val="20"/>
                <w:color w:val="auto"/>
              </w:rPr>
            </w:pPr>
            <w:r>
              <w:rPr>
                <w:rFonts w:ascii="Arial" w:cs="Arial" w:eastAsia="Arial" w:hAnsi="Arial"/>
                <w:sz w:val="14"/>
                <w:szCs w:val="14"/>
                <w:b w:val="1"/>
                <w:bCs w:val="1"/>
                <w:color w:val="FFFFFF"/>
              </w:rPr>
              <w:t>(d)</w:t>
            </w:r>
          </w:p>
        </w:tc>
        <w:tc>
          <w:tcPr>
            <w:tcW w:w="1220" w:type="dxa"/>
            <w:vAlign w:val="bottom"/>
            <w:tcBorders>
              <w:bottom w:val="single" w:sz="8" w:color="auto"/>
              <w:right w:val="single" w:sz="8" w:color="314A72"/>
            </w:tcBorders>
            <w:shd w:val="clear" w:color="auto" w:fill="314A72"/>
          </w:tcPr>
          <w:p>
            <w:pPr>
              <w:jc w:val="center"/>
              <w:spacing w:after="0"/>
              <w:rPr>
                <w:sz w:val="20"/>
                <w:szCs w:val="20"/>
                <w:color w:val="auto"/>
              </w:rPr>
            </w:pPr>
            <w:r>
              <w:rPr>
                <w:rFonts w:ascii="Arial" w:cs="Arial" w:eastAsia="Arial" w:hAnsi="Arial"/>
                <w:sz w:val="14"/>
                <w:szCs w:val="14"/>
                <w:b w:val="1"/>
                <w:bCs w:val="1"/>
                <w:color w:val="FFFFFF"/>
              </w:rPr>
              <w:t>(e)</w:t>
            </w:r>
          </w:p>
        </w:tc>
        <w:tc>
          <w:tcPr>
            <w:tcW w:w="820" w:type="dxa"/>
            <w:vAlign w:val="bottom"/>
            <w:tcBorders>
              <w:bottom w:val="single" w:sz="8" w:color="auto"/>
              <w:right w:val="single" w:sz="8" w:color="314A72"/>
            </w:tcBorders>
            <w:shd w:val="clear" w:color="auto" w:fill="314A72"/>
          </w:tcPr>
          <w:p>
            <w:pPr>
              <w:jc w:val="center"/>
              <w:spacing w:after="0"/>
              <w:rPr>
                <w:sz w:val="20"/>
                <w:szCs w:val="20"/>
                <w:color w:val="auto"/>
              </w:rPr>
            </w:pPr>
            <w:r>
              <w:rPr>
                <w:rFonts w:ascii="Arial" w:cs="Arial" w:eastAsia="Arial" w:hAnsi="Arial"/>
                <w:sz w:val="14"/>
                <w:szCs w:val="14"/>
                <w:b w:val="1"/>
                <w:bCs w:val="1"/>
                <w:color w:val="FFFFFF"/>
                <w:w w:val="85"/>
              </w:rPr>
              <w:t>(f)</w:t>
            </w:r>
          </w:p>
        </w:tc>
        <w:tc>
          <w:tcPr>
            <w:tcW w:w="1300" w:type="dxa"/>
            <w:vAlign w:val="bottom"/>
            <w:tcBorders>
              <w:bottom w:val="single" w:sz="8" w:color="auto"/>
              <w:right w:val="single" w:sz="8" w:color="314A72"/>
            </w:tcBorders>
            <w:shd w:val="clear" w:color="auto" w:fill="314A72"/>
          </w:tcPr>
          <w:p>
            <w:pPr>
              <w:jc w:val="center"/>
              <w:spacing w:after="0"/>
              <w:rPr>
                <w:sz w:val="20"/>
                <w:szCs w:val="20"/>
                <w:color w:val="auto"/>
              </w:rPr>
            </w:pPr>
            <w:r>
              <w:rPr>
                <w:rFonts w:ascii="Arial" w:cs="Arial" w:eastAsia="Arial" w:hAnsi="Arial"/>
                <w:sz w:val="14"/>
                <w:szCs w:val="14"/>
                <w:b w:val="1"/>
                <w:bCs w:val="1"/>
                <w:color w:val="FFFFFF"/>
              </w:rPr>
              <w:t>(g)</w:t>
            </w:r>
          </w:p>
        </w:tc>
        <w:tc>
          <w:tcPr>
            <w:tcW w:w="1080" w:type="dxa"/>
            <w:vAlign w:val="bottom"/>
            <w:tcBorders>
              <w:bottom w:val="single" w:sz="8" w:color="auto"/>
            </w:tcBorders>
            <w:shd w:val="clear" w:color="auto" w:fill="314A72"/>
          </w:tcPr>
          <w:p>
            <w:pPr>
              <w:jc w:val="right"/>
              <w:ind w:right="406"/>
              <w:spacing w:after="0"/>
              <w:rPr>
                <w:sz w:val="20"/>
                <w:szCs w:val="20"/>
                <w:color w:val="auto"/>
              </w:rPr>
            </w:pPr>
            <w:r>
              <w:rPr>
                <w:rFonts w:ascii="Arial" w:cs="Arial" w:eastAsia="Arial" w:hAnsi="Arial"/>
                <w:sz w:val="14"/>
                <w:szCs w:val="14"/>
                <w:b w:val="1"/>
                <w:bCs w:val="1"/>
                <w:color w:val="FFFFFF"/>
              </w:rPr>
              <w:t>(h)</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000" w:type="dxa"/>
            <w:vAlign w:val="bottom"/>
            <w:tcBorders>
              <w:left w:val="single" w:sz="8" w:color="auto"/>
              <w:right w:val="single" w:sz="8" w:color="auto"/>
            </w:tcBorders>
            <w:shd w:val="clear" w:color="auto" w:fill="F7AB6C"/>
          </w:tcPr>
          <w:p>
            <w:pPr>
              <w:ind w:left="20"/>
              <w:spacing w:after="0"/>
              <w:rPr>
                <w:sz w:val="20"/>
                <w:szCs w:val="20"/>
                <w:color w:val="auto"/>
              </w:rPr>
            </w:pPr>
            <w:r>
              <w:rPr>
                <w:rFonts w:ascii="Arial" w:cs="Arial" w:eastAsia="Arial" w:hAnsi="Arial"/>
                <w:sz w:val="16"/>
                <w:szCs w:val="16"/>
                <w:b w:val="1"/>
                <w:bCs w:val="1"/>
                <w:color w:val="auto"/>
              </w:rPr>
              <w:t> Thomas P. Meissner, Jr.</w:t>
            </w:r>
          </w:p>
        </w:tc>
        <w:tc>
          <w:tcPr>
            <w:tcW w:w="6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2025</w:t>
            </w:r>
          </w:p>
        </w:tc>
        <w:tc>
          <w:tcPr>
            <w:tcW w:w="920" w:type="dxa"/>
            <w:vAlign w:val="bottom"/>
            <w:tcBorders>
              <w:right w:val="single" w:sz="8" w:color="auto"/>
            </w:tcBorders>
          </w:tcPr>
          <w:p>
            <w:pPr>
              <w:jc w:val="right"/>
              <w:ind w:right="26"/>
              <w:spacing w:after="0"/>
              <w:rPr>
                <w:sz w:val="20"/>
                <w:szCs w:val="20"/>
                <w:color w:val="auto"/>
              </w:rPr>
            </w:pPr>
            <w:r>
              <w:rPr>
                <w:rFonts w:ascii="Arial" w:cs="Arial" w:eastAsia="Arial" w:hAnsi="Arial"/>
                <w:sz w:val="16"/>
                <w:szCs w:val="16"/>
                <w:color w:val="auto"/>
              </w:rPr>
              <w:t>$744,066</w:t>
            </w:r>
          </w:p>
        </w:tc>
        <w:tc>
          <w:tcPr>
            <w:tcW w:w="940" w:type="dxa"/>
            <w:vAlign w:val="bottom"/>
            <w:tcBorders>
              <w:right w:val="single" w:sz="8" w:color="auto"/>
            </w:tcBorders>
          </w:tcPr>
          <w:p>
            <w:pPr>
              <w:jc w:val="right"/>
              <w:ind w:right="47"/>
              <w:spacing w:after="0"/>
              <w:rPr>
                <w:sz w:val="20"/>
                <w:szCs w:val="20"/>
                <w:color w:val="auto"/>
              </w:rPr>
            </w:pPr>
            <w:r>
              <w:rPr>
                <w:rFonts w:ascii="Arial" w:cs="Arial" w:eastAsia="Arial" w:hAnsi="Arial"/>
                <w:sz w:val="16"/>
                <w:szCs w:val="16"/>
                <w:color w:val="auto"/>
              </w:rPr>
              <w:t>$751,842</w:t>
            </w:r>
          </w:p>
        </w:tc>
        <w:tc>
          <w:tcPr>
            <w:tcW w:w="60" w:type="dxa"/>
            <w:vAlign w:val="bottom"/>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$662,591</w:t>
            </w:r>
          </w:p>
        </w:tc>
        <w:tc>
          <w:tcPr>
            <w:tcW w:w="820" w:type="dxa"/>
            <w:vAlign w:val="bottom"/>
            <w:tcBorders>
              <w:right w:val="single" w:sz="8" w:color="auto"/>
            </w:tcBorders>
          </w:tcPr>
          <w:p>
            <w:pPr>
              <w:jc w:val="right"/>
              <w:ind w:right="28"/>
              <w:spacing w:after="0"/>
              <w:rPr>
                <w:sz w:val="20"/>
                <w:szCs w:val="20"/>
                <w:color w:val="auto"/>
              </w:rPr>
            </w:pPr>
            <w:r>
              <w:rPr>
                <w:rFonts w:ascii="Arial" w:cs="Arial" w:eastAsia="Arial" w:hAnsi="Arial"/>
                <w:sz w:val="16"/>
                <w:szCs w:val="16"/>
                <w:color w:val="auto"/>
              </w:rPr>
              <w:t>$860,413</w:t>
            </w:r>
          </w:p>
        </w:tc>
        <w:tc>
          <w:tcPr>
            <w:tcW w:w="1300" w:type="dxa"/>
            <w:vAlign w:val="bottom"/>
            <w:tcBorders>
              <w:right w:val="single" w:sz="8" w:color="auto"/>
            </w:tcBorders>
          </w:tcPr>
          <w:p>
            <w:pPr>
              <w:jc w:val="right"/>
              <w:ind w:right="187"/>
              <w:spacing w:after="0"/>
              <w:rPr>
                <w:sz w:val="20"/>
                <w:szCs w:val="20"/>
                <w:color w:val="auto"/>
              </w:rPr>
            </w:pPr>
            <w:r>
              <w:rPr>
                <w:rFonts w:ascii="Arial" w:cs="Arial" w:eastAsia="Arial" w:hAnsi="Arial"/>
                <w:sz w:val="16"/>
                <w:szCs w:val="16"/>
                <w:color w:val="auto"/>
              </w:rPr>
              <w:t>$170,204</w:t>
            </w:r>
          </w:p>
        </w:tc>
        <w:tc>
          <w:tcPr>
            <w:tcW w:w="1080" w:type="dxa"/>
            <w:vAlign w:val="bottom"/>
          </w:tcPr>
          <w:p>
            <w:pPr>
              <w:jc w:val="right"/>
              <w:ind w:right="66"/>
              <w:spacing w:after="0"/>
              <w:rPr>
                <w:sz w:val="20"/>
                <w:szCs w:val="20"/>
                <w:color w:val="auto"/>
              </w:rPr>
            </w:pPr>
            <w:r>
              <w:rPr>
                <w:rFonts w:ascii="Arial" w:cs="Arial" w:eastAsia="Arial" w:hAnsi="Arial"/>
                <w:sz w:val="16"/>
                <w:szCs w:val="16"/>
                <w:color w:val="auto"/>
              </w:rPr>
              <w:t>$3,189,116</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3000" w:type="dxa"/>
            <w:vAlign w:val="bottom"/>
            <w:tcBorders>
              <w:left w:val="single" w:sz="8" w:color="auto"/>
              <w:bottom w:val="single" w:sz="8" w:color="auto"/>
              <w:right w:val="single" w:sz="8" w:color="auto"/>
            </w:tcBorders>
            <w:shd w:val="clear" w:color="auto" w:fill="F7AB6C"/>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000" w:type="dxa"/>
            <w:vAlign w:val="bottom"/>
            <w:tcBorders>
              <w:left w:val="single" w:sz="8" w:color="auto"/>
              <w:right w:val="single" w:sz="8" w:color="auto"/>
            </w:tcBorders>
            <w:shd w:val="clear" w:color="auto" w:fill="F7AB6C"/>
          </w:tcPr>
          <w:p>
            <w:pPr>
              <w:ind w:left="20"/>
              <w:spacing w:after="0"/>
              <w:rPr>
                <w:sz w:val="20"/>
                <w:szCs w:val="20"/>
                <w:color w:val="auto"/>
              </w:rPr>
            </w:pPr>
            <w:r>
              <w:rPr>
                <w:rFonts w:ascii="Arial" w:cs="Arial" w:eastAsia="Arial" w:hAnsi="Arial"/>
                <w:sz w:val="16"/>
                <w:szCs w:val="16"/>
                <w:b w:val="1"/>
                <w:bCs w:val="1"/>
                <w:color w:val="auto"/>
              </w:rPr>
              <w:t> Median Employee</w:t>
            </w:r>
          </w:p>
        </w:tc>
        <w:tc>
          <w:tcPr>
            <w:tcW w:w="6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2025</w:t>
            </w:r>
          </w:p>
        </w:tc>
        <w:tc>
          <w:tcPr>
            <w:tcW w:w="920" w:type="dxa"/>
            <w:vAlign w:val="bottom"/>
            <w:tcBorders>
              <w:right w:val="single" w:sz="8" w:color="auto"/>
            </w:tcBorders>
          </w:tcPr>
          <w:p>
            <w:pPr>
              <w:jc w:val="right"/>
              <w:ind w:right="26"/>
              <w:spacing w:after="0"/>
              <w:rPr>
                <w:sz w:val="20"/>
                <w:szCs w:val="20"/>
                <w:color w:val="auto"/>
              </w:rPr>
            </w:pPr>
            <w:r>
              <w:rPr>
                <w:rFonts w:ascii="Arial" w:cs="Arial" w:eastAsia="Arial" w:hAnsi="Arial"/>
                <w:sz w:val="16"/>
                <w:szCs w:val="16"/>
                <w:color w:val="auto"/>
              </w:rPr>
              <w:t>$107,796</w:t>
            </w:r>
          </w:p>
        </w:tc>
        <w:tc>
          <w:tcPr>
            <w:tcW w:w="940" w:type="dxa"/>
            <w:vAlign w:val="bottom"/>
            <w:tcBorders>
              <w:right w:val="single" w:sz="8" w:color="auto"/>
            </w:tcBorders>
          </w:tcPr>
          <w:p>
            <w:pPr>
              <w:jc w:val="right"/>
              <w:ind w:right="47"/>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    $5,634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$35,523  </w:t>
            </w:r>
          </w:p>
        </w:tc>
        <w:tc>
          <w:tcPr>
            <w:tcW w:w="1300" w:type="dxa"/>
            <w:vAlign w:val="bottom"/>
            <w:tcBorders>
              <w:right w:val="single" w:sz="8" w:color="auto"/>
            </w:tcBorders>
          </w:tcPr>
          <w:p>
            <w:pPr>
              <w:jc w:val="right"/>
              <w:ind w:right="147"/>
              <w:spacing w:after="0"/>
              <w:rPr>
                <w:sz w:val="20"/>
                <w:szCs w:val="20"/>
                <w:color w:val="auto"/>
              </w:rPr>
            </w:pPr>
            <w:r>
              <w:rPr>
                <w:rFonts w:ascii="Arial" w:cs="Arial" w:eastAsia="Arial" w:hAnsi="Arial"/>
                <w:sz w:val="16"/>
                <w:szCs w:val="16"/>
                <w:color w:val="auto"/>
              </w:rPr>
              <w:t>$4,813  </w:t>
            </w:r>
          </w:p>
        </w:tc>
        <w:tc>
          <w:tcPr>
            <w:tcW w:w="1080" w:type="dxa"/>
            <w:vAlign w:val="bottom"/>
          </w:tcPr>
          <w:p>
            <w:pPr>
              <w:jc w:val="right"/>
              <w:ind w:right="66"/>
              <w:spacing w:after="0"/>
              <w:rPr>
                <w:sz w:val="20"/>
                <w:szCs w:val="20"/>
                <w:color w:val="auto"/>
              </w:rPr>
            </w:pPr>
            <w:r>
              <w:rPr>
                <w:rFonts w:ascii="Arial" w:cs="Arial" w:eastAsia="Arial" w:hAnsi="Arial"/>
                <w:sz w:val="16"/>
                <w:szCs w:val="16"/>
                <w:color w:val="auto"/>
              </w:rPr>
              <w:t>$153,766</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3000" w:type="dxa"/>
            <w:vAlign w:val="bottom"/>
            <w:tcBorders>
              <w:left w:val="single" w:sz="8" w:color="auto"/>
              <w:bottom w:val="single" w:sz="8" w:color="auto"/>
              <w:right w:val="single" w:sz="8" w:color="auto"/>
            </w:tcBorders>
            <w:shd w:val="clear" w:color="auto" w:fill="F7AB6C"/>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0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5560" w:type="dxa"/>
            <w:vAlign w:val="bottom"/>
            <w:tcBorders>
              <w:left w:val="single" w:sz="8" w:color="auto"/>
              <w:bottom w:val="single" w:sz="8" w:color="DAE6F2"/>
            </w:tcBorders>
            <w:gridSpan w:val="5"/>
            <w:shd w:val="clear" w:color="auto" w:fill="DAE6F2"/>
          </w:tcPr>
          <w:p>
            <w:pPr>
              <w:ind w:left="20"/>
              <w:spacing w:after="0"/>
              <w:rPr>
                <w:sz w:val="20"/>
                <w:szCs w:val="20"/>
                <w:color w:val="auto"/>
              </w:rPr>
            </w:pPr>
            <w:r>
              <w:rPr>
                <w:rFonts w:ascii="Arial" w:cs="Arial" w:eastAsia="Arial" w:hAnsi="Arial"/>
                <w:sz w:val="16"/>
                <w:szCs w:val="16"/>
                <w:color w:val="auto"/>
                <w:w w:val="96"/>
              </w:rPr>
              <w:t> </w:t>
            </w:r>
            <w:r>
              <w:rPr>
                <w:rFonts w:ascii="Arial" w:cs="Arial" w:eastAsia="Arial" w:hAnsi="Arial"/>
                <w:sz w:val="16"/>
                <w:szCs w:val="16"/>
                <w:b w:val="1"/>
                <w:bCs w:val="1"/>
                <w:color w:val="auto"/>
                <w:w w:val="96"/>
              </w:rPr>
              <w:t>Ratio of Median Employee’s to Mr. Meissner’s Annual Total Compensation:</w:t>
            </w:r>
          </w:p>
        </w:tc>
        <w:tc>
          <w:tcPr>
            <w:tcW w:w="1220" w:type="dxa"/>
            <w:vAlign w:val="bottom"/>
            <w:tcBorders>
              <w:bottom w:val="single" w:sz="8" w:color="DAE6F2"/>
              <w:right w:val="single" w:sz="8" w:color="DAE6F2"/>
            </w:tcBorders>
            <w:shd w:val="clear" w:color="auto" w:fill="DAE6F2"/>
          </w:tcPr>
          <w:p>
            <w:pPr>
              <w:spacing w:after="0"/>
              <w:rPr>
                <w:sz w:val="24"/>
                <w:szCs w:val="24"/>
                <w:color w:val="auto"/>
              </w:rPr>
            </w:pPr>
          </w:p>
        </w:tc>
        <w:tc>
          <w:tcPr>
            <w:tcW w:w="820" w:type="dxa"/>
            <w:vAlign w:val="bottom"/>
            <w:tcBorders>
              <w:bottom w:val="single" w:sz="8" w:color="DAE6F2"/>
              <w:right w:val="single" w:sz="8" w:color="DAE6F2"/>
            </w:tcBorders>
            <w:shd w:val="clear" w:color="auto" w:fill="DAE6F2"/>
          </w:tcPr>
          <w:p>
            <w:pPr>
              <w:spacing w:after="0"/>
              <w:rPr>
                <w:sz w:val="24"/>
                <w:szCs w:val="24"/>
                <w:color w:val="auto"/>
              </w:rPr>
            </w:pPr>
          </w:p>
        </w:tc>
        <w:tc>
          <w:tcPr>
            <w:tcW w:w="1300" w:type="dxa"/>
            <w:vAlign w:val="bottom"/>
            <w:tcBorders>
              <w:bottom w:val="single" w:sz="8" w:color="DAE6F2"/>
              <w:right w:val="single" w:sz="8" w:color="auto"/>
            </w:tcBorders>
            <w:shd w:val="clear" w:color="auto" w:fill="DAE6F2"/>
          </w:tcPr>
          <w:p>
            <w:pPr>
              <w:spacing w:after="0"/>
              <w:rPr>
                <w:sz w:val="24"/>
                <w:szCs w:val="24"/>
                <w:color w:val="auto"/>
              </w:rPr>
            </w:pPr>
          </w:p>
        </w:tc>
        <w:tc>
          <w:tcPr>
            <w:tcW w:w="1080" w:type="dxa"/>
            <w:vAlign w:val="bottom"/>
          </w:tcPr>
          <w:p>
            <w:pPr>
              <w:jc w:val="right"/>
              <w:ind w:right="286"/>
              <w:spacing w:after="0"/>
              <w:rPr>
                <w:sz w:val="20"/>
                <w:szCs w:val="20"/>
                <w:color w:val="auto"/>
              </w:rPr>
            </w:pPr>
            <w:r>
              <w:rPr>
                <w:rFonts w:ascii="Arial" w:cs="Arial" w:eastAsia="Arial" w:hAnsi="Arial"/>
                <w:sz w:val="16"/>
                <w:szCs w:val="16"/>
                <w:b w:val="1"/>
                <w:bCs w:val="1"/>
                <w:color w:val="auto"/>
              </w:rPr>
              <w:t>1:21</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6743700</wp:posOffset>
            </wp:positionH>
            <wp:positionV relativeFrom="paragraph">
              <wp:posOffset>-1245235</wp:posOffset>
            </wp:positionV>
            <wp:extent cx="8255" cy="1320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132080"/>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-1245235</wp:posOffset>
            </wp:positionV>
            <wp:extent cx="8255" cy="1320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13208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-1245235</wp:posOffset>
            </wp:positionV>
            <wp:extent cx="8255" cy="1320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132080"/>
                    </a:xfrm>
                    <a:prstGeom prst="rect">
                      <a:avLst/>
                    </a:prstGeom>
                    <a:noFill/>
                  </pic:spPr>
                </pic:pic>
              </a:graphicData>
            </a:graphic>
          </wp:anchor>
        </w:drawing>
        <w:drawing>
          <wp:anchor simplePos="0" relativeHeight="251657728" behindDoc="1" locked="0" layoutInCell="0" allowOverlap="1">
            <wp:simplePos x="0" y="0"/>
            <wp:positionH relativeFrom="column">
              <wp:posOffset>4689475</wp:posOffset>
            </wp:positionH>
            <wp:positionV relativeFrom="paragraph">
              <wp:posOffset>-1245235</wp:posOffset>
            </wp:positionV>
            <wp:extent cx="8255" cy="1320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132080"/>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-1245235</wp:posOffset>
            </wp:positionV>
            <wp:extent cx="8255" cy="1320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132080"/>
                    </a:xfrm>
                    <a:prstGeom prst="rect">
                      <a:avLst/>
                    </a:prstGeom>
                    <a:noFill/>
                  </pic:spPr>
                </pic:pic>
              </a:graphicData>
            </a:graphic>
          </wp:anchor>
        </w:drawing>
        <w:drawing>
          <wp:anchor simplePos="0" relativeHeight="251657728" behindDoc="1" locked="0" layoutInCell="0" allowOverlap="1">
            <wp:simplePos x="0" y="0"/>
            <wp:positionH relativeFrom="column">
              <wp:posOffset>3295015</wp:posOffset>
            </wp:positionH>
            <wp:positionV relativeFrom="paragraph">
              <wp:posOffset>-1245235</wp:posOffset>
            </wp:positionV>
            <wp:extent cx="8255" cy="1320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132080"/>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-1245235</wp:posOffset>
            </wp:positionV>
            <wp:extent cx="8255" cy="1320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132080"/>
                    </a:xfrm>
                    <a:prstGeom prst="rect">
                      <a:avLst/>
                    </a:prstGeom>
                    <a:noFill/>
                  </pic:spPr>
                </pic:pic>
              </a:graphicData>
            </a:graphic>
          </wp:anchor>
        </w:drawing>
        <w:drawing>
          <wp:anchor simplePos="0" relativeHeight="251657728" behindDoc="1" locked="0" layoutInCell="0" allowOverlap="1">
            <wp:simplePos x="0" y="0"/>
            <wp:positionH relativeFrom="column">
              <wp:posOffset>2304415</wp:posOffset>
            </wp:positionH>
            <wp:positionV relativeFrom="paragraph">
              <wp:posOffset>-1245235</wp:posOffset>
            </wp:positionV>
            <wp:extent cx="8255" cy="1320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13208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156845</wp:posOffset>
            </wp:positionV>
            <wp:extent cx="63373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NOTES:</w:t>
      </w:r>
    </w:p>
    <w:p>
      <w:pPr>
        <w:spacing w:after="0" w:line="116" w:lineRule="exact"/>
        <w:rPr>
          <w:sz w:val="20"/>
          <w:szCs w:val="20"/>
          <w:color w:val="auto"/>
        </w:rPr>
      </w:pPr>
    </w:p>
    <w:p>
      <w:pPr>
        <w:ind w:left="1620" w:right="340" w:hanging="492"/>
        <w:spacing w:after="0" w:line="252"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The value shown represents the grant date fair value, calculated in accordance with FASB ASC Topic 718, of the award of restricted stock granted under the Third Amended Stock Plan on January 28, 2025. The grant date fair value is based on the closing price of Unitil common stock of $52.65 on January 28, 2025. See also the Summary Compensation Table in the section entitled </w:t>
      </w:r>
      <w:r>
        <w:rPr>
          <w:rFonts w:ascii="Arial" w:cs="Arial" w:eastAsia="Arial" w:hAnsi="Arial"/>
          <w:sz w:val="17"/>
          <w:szCs w:val="17"/>
          <w:i w:val="1"/>
          <w:iCs w:val="1"/>
          <w:color w:val="auto"/>
        </w:rPr>
        <w:t>Compensation of Named Executive Officers</w:t>
      </w:r>
      <w:r>
        <w:rPr>
          <w:rFonts w:ascii="Arial" w:cs="Arial" w:eastAsia="Arial" w:hAnsi="Arial"/>
          <w:sz w:val="17"/>
          <w:szCs w:val="17"/>
          <w:color w:val="auto"/>
        </w:rPr>
        <w:t>.</w:t>
      </w:r>
    </w:p>
    <w:p>
      <w:pPr>
        <w:spacing w:after="0" w:line="75" w:lineRule="exact"/>
        <w:rPr>
          <w:rFonts w:ascii="Arial" w:cs="Arial" w:eastAsia="Arial" w:hAnsi="Arial"/>
          <w:sz w:val="17"/>
          <w:szCs w:val="17"/>
          <w:color w:val="auto"/>
        </w:rPr>
      </w:pPr>
    </w:p>
    <w:p>
      <w:pPr>
        <w:ind w:left="1620" w:right="120" w:hanging="492"/>
        <w:spacing w:after="0" w:line="259"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The values shown include cash incentive awarded on January 27, 2026, for 2025 Management Incentive Plan results. See also the Summary Compensation Table in the section entitled </w:t>
      </w:r>
      <w:r>
        <w:rPr>
          <w:rFonts w:ascii="Arial" w:cs="Arial" w:eastAsia="Arial" w:hAnsi="Arial"/>
          <w:sz w:val="17"/>
          <w:szCs w:val="17"/>
          <w:i w:val="1"/>
          <w:iCs w:val="1"/>
          <w:color w:val="auto"/>
        </w:rPr>
        <w:t>Compensation - Compensation of Named</w:t>
      </w:r>
      <w:r>
        <w:rPr>
          <w:rFonts w:ascii="Arial" w:cs="Arial" w:eastAsia="Arial" w:hAnsi="Arial"/>
          <w:sz w:val="17"/>
          <w:szCs w:val="17"/>
          <w:color w:val="auto"/>
        </w:rPr>
        <w:t xml:space="preserve"> </w:t>
      </w:r>
      <w:r>
        <w:rPr>
          <w:rFonts w:ascii="Arial" w:cs="Arial" w:eastAsia="Arial" w:hAnsi="Arial"/>
          <w:sz w:val="17"/>
          <w:szCs w:val="17"/>
          <w:i w:val="1"/>
          <w:iCs w:val="1"/>
          <w:color w:val="auto"/>
        </w:rPr>
        <w:t>Executive Officers.</w:t>
      </w:r>
    </w:p>
    <w:p>
      <w:pPr>
        <w:spacing w:after="0" w:line="68" w:lineRule="exact"/>
        <w:rPr>
          <w:rFonts w:ascii="Arial" w:cs="Arial" w:eastAsia="Arial" w:hAnsi="Arial"/>
          <w:sz w:val="17"/>
          <w:szCs w:val="17"/>
          <w:color w:val="auto"/>
        </w:rPr>
      </w:pPr>
    </w:p>
    <w:p>
      <w:pPr>
        <w:ind w:left="1620" w:right="320" w:hanging="492"/>
        <w:spacing w:after="0" w:line="259"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The value shown for Mr. Meissner includes the change in Pension value and the change in the Supplemental Executive Retirement Plan (the “SERP”) value. See also the Summary Compensation Table in the 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1620" w:hanging="492"/>
        <w:spacing w:after="0"/>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value shown for Mr. Meissner for the year 2025 includes an annual vehicle allowance, which is valued at</w:t>
      </w:r>
    </w:p>
    <w:p>
      <w:pPr>
        <w:spacing w:after="0" w:line="15" w:lineRule="exact"/>
        <w:rPr>
          <w:rFonts w:ascii="Arial" w:cs="Arial" w:eastAsia="Arial" w:hAnsi="Arial"/>
          <w:sz w:val="17"/>
          <w:szCs w:val="17"/>
          <w:color w:val="auto"/>
        </w:rPr>
      </w:pPr>
    </w:p>
    <w:p>
      <w:pPr>
        <w:ind w:left="1620" w:right="80"/>
        <w:spacing w:after="0" w:line="243" w:lineRule="auto"/>
        <w:rPr>
          <w:rFonts w:ascii="Arial" w:cs="Arial" w:eastAsia="Arial" w:hAnsi="Arial"/>
          <w:sz w:val="17"/>
          <w:szCs w:val="17"/>
          <w:color w:val="auto"/>
        </w:rPr>
      </w:pPr>
      <w:r>
        <w:rPr>
          <w:rFonts w:ascii="Arial" w:cs="Arial" w:eastAsia="Arial" w:hAnsi="Arial"/>
          <w:sz w:val="17"/>
          <w:szCs w:val="17"/>
          <w:color w:val="auto"/>
        </w:rPr>
        <w:t xml:space="preserve">$12,000, the Company’s contributions to 401(k) and HSA accounts, non-preferential dividends earned in 2025 on the shares of restricted stock awarded in 2025, and the tax adjustment on the shares of restricted stock that vested for tax purposes in 2025 in accordance with the provisions of the Third Amended Stock Plan. The value shown for the median employee includes the use of a Company-owned vehicle, which is valued at $579, and the Company’s contributions to 401(k) and HSA accounts. See also the Summary Compensation Table in the 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146050</wp:posOffset>
            </wp:positionV>
            <wp:extent cx="6337300" cy="825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640"/>
          </w:cols>
          <w:pgMar w:left="320" w:top="470" w:right="9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Shareholder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12065</wp:posOffset>
            </wp:positionV>
            <wp:extent cx="63373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58" w:lineRule="exact"/>
        <w:rPr>
          <w:sz w:val="20"/>
          <w:szCs w:val="20"/>
          <w:color w:val="auto"/>
        </w:rPr>
      </w:pPr>
    </w:p>
    <w:p>
      <w:pPr>
        <w:ind w:left="640" w:right="320"/>
        <w:spacing w:after="0" w:line="248" w:lineRule="auto"/>
        <w:rPr>
          <w:sz w:val="20"/>
          <w:szCs w:val="20"/>
          <w:color w:val="auto"/>
        </w:rPr>
      </w:pPr>
      <w:r>
        <w:rPr>
          <w:rFonts w:ascii="Arial" w:cs="Arial" w:eastAsia="Arial" w:hAnsi="Arial"/>
          <w:sz w:val="21"/>
          <w:szCs w:val="21"/>
          <w:color w:val="auto"/>
        </w:rPr>
        <w:t>As required by the Dodd-Frank Act, we provide the opportunity for shareholders to vote, on an advisory basis, on the compensation of executives (commonly known as a “say-on-pay” proposal). We present the say-on-pay proposal to our shareholders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3963035</wp:posOffset>
            </wp:positionH>
            <wp:positionV relativeFrom="paragraph">
              <wp:posOffset>391160</wp:posOffset>
            </wp:positionV>
            <wp:extent cx="2516505" cy="2038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16505" cy="2038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2025 Voting Result</w:t>
      </w:r>
    </w:p>
    <w:p>
      <w:pPr>
        <w:spacing w:after="0" w:line="240" w:lineRule="exact"/>
        <w:rPr>
          <w:sz w:val="20"/>
          <w:szCs w:val="20"/>
          <w:color w:val="auto"/>
        </w:rPr>
      </w:pPr>
    </w:p>
    <w:p>
      <w:pPr>
        <w:ind w:left="640" w:right="4900"/>
        <w:spacing w:after="0" w:line="235" w:lineRule="auto"/>
        <w:rPr>
          <w:sz w:val="20"/>
          <w:szCs w:val="20"/>
          <w:color w:val="auto"/>
        </w:rPr>
      </w:pPr>
      <w:r>
        <w:rPr>
          <w:rFonts w:ascii="Arial" w:cs="Arial" w:eastAsia="Arial" w:hAnsi="Arial"/>
          <w:sz w:val="21"/>
          <w:szCs w:val="21"/>
          <w:color w:val="auto"/>
        </w:rPr>
        <w:t>At the 2025 annual meeting of shareholders, we presented the required non-binding advisory say-on-pay vote on the compensation of our Named Executive Officers as Proposal 3. As we reported in the Current Report on Form 8-K, filed with the SEC on May 5, 2025, 91% of shareholders approved, by advisory vote, the compensation of our Named Executive Officers. The Compensation Committee continues to believe the significant compensation and governance-related policy changes made in 2018 are reflected in the consistently excellent say-on-pay advisory vote results in 2019 through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211455</wp:posOffset>
            </wp:positionV>
            <wp:extent cx="6337300" cy="2433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337300" cy="2433955"/>
                    </a:xfrm>
                    <a:prstGeom prst="rect">
                      <a:avLst/>
                    </a:prstGeom>
                    <a:noFill/>
                  </pic:spPr>
                </pic:pic>
              </a:graphicData>
            </a:graphic>
          </wp:anchor>
        </w:drawing>
      </w:r>
    </w:p>
    <w:p>
      <w:pPr>
        <w:sectPr>
          <w:pgSz w:w="11900" w:h="16838" w:orient="portrait"/>
          <w:cols w:equalWidth="0" w:num="1">
            <w:col w:w="10620"/>
          </w:cols>
          <w:pgMar w:left="320" w:top="470"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860"/>
        <w:spacing w:after="0"/>
        <w:rPr>
          <w:sz w:val="20"/>
          <w:szCs w:val="20"/>
          <w:color w:val="auto"/>
        </w:rPr>
      </w:pPr>
      <w:r>
        <w:rPr>
          <w:rFonts w:ascii="Arial" w:cs="Arial" w:eastAsia="Arial" w:hAnsi="Arial"/>
          <w:sz w:val="17"/>
          <w:szCs w:val="17"/>
          <w:b w:val="1"/>
          <w:bCs w:val="1"/>
          <w:color w:val="auto"/>
        </w:rPr>
        <w:t>Compensation-Related Policies</w:t>
      </w:r>
    </w:p>
    <w:p>
      <w:pPr>
        <w:spacing w:after="0" w:line="145" w:lineRule="exact"/>
        <w:rPr>
          <w:sz w:val="20"/>
          <w:szCs w:val="20"/>
          <w:color w:val="auto"/>
        </w:rPr>
      </w:pPr>
    </w:p>
    <w:p>
      <w:pPr>
        <w:ind w:left="1160" w:hanging="254"/>
        <w:spacing w:after="0" w:line="359" w:lineRule="auto"/>
        <w:rPr>
          <w:sz w:val="20"/>
          <w:szCs w:val="20"/>
          <w:color w:val="auto"/>
        </w:rPr>
      </w:pPr>
      <w:r>
        <w:rPr>
          <w:rFonts w:ascii="Arial" w:cs="Arial" w:eastAsia="Arial" w:hAnsi="Arial"/>
          <w:sz w:val="17"/>
          <w:szCs w:val="17"/>
          <w:color w:val="auto"/>
        </w:rPr>
        <w:t>    No excise tax gross up provision in any Change of Control Agreements</w:t>
      </w:r>
    </w:p>
    <w:p>
      <w:pPr>
        <w:spacing w:after="0" w:line="26" w:lineRule="exact"/>
        <w:rPr>
          <w:sz w:val="20"/>
          <w:szCs w:val="20"/>
          <w:color w:val="auto"/>
        </w:rPr>
      </w:pPr>
    </w:p>
    <w:p>
      <w:pPr>
        <w:ind w:left="1160" w:right="520" w:hanging="254"/>
        <w:spacing w:after="0" w:line="359" w:lineRule="auto"/>
        <w:rPr>
          <w:sz w:val="20"/>
          <w:szCs w:val="20"/>
          <w:color w:val="auto"/>
        </w:rPr>
      </w:pPr>
      <w:r>
        <w:rPr>
          <w:rFonts w:ascii="Arial" w:cs="Arial" w:eastAsia="Arial" w:hAnsi="Arial"/>
          <w:sz w:val="17"/>
          <w:szCs w:val="17"/>
          <w:color w:val="auto"/>
        </w:rPr>
        <w:t>    No excise tax gross up provisions in Mr. Meissner’s Employment Agreement</w:t>
      </w:r>
    </w:p>
    <w:p>
      <w:pPr>
        <w:spacing w:after="0" w:line="26" w:lineRule="exact"/>
        <w:rPr>
          <w:sz w:val="20"/>
          <w:szCs w:val="20"/>
          <w:color w:val="auto"/>
        </w:rPr>
      </w:pPr>
    </w:p>
    <w:p>
      <w:pPr>
        <w:ind w:left="900" w:right="1240"/>
        <w:spacing w:after="0" w:line="510" w:lineRule="auto"/>
        <w:rPr>
          <w:sz w:val="20"/>
          <w:szCs w:val="20"/>
          <w:color w:val="auto"/>
        </w:rPr>
      </w:pPr>
      <w:r>
        <w:rPr>
          <w:rFonts w:ascii="Arial" w:cs="Arial" w:eastAsia="Arial" w:hAnsi="Arial"/>
          <w:sz w:val="17"/>
          <w:szCs w:val="17"/>
          <w:color w:val="auto"/>
        </w:rPr>
        <w:t>    Executive Compensation Recovery Policy     Executive Stock Ownership Policy</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 Stock Retention Policy for Directors and Executives</w:t>
      </w:r>
    </w:p>
    <w:p>
      <w:pPr>
        <w:spacing w:after="0" w:line="22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 Anti-Hedging and/or Pledging of Company Stock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323215</wp:posOffset>
            </wp:positionV>
            <wp:extent cx="3333750" cy="825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337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Committee Commitment</w:t>
      </w:r>
    </w:p>
    <w:p>
      <w:pPr>
        <w:spacing w:after="0" w:line="109"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 xml:space="preserve">The Compensation Committee remains committed to meeting the objectives that our compensation policies and practices are contemporary, transparent, meet shareholder expectations, and in line with corporate governance best practices. Details on all compensation and governance-related policies are outlined in the section of this proxy statement entitled </w:t>
      </w:r>
      <w:r>
        <w:rPr>
          <w:rFonts w:ascii="Arial" w:cs="Arial" w:eastAsia="Arial" w:hAnsi="Arial"/>
          <w:sz w:val="21"/>
          <w:szCs w:val="21"/>
          <w:i w:val="1"/>
          <w:iCs w:val="1"/>
          <w:color w:val="auto"/>
        </w:rPr>
        <w:t>Corporate Governance.</w:t>
      </w:r>
    </w:p>
    <w:p>
      <w:pPr>
        <w:spacing w:after="0" w:line="236" w:lineRule="exact"/>
        <w:rPr>
          <w:sz w:val="20"/>
          <w:szCs w:val="20"/>
          <w:color w:val="auto"/>
        </w:rPr>
      </w:pPr>
    </w:p>
    <w:p>
      <w:pPr>
        <w:ind w:right="260"/>
        <w:spacing w:after="0" w:line="243" w:lineRule="auto"/>
        <w:rPr>
          <w:sz w:val="20"/>
          <w:szCs w:val="20"/>
          <w:color w:val="auto"/>
        </w:rPr>
      </w:pPr>
      <w:r>
        <w:rPr>
          <w:rFonts w:ascii="Arial" w:cs="Arial" w:eastAsia="Arial" w:hAnsi="Arial"/>
          <w:sz w:val="21"/>
          <w:szCs w:val="21"/>
          <w:color w:val="auto"/>
        </w:rPr>
        <w:t xml:space="preserve">Our 2026 say-on-pay proposal is included in this proxy statement as </w:t>
      </w:r>
      <w:r>
        <w:rPr>
          <w:rFonts w:ascii="Arial" w:cs="Arial" w:eastAsia="Arial" w:hAnsi="Arial"/>
          <w:sz w:val="21"/>
          <w:szCs w:val="21"/>
          <w:i w:val="1"/>
          <w:iCs w:val="1"/>
          <w:color w:val="auto"/>
        </w:rPr>
        <w:t>Proposal 3: Vote, on an</w:t>
      </w:r>
      <w:r>
        <w:rPr>
          <w:rFonts w:ascii="Arial" w:cs="Arial" w:eastAsia="Arial" w:hAnsi="Arial"/>
          <w:sz w:val="21"/>
          <w:szCs w:val="21"/>
          <w:color w:val="auto"/>
        </w:rPr>
        <w:t xml:space="preserve"> </w:t>
      </w:r>
      <w:r>
        <w:rPr>
          <w:rFonts w:ascii="Arial" w:cs="Arial" w:eastAsia="Arial" w:hAnsi="Arial"/>
          <w:sz w:val="21"/>
          <w:szCs w:val="21"/>
          <w:i w:val="1"/>
          <w:iCs w:val="1"/>
          <w:color w:val="auto"/>
        </w:rPr>
        <w:t>Advisory Basis, of the Compensation of the Company’s Named Executive Officers</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270510</wp:posOffset>
            </wp:positionV>
            <wp:extent cx="29127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440"/>
            <w:col w:w="4700"/>
          </w:cols>
          <w:pgMar w:left="320" w:top="470" w:right="959" w:bottom="1440" w:gutter="0" w:footer="0" w:header="0"/>
          <w:type w:val="continuous"/>
        </w:sectPr>
      </w:pPr>
    </w:p>
    <w:p>
      <w:pPr>
        <w:spacing w:after="0" w:line="352"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620"/>
          </w:cols>
          <w:pgMar w:left="320" w:top="470" w:right="95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22225</wp:posOffset>
            </wp:positionV>
            <wp:extent cx="63373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right="60"/>
        <w:spacing w:after="0" w:line="235" w:lineRule="auto"/>
        <w:rPr>
          <w:sz w:val="20"/>
          <w:szCs w:val="20"/>
          <w:color w:val="auto"/>
        </w:rPr>
      </w:pPr>
      <w:r>
        <w:rPr>
          <w:rFonts w:ascii="Arial" w:cs="Arial" w:eastAsia="Arial" w:hAnsi="Arial"/>
          <w:sz w:val="21"/>
          <w:szCs w:val="21"/>
          <w:color w:val="auto"/>
        </w:rPr>
        <w:t>Every employee is paid a base salary. The purpose of base salary is to reward employees for the expertise and value they bring to their jobs. Base salary is determined according to our salary policy, which assigns each position a grade and a corresponding salary range. We set salary ranges for every position based upon comparative salary data provided by Willis Towers. The midpoint of the salary range is set at the median level of the broad-based published compensation survey group when compared to similar positions at comparable companies. The minimum parameter in the salary range is determined by multiplying the midpoint by 80%, and the maximum parameter is determined by multiplying the midpoint by 120%. The salary range is then used to manage each employee’s salary, which is based on merit, within the range. For each employee (including Named Executive Officers), base salary is set within the salary range based upon individual performance relative to individual annual goals. The elements of individual performance differ depending on the individual position, but generally include: quality of work; successful completion of established goals; ability to initiate creative solutions; adaptability to change; and impact on our overall performance. The salaries of all employees (including the Named Executive Officers) are reviewed annually, as well as at the time of a promotion or change in responsibilities.</w:t>
      </w:r>
    </w:p>
    <w:p>
      <w:pPr>
        <w:sectPr>
          <w:pgSz w:w="11900" w:h="16838" w:orient="portrait"/>
          <w:cols w:equalWidth="0" w:num="1">
            <w:col w:w="10620"/>
          </w:cols>
          <w:pgMar w:left="320" w:top="470" w:right="959" w:bottom="1440" w:gutter="0" w:footer="0" w:header="0"/>
        </w:sectPr>
      </w:pPr>
    </w:p>
    <w:p>
      <w:pPr>
        <w:spacing w:after="0" w:line="198" w:lineRule="exact"/>
        <w:rPr>
          <w:sz w:val="20"/>
          <w:szCs w:val="20"/>
          <w:color w:val="auto"/>
        </w:rPr>
      </w:pPr>
    </w:p>
    <w:p>
      <w:pPr>
        <w:ind w:left="640"/>
        <w:spacing w:after="0" w:line="236" w:lineRule="auto"/>
        <w:rPr>
          <w:sz w:val="20"/>
          <w:szCs w:val="20"/>
          <w:color w:val="auto"/>
        </w:rPr>
      </w:pPr>
      <w:r>
        <w:rPr>
          <w:rFonts w:ascii="Arial" w:cs="Arial" w:eastAsia="Arial" w:hAnsi="Arial"/>
          <w:sz w:val="21"/>
          <w:szCs w:val="21"/>
          <w:color w:val="auto"/>
        </w:rPr>
        <w:t>Each position (including all executive officer positions) has a job description that outlines the accountabilities and competencies required. Merit increases are considered at the end of the year based on the evaluation of each person’s performance as related to each accountability listed in the individual job description, as well as the achievement of individual goals established at the beginning of the year. Executive officers’ merit increases also include evaluation of overall Company performance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3"/>
        </w:trPr>
        <w:tc>
          <w:tcPr>
            <w:tcW w:w="260" w:type="dxa"/>
            <w:vAlign w:val="bottom"/>
            <w:shd w:val="clear" w:color="auto" w:fill="DAE6F2"/>
          </w:tcPr>
          <w:p>
            <w:pPr>
              <w:spacing w:after="0"/>
              <w:rPr>
                <w:sz w:val="24"/>
                <w:szCs w:val="24"/>
                <w:color w:val="auto"/>
              </w:rPr>
            </w:pPr>
          </w:p>
        </w:tc>
        <w:tc>
          <w:tcPr>
            <w:tcW w:w="1810" w:type="dxa"/>
            <w:vAlign w:val="bottom"/>
            <w:gridSpan w:val="2"/>
            <w:shd w:val="clear" w:color="auto" w:fill="DAE6F2"/>
          </w:tcPr>
          <w:p>
            <w:pPr>
              <w:spacing w:after="0"/>
              <w:rPr>
                <w:sz w:val="20"/>
                <w:szCs w:val="20"/>
                <w:color w:val="auto"/>
              </w:rPr>
            </w:pPr>
            <w:r>
              <w:rPr>
                <w:rFonts w:ascii="Arial" w:cs="Arial" w:eastAsia="Arial" w:hAnsi="Arial"/>
                <w:sz w:val="17"/>
                <w:szCs w:val="17"/>
                <w:b w:val="1"/>
                <w:bCs w:val="1"/>
                <w:color w:val="auto"/>
              </w:rPr>
              <w:t>Named Executive</w:t>
            </w:r>
          </w:p>
        </w:tc>
        <w:tc>
          <w:tcPr>
            <w:tcW w:w="2630" w:type="dxa"/>
            <w:vAlign w:val="bottom"/>
            <w:gridSpan w:val="2"/>
            <w:shd w:val="clear" w:color="auto" w:fill="DAE6F2"/>
          </w:tcPr>
          <w:p>
            <w:pPr>
              <w:ind w:left="170"/>
              <w:spacing w:after="0"/>
              <w:rPr>
                <w:sz w:val="20"/>
                <w:szCs w:val="20"/>
                <w:color w:val="auto"/>
              </w:rPr>
            </w:pPr>
            <w:r>
              <w:rPr>
                <w:rFonts w:ascii="Arial" w:cs="Arial" w:eastAsia="Arial" w:hAnsi="Arial"/>
                <w:sz w:val="17"/>
                <w:szCs w:val="17"/>
                <w:b w:val="1"/>
                <w:bCs w:val="1"/>
                <w:color w:val="auto"/>
              </w:rPr>
              <w:t>       Cumulative 2025</w:t>
            </w:r>
          </w:p>
        </w:tc>
      </w:tr>
      <w:tr>
        <w:trPr>
          <w:trHeight w:val="239"/>
        </w:trPr>
        <w:tc>
          <w:tcPr>
            <w:tcW w:w="260" w:type="dxa"/>
            <w:vAlign w:val="bottom"/>
            <w:tcBorders>
              <w:bottom w:val="single" w:sz="8" w:color="DAE6F2"/>
            </w:tcBorders>
            <w:shd w:val="clear" w:color="auto" w:fill="DAE6F2"/>
          </w:tcPr>
          <w:p>
            <w:pPr>
              <w:spacing w:after="0"/>
              <w:rPr>
                <w:sz w:val="20"/>
                <w:szCs w:val="20"/>
                <w:color w:val="auto"/>
              </w:rPr>
            </w:pPr>
          </w:p>
        </w:tc>
        <w:tc>
          <w:tcPr>
            <w:tcW w:w="1810" w:type="dxa"/>
            <w:vAlign w:val="bottom"/>
            <w:tcBorders>
              <w:bottom w:val="single" w:sz="8" w:color="auto"/>
            </w:tcBorders>
            <w:gridSpan w:val="2"/>
            <w:shd w:val="clear" w:color="auto" w:fill="DAE6F2"/>
          </w:tcPr>
          <w:p>
            <w:pPr>
              <w:spacing w:after="0"/>
              <w:rPr>
                <w:sz w:val="20"/>
                <w:szCs w:val="20"/>
                <w:color w:val="auto"/>
              </w:rPr>
            </w:pPr>
            <w:r>
              <w:rPr>
                <w:rFonts w:ascii="Arial" w:cs="Arial" w:eastAsia="Arial" w:hAnsi="Arial"/>
                <w:sz w:val="17"/>
                <w:szCs w:val="17"/>
                <w:b w:val="1"/>
                <w:bCs w:val="1"/>
                <w:color w:val="auto"/>
              </w:rPr>
              <w:t>Officer</w:t>
            </w:r>
          </w:p>
        </w:tc>
        <w:tc>
          <w:tcPr>
            <w:tcW w:w="2230" w:type="dxa"/>
            <w:vAlign w:val="bottom"/>
            <w:tcBorders>
              <w:bottom w:val="single" w:sz="8" w:color="auto"/>
            </w:tcBorders>
            <w:shd w:val="clear" w:color="auto" w:fill="DAE6F2"/>
          </w:tcPr>
          <w:p>
            <w:pPr>
              <w:ind w:left="170"/>
              <w:spacing w:after="0"/>
              <w:rPr>
                <w:sz w:val="20"/>
                <w:szCs w:val="20"/>
                <w:color w:val="auto"/>
              </w:rPr>
            </w:pPr>
            <w:r>
              <w:rPr>
                <w:rFonts w:ascii="Arial" w:cs="Arial" w:eastAsia="Arial" w:hAnsi="Arial"/>
                <w:sz w:val="17"/>
                <w:szCs w:val="17"/>
                <w:b w:val="1"/>
                <w:bCs w:val="1"/>
                <w:color w:val="auto"/>
              </w:rPr>
              <w:t>  Base Salary Increase</w:t>
            </w:r>
          </w:p>
        </w:tc>
        <w:tc>
          <w:tcPr>
            <w:tcW w:w="400" w:type="dxa"/>
            <w:vAlign w:val="bottom"/>
            <w:tcBorders>
              <w:bottom w:val="single" w:sz="8" w:color="DAE6F2"/>
            </w:tcBorders>
            <w:shd w:val="clear" w:color="auto" w:fill="DAE6F2"/>
          </w:tcPr>
          <w:p>
            <w:pPr>
              <w:spacing w:after="0"/>
              <w:rPr>
                <w:sz w:val="20"/>
                <w:szCs w:val="20"/>
                <w:color w:val="auto"/>
              </w:rPr>
            </w:pPr>
          </w:p>
        </w:tc>
      </w:tr>
      <w:tr>
        <w:trPr>
          <w:trHeight w:val="279"/>
        </w:trPr>
        <w:tc>
          <w:tcPr>
            <w:tcW w:w="260" w:type="dxa"/>
            <w:vAlign w:val="bottom"/>
            <w:shd w:val="clear" w:color="auto" w:fill="DAE6F2"/>
          </w:tcPr>
          <w:p>
            <w:pPr>
              <w:spacing w:after="0"/>
              <w:rPr>
                <w:sz w:val="24"/>
                <w:szCs w:val="24"/>
                <w:color w:val="auto"/>
              </w:rPr>
            </w:pPr>
          </w:p>
        </w:tc>
        <w:tc>
          <w:tcPr>
            <w:tcW w:w="260" w:type="dxa"/>
            <w:vAlign w:val="bottom"/>
            <w:shd w:val="clear" w:color="auto" w:fill="DAE6F2"/>
          </w:tcPr>
          <w:p>
            <w:pPr>
              <w:spacing w:after="0"/>
              <w:rPr>
                <w:sz w:val="20"/>
                <w:szCs w:val="20"/>
                <w:color w:val="auto"/>
              </w:rPr>
            </w:pPr>
            <w:r>
              <w:rPr>
                <w:rFonts w:ascii="Arial" w:cs="Arial" w:eastAsia="Arial" w:hAnsi="Arial"/>
                <w:sz w:val="17"/>
                <w:szCs w:val="17"/>
                <w:color w:val="auto"/>
                <w:w w:val="97"/>
              </w:rPr>
              <w:t>Mr.</w:t>
            </w:r>
          </w:p>
        </w:tc>
        <w:tc>
          <w:tcPr>
            <w:tcW w:w="1550" w:type="dxa"/>
            <w:vAlign w:val="bottom"/>
            <w:shd w:val="clear" w:color="auto" w:fill="DAE6F2"/>
          </w:tcPr>
          <w:p>
            <w:pPr>
              <w:ind w:left="20"/>
              <w:spacing w:after="0"/>
              <w:rPr>
                <w:sz w:val="20"/>
                <w:szCs w:val="20"/>
                <w:color w:val="auto"/>
              </w:rPr>
            </w:pPr>
            <w:r>
              <w:rPr>
                <w:rFonts w:ascii="Arial" w:cs="Arial" w:eastAsia="Arial" w:hAnsi="Arial"/>
                <w:sz w:val="17"/>
                <w:szCs w:val="17"/>
                <w:color w:val="auto"/>
              </w:rPr>
              <w:t>Meissner</w:t>
            </w:r>
          </w:p>
        </w:tc>
        <w:tc>
          <w:tcPr>
            <w:tcW w:w="2630" w:type="dxa"/>
            <w:vAlign w:val="bottom"/>
            <w:gridSpan w:val="2"/>
            <w:shd w:val="clear" w:color="auto" w:fill="DAE6F2"/>
          </w:tcPr>
          <w:p>
            <w:pPr>
              <w:ind w:left="1510"/>
              <w:spacing w:after="0"/>
              <w:rPr>
                <w:sz w:val="20"/>
                <w:szCs w:val="20"/>
                <w:color w:val="auto"/>
              </w:rPr>
            </w:pPr>
            <w:r>
              <w:rPr>
                <w:rFonts w:ascii="Arial" w:cs="Arial" w:eastAsia="Arial" w:hAnsi="Arial"/>
                <w:sz w:val="17"/>
                <w:szCs w:val="17"/>
                <w:color w:val="auto"/>
              </w:rPr>
              <w:t>4.50% </w:t>
            </w:r>
          </w:p>
        </w:tc>
      </w:tr>
      <w:tr>
        <w:trPr>
          <w:trHeight w:val="286"/>
        </w:trPr>
        <w:tc>
          <w:tcPr>
            <w:tcW w:w="260" w:type="dxa"/>
            <w:vAlign w:val="bottom"/>
            <w:shd w:val="clear" w:color="auto" w:fill="DAE6F2"/>
          </w:tcPr>
          <w:p>
            <w:pPr>
              <w:spacing w:after="0"/>
              <w:rPr>
                <w:sz w:val="24"/>
                <w:szCs w:val="24"/>
                <w:color w:val="auto"/>
              </w:rPr>
            </w:pPr>
          </w:p>
        </w:tc>
        <w:tc>
          <w:tcPr>
            <w:tcW w:w="260" w:type="dxa"/>
            <w:vAlign w:val="bottom"/>
            <w:shd w:val="clear" w:color="auto" w:fill="DAE6F2"/>
          </w:tcPr>
          <w:p>
            <w:pPr>
              <w:spacing w:after="0"/>
              <w:rPr>
                <w:sz w:val="20"/>
                <w:szCs w:val="20"/>
                <w:color w:val="auto"/>
              </w:rPr>
            </w:pPr>
            <w:r>
              <w:rPr>
                <w:rFonts w:ascii="Arial" w:cs="Arial" w:eastAsia="Arial" w:hAnsi="Arial"/>
                <w:sz w:val="17"/>
                <w:szCs w:val="17"/>
                <w:color w:val="auto"/>
                <w:w w:val="97"/>
              </w:rPr>
              <w:t>Mr.</w:t>
            </w:r>
          </w:p>
        </w:tc>
        <w:tc>
          <w:tcPr>
            <w:tcW w:w="1550" w:type="dxa"/>
            <w:vAlign w:val="bottom"/>
            <w:shd w:val="clear" w:color="auto" w:fill="DAE6F2"/>
          </w:tcPr>
          <w:p>
            <w:pPr>
              <w:ind w:left="20"/>
              <w:spacing w:after="0"/>
              <w:rPr>
                <w:sz w:val="20"/>
                <w:szCs w:val="20"/>
                <w:color w:val="auto"/>
              </w:rPr>
            </w:pPr>
            <w:r>
              <w:rPr>
                <w:rFonts w:ascii="Arial" w:cs="Arial" w:eastAsia="Arial" w:hAnsi="Arial"/>
                <w:sz w:val="17"/>
                <w:szCs w:val="17"/>
                <w:color w:val="auto"/>
              </w:rPr>
              <w:t>Hevert</w:t>
            </w:r>
          </w:p>
        </w:tc>
        <w:tc>
          <w:tcPr>
            <w:tcW w:w="2630" w:type="dxa"/>
            <w:vAlign w:val="bottom"/>
            <w:gridSpan w:val="2"/>
            <w:shd w:val="clear" w:color="auto" w:fill="DAE6F2"/>
          </w:tcPr>
          <w:p>
            <w:pPr>
              <w:ind w:left="1510"/>
              <w:spacing w:after="0"/>
              <w:rPr>
                <w:sz w:val="20"/>
                <w:szCs w:val="20"/>
                <w:color w:val="auto"/>
              </w:rPr>
            </w:pPr>
            <w:r>
              <w:rPr>
                <w:rFonts w:ascii="Arial" w:cs="Arial" w:eastAsia="Arial" w:hAnsi="Arial"/>
                <w:sz w:val="17"/>
                <w:szCs w:val="17"/>
                <w:color w:val="auto"/>
              </w:rPr>
              <w:t>3.62% </w:t>
            </w:r>
          </w:p>
        </w:tc>
      </w:tr>
      <w:tr>
        <w:trPr>
          <w:trHeight w:val="286"/>
        </w:trPr>
        <w:tc>
          <w:tcPr>
            <w:tcW w:w="260" w:type="dxa"/>
            <w:vAlign w:val="bottom"/>
            <w:shd w:val="clear" w:color="auto" w:fill="DAE6F2"/>
          </w:tcPr>
          <w:p>
            <w:pPr>
              <w:spacing w:after="0"/>
              <w:rPr>
                <w:sz w:val="24"/>
                <w:szCs w:val="24"/>
                <w:color w:val="auto"/>
              </w:rPr>
            </w:pPr>
          </w:p>
        </w:tc>
        <w:tc>
          <w:tcPr>
            <w:tcW w:w="260" w:type="dxa"/>
            <w:vAlign w:val="bottom"/>
            <w:shd w:val="clear" w:color="auto" w:fill="DAE6F2"/>
          </w:tcPr>
          <w:p>
            <w:pPr>
              <w:spacing w:after="0"/>
              <w:rPr>
                <w:sz w:val="20"/>
                <w:szCs w:val="20"/>
                <w:color w:val="auto"/>
              </w:rPr>
            </w:pPr>
            <w:r>
              <w:rPr>
                <w:rFonts w:ascii="Arial" w:cs="Arial" w:eastAsia="Arial" w:hAnsi="Arial"/>
                <w:sz w:val="17"/>
                <w:szCs w:val="17"/>
                <w:color w:val="auto"/>
                <w:w w:val="97"/>
              </w:rPr>
              <w:t>Mr.</w:t>
            </w:r>
          </w:p>
        </w:tc>
        <w:tc>
          <w:tcPr>
            <w:tcW w:w="1550" w:type="dxa"/>
            <w:vAlign w:val="bottom"/>
            <w:shd w:val="clear" w:color="auto" w:fill="DAE6F2"/>
          </w:tcPr>
          <w:p>
            <w:pPr>
              <w:ind w:left="20"/>
              <w:spacing w:after="0"/>
              <w:rPr>
                <w:sz w:val="20"/>
                <w:szCs w:val="20"/>
                <w:color w:val="auto"/>
              </w:rPr>
            </w:pPr>
            <w:r>
              <w:rPr>
                <w:rFonts w:ascii="Arial" w:cs="Arial" w:eastAsia="Arial" w:hAnsi="Arial"/>
                <w:sz w:val="17"/>
                <w:szCs w:val="17"/>
                <w:color w:val="auto"/>
              </w:rPr>
              <w:t>Hurstak</w:t>
            </w:r>
          </w:p>
        </w:tc>
        <w:tc>
          <w:tcPr>
            <w:tcW w:w="2630" w:type="dxa"/>
            <w:vAlign w:val="bottom"/>
            <w:gridSpan w:val="2"/>
            <w:shd w:val="clear" w:color="auto" w:fill="DAE6F2"/>
          </w:tcPr>
          <w:p>
            <w:pPr>
              <w:ind w:left="1510"/>
              <w:spacing w:after="0"/>
              <w:rPr>
                <w:sz w:val="20"/>
                <w:szCs w:val="20"/>
                <w:color w:val="auto"/>
              </w:rPr>
            </w:pPr>
            <w:r>
              <w:rPr>
                <w:rFonts w:ascii="Arial" w:cs="Arial" w:eastAsia="Arial" w:hAnsi="Arial"/>
                <w:sz w:val="17"/>
                <w:szCs w:val="17"/>
                <w:color w:val="auto"/>
              </w:rPr>
              <w:t>6.70% </w:t>
            </w:r>
          </w:p>
        </w:tc>
      </w:tr>
      <w:tr>
        <w:trPr>
          <w:trHeight w:val="286"/>
        </w:trPr>
        <w:tc>
          <w:tcPr>
            <w:tcW w:w="260" w:type="dxa"/>
            <w:vAlign w:val="bottom"/>
            <w:shd w:val="clear" w:color="auto" w:fill="DAE6F2"/>
          </w:tcPr>
          <w:p>
            <w:pPr>
              <w:spacing w:after="0"/>
              <w:rPr>
                <w:sz w:val="24"/>
                <w:szCs w:val="24"/>
                <w:color w:val="auto"/>
              </w:rPr>
            </w:pPr>
          </w:p>
        </w:tc>
        <w:tc>
          <w:tcPr>
            <w:tcW w:w="260" w:type="dxa"/>
            <w:vAlign w:val="bottom"/>
            <w:shd w:val="clear" w:color="auto" w:fill="DAE6F2"/>
          </w:tcPr>
          <w:p>
            <w:pPr>
              <w:spacing w:after="0"/>
              <w:rPr>
                <w:sz w:val="20"/>
                <w:szCs w:val="20"/>
                <w:color w:val="auto"/>
              </w:rPr>
            </w:pPr>
            <w:r>
              <w:rPr>
                <w:rFonts w:ascii="Arial" w:cs="Arial" w:eastAsia="Arial" w:hAnsi="Arial"/>
                <w:sz w:val="17"/>
                <w:szCs w:val="17"/>
                <w:color w:val="auto"/>
                <w:w w:val="97"/>
              </w:rPr>
              <w:t>Mr.</w:t>
            </w:r>
          </w:p>
        </w:tc>
        <w:tc>
          <w:tcPr>
            <w:tcW w:w="1550" w:type="dxa"/>
            <w:vAlign w:val="bottom"/>
            <w:shd w:val="clear" w:color="auto" w:fill="DAE6F2"/>
          </w:tcPr>
          <w:p>
            <w:pPr>
              <w:ind w:left="20"/>
              <w:spacing w:after="0"/>
              <w:rPr>
                <w:sz w:val="20"/>
                <w:szCs w:val="20"/>
                <w:color w:val="auto"/>
              </w:rPr>
            </w:pPr>
            <w:r>
              <w:rPr>
                <w:rFonts w:ascii="Arial" w:cs="Arial" w:eastAsia="Arial" w:hAnsi="Arial"/>
                <w:sz w:val="17"/>
                <w:szCs w:val="17"/>
                <w:color w:val="auto"/>
              </w:rPr>
              <w:t>Eisfeller</w:t>
            </w:r>
          </w:p>
        </w:tc>
        <w:tc>
          <w:tcPr>
            <w:tcW w:w="2630" w:type="dxa"/>
            <w:vAlign w:val="bottom"/>
            <w:gridSpan w:val="2"/>
            <w:shd w:val="clear" w:color="auto" w:fill="DAE6F2"/>
          </w:tcPr>
          <w:p>
            <w:pPr>
              <w:ind w:left="1510"/>
              <w:spacing w:after="0"/>
              <w:rPr>
                <w:sz w:val="20"/>
                <w:szCs w:val="20"/>
                <w:color w:val="auto"/>
              </w:rPr>
            </w:pPr>
            <w:r>
              <w:rPr>
                <w:rFonts w:ascii="Arial" w:cs="Arial" w:eastAsia="Arial" w:hAnsi="Arial"/>
                <w:sz w:val="17"/>
                <w:szCs w:val="17"/>
                <w:color w:val="auto"/>
              </w:rPr>
              <w:t>3.67% </w:t>
            </w:r>
          </w:p>
        </w:tc>
      </w:tr>
      <w:tr>
        <w:trPr>
          <w:trHeight w:val="368"/>
        </w:trPr>
        <w:tc>
          <w:tcPr>
            <w:tcW w:w="260" w:type="dxa"/>
            <w:vAlign w:val="bottom"/>
            <w:shd w:val="clear" w:color="auto" w:fill="DAE6F2"/>
          </w:tcPr>
          <w:p>
            <w:pPr>
              <w:spacing w:after="0"/>
              <w:rPr>
                <w:sz w:val="24"/>
                <w:szCs w:val="24"/>
                <w:color w:val="auto"/>
              </w:rPr>
            </w:pPr>
          </w:p>
        </w:tc>
        <w:tc>
          <w:tcPr>
            <w:tcW w:w="260" w:type="dxa"/>
            <w:vAlign w:val="bottom"/>
            <w:shd w:val="clear" w:color="auto" w:fill="DAE6F2"/>
          </w:tcPr>
          <w:p>
            <w:pPr>
              <w:spacing w:after="0"/>
              <w:rPr>
                <w:sz w:val="20"/>
                <w:szCs w:val="20"/>
                <w:color w:val="auto"/>
              </w:rPr>
            </w:pPr>
            <w:r>
              <w:rPr>
                <w:rFonts w:ascii="Arial" w:cs="Arial" w:eastAsia="Arial" w:hAnsi="Arial"/>
                <w:sz w:val="17"/>
                <w:szCs w:val="17"/>
                <w:color w:val="auto"/>
                <w:w w:val="97"/>
              </w:rPr>
              <w:t>Mr.</w:t>
            </w:r>
          </w:p>
        </w:tc>
        <w:tc>
          <w:tcPr>
            <w:tcW w:w="1550" w:type="dxa"/>
            <w:vAlign w:val="bottom"/>
            <w:shd w:val="clear" w:color="auto" w:fill="DAE6F2"/>
          </w:tcPr>
          <w:p>
            <w:pPr>
              <w:ind w:left="20"/>
              <w:spacing w:after="0"/>
              <w:rPr>
                <w:sz w:val="20"/>
                <w:szCs w:val="20"/>
                <w:color w:val="auto"/>
              </w:rPr>
            </w:pPr>
            <w:r>
              <w:rPr>
                <w:rFonts w:ascii="Arial" w:cs="Arial" w:eastAsia="Arial" w:hAnsi="Arial"/>
                <w:sz w:val="17"/>
                <w:szCs w:val="17"/>
                <w:color w:val="auto"/>
              </w:rPr>
              <w:t>LeBlanc</w:t>
            </w:r>
          </w:p>
        </w:tc>
        <w:tc>
          <w:tcPr>
            <w:tcW w:w="2230" w:type="dxa"/>
            <w:vAlign w:val="bottom"/>
            <w:shd w:val="clear" w:color="auto" w:fill="DAE6F2"/>
          </w:tcPr>
          <w:p>
            <w:pPr>
              <w:ind w:left="1510"/>
              <w:spacing w:after="0"/>
              <w:rPr>
                <w:sz w:val="20"/>
                <w:szCs w:val="20"/>
                <w:color w:val="auto"/>
              </w:rPr>
            </w:pPr>
            <w:r>
              <w:rPr>
                <w:rFonts w:ascii="Arial" w:cs="Arial" w:eastAsia="Arial" w:hAnsi="Arial"/>
                <w:sz w:val="17"/>
                <w:szCs w:val="17"/>
                <w:color w:val="auto"/>
              </w:rPr>
              <w:t>8.14%</w:t>
            </w:r>
          </w:p>
        </w:tc>
        <w:tc>
          <w:tcPr>
            <w:tcW w:w="400" w:type="dxa"/>
            <w:vAlign w:val="bottom"/>
            <w:shd w:val="clear" w:color="auto" w:fill="DAE6F2"/>
          </w:tcPr>
          <w:p>
            <w:pPr>
              <w:spacing w:after="0"/>
              <w:rPr>
                <w:sz w:val="24"/>
                <w:szCs w:val="24"/>
                <w:color w:val="auto"/>
              </w:rPr>
            </w:pPr>
          </w:p>
        </w:tc>
      </w:tr>
      <w:tr>
        <w:trPr>
          <w:trHeight w:val="113"/>
        </w:trPr>
        <w:tc>
          <w:tcPr>
            <w:tcW w:w="260" w:type="dxa"/>
            <w:vAlign w:val="bottom"/>
            <w:shd w:val="clear" w:color="auto" w:fill="DAE6F2"/>
          </w:tcPr>
          <w:p>
            <w:pPr>
              <w:spacing w:after="0"/>
              <w:rPr>
                <w:sz w:val="9"/>
                <w:szCs w:val="9"/>
                <w:color w:val="auto"/>
              </w:rPr>
            </w:pPr>
          </w:p>
        </w:tc>
        <w:tc>
          <w:tcPr>
            <w:tcW w:w="260" w:type="dxa"/>
            <w:vAlign w:val="bottom"/>
            <w:shd w:val="clear" w:color="auto" w:fill="DAE6F2"/>
          </w:tcPr>
          <w:p>
            <w:pPr>
              <w:spacing w:after="0"/>
              <w:rPr>
                <w:sz w:val="9"/>
                <w:szCs w:val="9"/>
                <w:color w:val="auto"/>
              </w:rPr>
            </w:pPr>
          </w:p>
        </w:tc>
        <w:tc>
          <w:tcPr>
            <w:tcW w:w="1550" w:type="dxa"/>
            <w:vAlign w:val="bottom"/>
            <w:shd w:val="clear" w:color="auto" w:fill="DAE6F2"/>
          </w:tcPr>
          <w:p>
            <w:pPr>
              <w:spacing w:after="0"/>
              <w:rPr>
                <w:sz w:val="9"/>
                <w:szCs w:val="9"/>
                <w:color w:val="auto"/>
              </w:rPr>
            </w:pPr>
          </w:p>
        </w:tc>
        <w:tc>
          <w:tcPr>
            <w:tcW w:w="2230" w:type="dxa"/>
            <w:vAlign w:val="bottom"/>
            <w:shd w:val="clear" w:color="auto" w:fill="DAE6F2"/>
          </w:tcPr>
          <w:p>
            <w:pPr>
              <w:spacing w:after="0"/>
              <w:rPr>
                <w:sz w:val="9"/>
                <w:szCs w:val="9"/>
                <w:color w:val="auto"/>
              </w:rPr>
            </w:pPr>
          </w:p>
        </w:tc>
        <w:tc>
          <w:tcPr>
            <w:tcW w:w="400" w:type="dxa"/>
            <w:vAlign w:val="bottom"/>
            <w:shd w:val="clear" w:color="auto" w:fill="DAE6F2"/>
          </w:tcPr>
          <w:p>
            <w:pPr>
              <w:spacing w:after="0"/>
              <w:rPr>
                <w:sz w:val="9"/>
                <w:szCs w:val="9"/>
                <w:color w:val="auto"/>
              </w:rPr>
            </w:pPr>
          </w:p>
        </w:tc>
      </w:tr>
    </w:tbl>
    <w:p>
      <w:pPr>
        <w:spacing w:after="0" w:line="248" w:lineRule="exact"/>
        <w:rPr>
          <w:sz w:val="20"/>
          <w:szCs w:val="20"/>
          <w:color w:val="auto"/>
        </w:rPr>
      </w:pPr>
    </w:p>
    <w:p>
      <w:pPr>
        <w:sectPr>
          <w:pgSz w:w="11900" w:h="16838" w:orient="portrait"/>
          <w:cols w:equalWidth="0" w:num="2">
            <w:col w:w="5900" w:space="20"/>
            <w:col w:w="4700"/>
          </w:cols>
          <w:pgMar w:left="320" w:top="470" w:right="959" w:bottom="1440" w:gutter="0" w:footer="0" w:header="0"/>
          <w:type w:val="continuous"/>
        </w:sectPr>
      </w:pPr>
    </w:p>
    <w:p>
      <w:pPr>
        <w:spacing w:after="0" w:line="50" w:lineRule="exact"/>
        <w:rPr>
          <w:sz w:val="20"/>
          <w:szCs w:val="20"/>
          <w:color w:val="auto"/>
        </w:rPr>
      </w:pPr>
    </w:p>
    <w:p>
      <w:pPr>
        <w:ind w:left="640" w:right="240"/>
        <w:spacing w:after="0" w:line="239" w:lineRule="auto"/>
        <w:rPr>
          <w:sz w:val="20"/>
          <w:szCs w:val="20"/>
          <w:color w:val="auto"/>
        </w:rPr>
      </w:pPr>
      <w:r>
        <w:rPr>
          <w:rFonts w:ascii="Arial" w:cs="Arial" w:eastAsia="Arial" w:hAnsi="Arial"/>
          <w:sz w:val="21"/>
          <w:szCs w:val="21"/>
          <w:color w:val="auto"/>
        </w:rPr>
        <w:t>for the year. Merit increases are generally effective as of January 1 of each year. Merit increases also are one of the methods used to reach one of our competitive compensation guiding principles, which is to ensure that employees are paid at or near the market median of the broad-based published compensation survey group. Merit increases may also be adjusted by the Compensation Committee to reflect the market value of a job when compared to similar positions at other companies within our peer group, as recommended by Willis Towers.</w:t>
      </w:r>
    </w:p>
    <w:p>
      <w:pPr>
        <w:spacing w:after="0" w:line="168" w:lineRule="exact"/>
        <w:rPr>
          <w:sz w:val="20"/>
          <w:szCs w:val="20"/>
          <w:color w:val="auto"/>
        </w:rPr>
      </w:pPr>
    </w:p>
    <w:p>
      <w:pPr>
        <w:ind w:left="640" w:right="20"/>
        <w:spacing w:after="0" w:line="249" w:lineRule="auto"/>
        <w:rPr>
          <w:sz w:val="20"/>
          <w:szCs w:val="20"/>
          <w:color w:val="auto"/>
        </w:rPr>
      </w:pPr>
      <w:r>
        <w:rPr>
          <w:rFonts w:ascii="Arial" w:cs="Arial" w:eastAsia="Arial" w:hAnsi="Arial"/>
          <w:sz w:val="20"/>
          <w:szCs w:val="20"/>
          <w:color w:val="auto"/>
        </w:rPr>
        <w:t>The process followed to determine base salary increases for the Named Executive Officers begins with an annual summary and evaluation of Unitil’s overall performance provided to the Board by the CEO, which generally occurs in mid-January. The Compensation Committee and the Executive Committee meet jointly in executive session to discuss the evaluation of our overall performance, as well as to discuss the CEO’s performance in relation to our performance for the year, considering both the quantitative and qualitative aspects of the performance of both the CEO and our Company as a whole. The Compensation Committee uses the feedback gained in the joint meeting along with the market-competitive salary information previously described to determine an appropriate base salary increase for the CEO based on both merit and market conditions. The CEO provides a recommendation to the Compensation Committee for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146685</wp:posOffset>
            </wp:positionV>
            <wp:extent cx="6337300" cy="825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620"/>
          </w:cols>
          <w:pgMar w:left="320" w:top="470" w:right="95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380"/>
        <w:spacing w:after="0"/>
        <w:rPr>
          <w:sz w:val="20"/>
          <w:szCs w:val="20"/>
          <w:color w:val="auto"/>
        </w:rPr>
      </w:pPr>
      <w:r>
        <w:rPr>
          <w:rFonts w:ascii="Arial" w:cs="Arial" w:eastAsia="Arial" w:hAnsi="Arial"/>
          <w:sz w:val="21"/>
          <w:szCs w:val="21"/>
          <w:color w:val="auto"/>
        </w:rPr>
        <w:t>increases for the other Named Executive Officers. The Compensation Committee then reviews and recommends the base salaries of all of the Named Executive Officers to the full Board for discussion and approval. The Committee’s recommendations are based on the performance evaluations and market information for each of the Named Executive Officers. Each Named Executive Officer received the base salary increase percentage from 2024 to 2025 as noted in the table above.</w:t>
      </w:r>
    </w:p>
    <w:p>
      <w:pPr>
        <w:spacing w:after="0" w:line="278"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3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Management Incentive Plan</w:t>
      </w:r>
    </w:p>
    <w:p>
      <w:pPr>
        <w:spacing w:after="0" w:line="239" w:lineRule="exact"/>
        <w:rPr>
          <w:sz w:val="20"/>
          <w:szCs w:val="20"/>
          <w:color w:val="auto"/>
        </w:rPr>
      </w:pPr>
    </w:p>
    <w:p>
      <w:pPr>
        <w:ind w:left="640" w:right="40"/>
        <w:spacing w:after="0" w:line="237" w:lineRule="auto"/>
        <w:rPr>
          <w:sz w:val="20"/>
          <w:szCs w:val="20"/>
          <w:color w:val="auto"/>
        </w:rPr>
      </w:pPr>
      <w:r>
        <w:rPr>
          <w:rFonts w:ascii="Arial" w:cs="Arial" w:eastAsia="Arial" w:hAnsi="Arial"/>
          <w:sz w:val="21"/>
          <w:szCs w:val="21"/>
          <w:color w:val="auto"/>
        </w:rPr>
        <w:t>The Unitil Corporation Management Incentive Plan (the “Management Incentive Plan”) provides annual cash incentive payments based upon the attainment of specified goals. The Compensation Committee selects participants in the plan and establishes their individual target awards. All executives (including the Named Executive Officers) are participants in the Management Incentive Plan. The purpose of the Management Incentive Plan, which is consistent with our principal compensation objective, is to provide executives with significant incentives related to performance, thereby providing motivation to maximize efforts on behalf of all of our stakeholders. The Management Incentive Plan is further intended to provide executives with competitive target levels of total compensation when considered with base salaries.</w:t>
      </w:r>
    </w:p>
    <w:p>
      <w:pPr>
        <w:sectPr>
          <w:pgSz w:w="11900" w:h="16838" w:orient="portrait"/>
          <w:cols w:equalWidth="0" w:num="1">
            <w:col w:w="10620"/>
          </w:cols>
          <w:pgMar w:left="320" w:top="470" w:right="959" w:bottom="1440" w:gutter="0" w:footer="0" w:header="0"/>
        </w:sectPr>
      </w:pPr>
    </w:p>
    <w:p>
      <w:pPr>
        <w:spacing w:after="0" w:line="202" w:lineRule="exact"/>
        <w:rPr>
          <w:sz w:val="20"/>
          <w:szCs w:val="20"/>
          <w:color w:val="auto"/>
        </w:rPr>
      </w:pPr>
    </w:p>
    <w:p>
      <w:pPr>
        <w:ind w:left="640"/>
        <w:spacing w:after="0" w:line="238" w:lineRule="auto"/>
        <w:rPr>
          <w:sz w:val="20"/>
          <w:szCs w:val="20"/>
          <w:color w:val="auto"/>
        </w:rPr>
      </w:pPr>
      <w:r>
        <w:rPr>
          <w:rFonts w:ascii="Arial" w:cs="Arial" w:eastAsia="Arial" w:hAnsi="Arial"/>
          <w:sz w:val="20"/>
          <w:szCs w:val="20"/>
          <w:color w:val="auto"/>
        </w:rPr>
        <w:t xml:space="preserve">For the annual incentive awards, annual quantitative performance goals are established by the Compensation Committee. The goals are the same for all employees (including executive officers) to ensure that employees are focused on common bottom-line business, customer service, and operational results. These goals are discussed below in the subsection entitled </w:t>
      </w:r>
      <w:r>
        <w:rPr>
          <w:rFonts w:ascii="Arial" w:cs="Arial" w:eastAsia="Arial" w:hAnsi="Arial"/>
          <w:sz w:val="20"/>
          <w:szCs w:val="20"/>
          <w:i w:val="1"/>
          <w:iCs w:val="1"/>
          <w:color w:val="auto"/>
        </w:rPr>
        <w:t>Management Incentive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Compensation Performance Metrics and Goals. </w:t>
      </w:r>
      <w:r>
        <w:rPr>
          <w:rFonts w:ascii="Arial" w:cs="Arial" w:eastAsia="Arial" w:hAnsi="Arial"/>
          <w:sz w:val="20"/>
          <w:szCs w:val="20"/>
          <w:color w:val="auto"/>
        </w:rPr>
        <w:t>Under the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160" w:type="dxa"/>
            <w:vAlign w:val="bottom"/>
            <w:shd w:val="clear" w:color="auto" w:fill="DAE6F2"/>
          </w:tcPr>
          <w:p>
            <w:pPr>
              <w:spacing w:after="0"/>
              <w:rPr>
                <w:sz w:val="22"/>
                <w:szCs w:val="22"/>
                <w:color w:val="auto"/>
              </w:rPr>
            </w:pPr>
          </w:p>
        </w:tc>
        <w:tc>
          <w:tcPr>
            <w:tcW w:w="2160" w:type="dxa"/>
            <w:vAlign w:val="bottom"/>
            <w:shd w:val="clear" w:color="auto" w:fill="DAE6F2"/>
          </w:tcPr>
          <w:p>
            <w:pPr>
              <w:ind w:left="60"/>
              <w:spacing w:after="0"/>
              <w:rPr>
                <w:sz w:val="20"/>
                <w:szCs w:val="20"/>
                <w:color w:val="auto"/>
              </w:rPr>
            </w:pPr>
            <w:r>
              <w:rPr>
                <w:rFonts w:ascii="Arial" w:cs="Arial" w:eastAsia="Arial" w:hAnsi="Arial"/>
                <w:sz w:val="17"/>
                <w:szCs w:val="17"/>
                <w:b w:val="1"/>
                <w:bCs w:val="1"/>
                <w:color w:val="auto"/>
              </w:rPr>
              <w:t>Named Executive</w:t>
            </w:r>
          </w:p>
        </w:tc>
        <w:tc>
          <w:tcPr>
            <w:tcW w:w="2160" w:type="dxa"/>
            <w:vAlign w:val="bottom"/>
            <w:gridSpan w:val="2"/>
            <w:shd w:val="clear" w:color="auto" w:fill="DAE6F2"/>
          </w:tcPr>
          <w:p>
            <w:pPr>
              <w:jc w:val="right"/>
              <w:ind w:right="140"/>
              <w:spacing w:after="0"/>
              <w:rPr>
                <w:sz w:val="20"/>
                <w:szCs w:val="20"/>
                <w:color w:val="auto"/>
              </w:rPr>
            </w:pPr>
            <w:r>
              <w:rPr>
                <w:rFonts w:ascii="Arial" w:cs="Arial" w:eastAsia="Arial" w:hAnsi="Arial"/>
                <w:sz w:val="17"/>
                <w:szCs w:val="17"/>
                <w:b w:val="1"/>
                <w:bCs w:val="1"/>
                <w:color w:val="auto"/>
              </w:rPr>
              <w:t>        Target Cash Award</w:t>
            </w:r>
          </w:p>
        </w:tc>
      </w:tr>
      <w:tr>
        <w:trPr>
          <w:trHeight w:val="239"/>
        </w:trPr>
        <w:tc>
          <w:tcPr>
            <w:tcW w:w="160" w:type="dxa"/>
            <w:vAlign w:val="bottom"/>
            <w:shd w:val="clear" w:color="auto" w:fill="DAE6F2"/>
          </w:tcPr>
          <w:p>
            <w:pPr>
              <w:spacing w:after="0"/>
              <w:rPr>
                <w:sz w:val="20"/>
                <w:szCs w:val="20"/>
                <w:color w:val="auto"/>
              </w:rPr>
            </w:pPr>
          </w:p>
        </w:tc>
        <w:tc>
          <w:tcPr>
            <w:tcW w:w="2160" w:type="dxa"/>
            <w:vAlign w:val="bottom"/>
            <w:shd w:val="clear" w:color="auto" w:fill="DAE6F2"/>
          </w:tcPr>
          <w:p>
            <w:pPr>
              <w:ind w:left="60"/>
              <w:spacing w:after="0"/>
              <w:rPr>
                <w:sz w:val="20"/>
                <w:szCs w:val="20"/>
                <w:color w:val="auto"/>
              </w:rPr>
            </w:pPr>
            <w:r>
              <w:rPr>
                <w:rFonts w:ascii="Arial" w:cs="Arial" w:eastAsia="Arial" w:hAnsi="Arial"/>
                <w:sz w:val="17"/>
                <w:szCs w:val="17"/>
                <w:b w:val="1"/>
                <w:bCs w:val="1"/>
                <w:color w:val="auto"/>
              </w:rPr>
              <w:t>Officer</w:t>
            </w:r>
          </w:p>
        </w:tc>
        <w:tc>
          <w:tcPr>
            <w:tcW w:w="2160" w:type="dxa"/>
            <w:vAlign w:val="bottom"/>
            <w:gridSpan w:val="2"/>
            <w:shd w:val="clear" w:color="auto" w:fill="DAE6F2"/>
          </w:tcPr>
          <w:p>
            <w:pPr>
              <w:jc w:val="right"/>
              <w:ind w:right="140"/>
              <w:spacing w:after="0"/>
              <w:rPr>
                <w:sz w:val="20"/>
                <w:szCs w:val="20"/>
                <w:color w:val="auto"/>
              </w:rPr>
            </w:pPr>
            <w:r>
              <w:rPr>
                <w:rFonts w:ascii="Arial" w:cs="Arial" w:eastAsia="Arial" w:hAnsi="Arial"/>
                <w:sz w:val="17"/>
                <w:szCs w:val="17"/>
                <w:b w:val="1"/>
                <w:bCs w:val="1"/>
                <w:color w:val="auto"/>
              </w:rPr>
              <w:t>(% of Base Salary)</w:t>
            </w:r>
          </w:p>
        </w:tc>
      </w:tr>
      <w:tr>
        <w:trPr>
          <w:trHeight w:val="66"/>
        </w:trPr>
        <w:tc>
          <w:tcPr>
            <w:tcW w:w="160" w:type="dxa"/>
            <w:vAlign w:val="bottom"/>
            <w:tcBorders>
              <w:bottom w:val="single" w:sz="8" w:color="DAE6F2"/>
            </w:tcBorders>
            <w:shd w:val="clear" w:color="auto" w:fill="DAE6F2"/>
          </w:tcPr>
          <w:p>
            <w:pPr>
              <w:spacing w:after="0"/>
              <w:rPr>
                <w:sz w:val="5"/>
                <w:szCs w:val="5"/>
                <w:color w:val="auto"/>
              </w:rPr>
            </w:pPr>
          </w:p>
        </w:tc>
        <w:tc>
          <w:tcPr>
            <w:tcW w:w="2160" w:type="dxa"/>
            <w:vAlign w:val="bottom"/>
            <w:tcBorders>
              <w:bottom w:val="single" w:sz="8" w:color="auto"/>
            </w:tcBorders>
            <w:shd w:val="clear" w:color="auto" w:fill="DAE6F2"/>
          </w:tcPr>
          <w:p>
            <w:pPr>
              <w:spacing w:after="0"/>
              <w:rPr>
                <w:sz w:val="5"/>
                <w:szCs w:val="5"/>
                <w:color w:val="auto"/>
              </w:rPr>
            </w:pPr>
          </w:p>
        </w:tc>
        <w:tc>
          <w:tcPr>
            <w:tcW w:w="2020" w:type="dxa"/>
            <w:vAlign w:val="bottom"/>
            <w:tcBorders>
              <w:bottom w:val="single" w:sz="8" w:color="auto"/>
            </w:tcBorders>
            <w:shd w:val="clear" w:color="auto" w:fill="DAE6F2"/>
          </w:tcPr>
          <w:p>
            <w:pPr>
              <w:spacing w:after="0"/>
              <w:rPr>
                <w:sz w:val="5"/>
                <w:szCs w:val="5"/>
                <w:color w:val="auto"/>
              </w:rPr>
            </w:pPr>
          </w:p>
        </w:tc>
        <w:tc>
          <w:tcPr>
            <w:tcW w:w="140" w:type="dxa"/>
            <w:vAlign w:val="bottom"/>
            <w:tcBorders>
              <w:bottom w:val="single" w:sz="8" w:color="DAE6F2"/>
            </w:tcBorders>
            <w:shd w:val="clear" w:color="auto" w:fill="DAE6F2"/>
          </w:tcPr>
          <w:p>
            <w:pPr>
              <w:spacing w:after="0"/>
              <w:rPr>
                <w:sz w:val="5"/>
                <w:szCs w:val="5"/>
                <w:color w:val="auto"/>
              </w:rPr>
            </w:pPr>
          </w:p>
        </w:tc>
      </w:tr>
      <w:tr>
        <w:trPr>
          <w:trHeight w:val="171"/>
        </w:trPr>
        <w:tc>
          <w:tcPr>
            <w:tcW w:w="160" w:type="dxa"/>
            <w:vAlign w:val="bottom"/>
            <w:shd w:val="clear" w:color="auto" w:fill="DAE6F2"/>
          </w:tcPr>
          <w:p>
            <w:pPr>
              <w:spacing w:after="0"/>
              <w:rPr>
                <w:sz w:val="14"/>
                <w:szCs w:val="14"/>
                <w:color w:val="auto"/>
              </w:rPr>
            </w:pPr>
          </w:p>
        </w:tc>
        <w:tc>
          <w:tcPr>
            <w:tcW w:w="2160" w:type="dxa"/>
            <w:vAlign w:val="bottom"/>
            <w:shd w:val="clear" w:color="auto" w:fill="DAE6F2"/>
          </w:tcPr>
          <w:p>
            <w:pPr>
              <w:ind w:left="60"/>
              <w:spacing w:after="0" w:line="172" w:lineRule="exact"/>
              <w:rPr>
                <w:sz w:val="20"/>
                <w:szCs w:val="20"/>
                <w:color w:val="auto"/>
              </w:rPr>
            </w:pPr>
            <w:r>
              <w:rPr>
                <w:rFonts w:ascii="Arial" w:cs="Arial" w:eastAsia="Arial" w:hAnsi="Arial"/>
                <w:sz w:val="17"/>
                <w:szCs w:val="17"/>
                <w:color w:val="auto"/>
              </w:rPr>
              <w:t>Mr. Meissner</w:t>
            </w:r>
          </w:p>
        </w:tc>
        <w:tc>
          <w:tcPr>
            <w:tcW w:w="2020" w:type="dxa"/>
            <w:vAlign w:val="bottom"/>
            <w:shd w:val="clear" w:color="auto" w:fill="DAE6F2"/>
          </w:tcPr>
          <w:p>
            <w:pPr>
              <w:jc w:val="right"/>
              <w:spacing w:after="0" w:line="172" w:lineRule="exact"/>
              <w:rPr>
                <w:sz w:val="20"/>
                <w:szCs w:val="20"/>
                <w:color w:val="auto"/>
              </w:rPr>
            </w:pPr>
            <w:r>
              <w:rPr>
                <w:rFonts w:ascii="Arial" w:cs="Arial" w:eastAsia="Arial" w:hAnsi="Arial"/>
                <w:sz w:val="17"/>
                <w:szCs w:val="17"/>
                <w:color w:val="auto"/>
              </w:rPr>
              <w:t>65%</w:t>
            </w:r>
          </w:p>
        </w:tc>
        <w:tc>
          <w:tcPr>
            <w:tcW w:w="140" w:type="dxa"/>
            <w:vAlign w:val="bottom"/>
            <w:shd w:val="clear" w:color="auto" w:fill="DAE6F2"/>
          </w:tcPr>
          <w:p>
            <w:pPr>
              <w:spacing w:after="0"/>
              <w:rPr>
                <w:sz w:val="14"/>
                <w:szCs w:val="14"/>
                <w:color w:val="auto"/>
              </w:rPr>
            </w:pPr>
          </w:p>
        </w:tc>
      </w:tr>
      <w:tr>
        <w:trPr>
          <w:trHeight w:val="195"/>
        </w:trPr>
        <w:tc>
          <w:tcPr>
            <w:tcW w:w="160" w:type="dxa"/>
            <w:vAlign w:val="bottom"/>
            <w:shd w:val="clear" w:color="auto" w:fill="DAE6F2"/>
          </w:tcPr>
          <w:p>
            <w:pPr>
              <w:spacing w:after="0"/>
              <w:rPr>
                <w:sz w:val="16"/>
                <w:szCs w:val="16"/>
                <w:color w:val="auto"/>
              </w:rPr>
            </w:pPr>
          </w:p>
        </w:tc>
        <w:tc>
          <w:tcPr>
            <w:tcW w:w="2160" w:type="dxa"/>
            <w:vAlign w:val="bottom"/>
            <w:shd w:val="clear" w:color="auto" w:fill="DAE6F2"/>
          </w:tcPr>
          <w:p>
            <w:pPr>
              <w:ind w:left="60"/>
              <w:spacing w:after="0"/>
              <w:rPr>
                <w:sz w:val="20"/>
                <w:szCs w:val="20"/>
                <w:color w:val="auto"/>
              </w:rPr>
            </w:pPr>
            <w:r>
              <w:rPr>
                <w:rFonts w:ascii="Arial" w:cs="Arial" w:eastAsia="Arial" w:hAnsi="Arial"/>
                <w:sz w:val="17"/>
                <w:szCs w:val="17"/>
                <w:color w:val="auto"/>
              </w:rPr>
              <w:t>Mr. Hevert</w:t>
            </w:r>
          </w:p>
        </w:tc>
        <w:tc>
          <w:tcPr>
            <w:tcW w:w="2020" w:type="dxa"/>
            <w:vAlign w:val="bottom"/>
            <w:shd w:val="clear" w:color="auto" w:fill="DAE6F2"/>
          </w:tcPr>
          <w:p>
            <w:pPr>
              <w:jc w:val="right"/>
              <w:spacing w:after="0"/>
              <w:rPr>
                <w:sz w:val="20"/>
                <w:szCs w:val="20"/>
                <w:color w:val="auto"/>
              </w:rPr>
            </w:pPr>
            <w:r>
              <w:rPr>
                <w:rFonts w:ascii="Arial" w:cs="Arial" w:eastAsia="Arial" w:hAnsi="Arial"/>
                <w:sz w:val="17"/>
                <w:szCs w:val="17"/>
                <w:color w:val="auto"/>
              </w:rPr>
              <w:t>50%</w:t>
            </w:r>
          </w:p>
        </w:tc>
        <w:tc>
          <w:tcPr>
            <w:tcW w:w="140" w:type="dxa"/>
            <w:vAlign w:val="bottom"/>
            <w:shd w:val="clear" w:color="auto" w:fill="DAE6F2"/>
          </w:tcPr>
          <w:p>
            <w:pPr>
              <w:spacing w:after="0"/>
              <w:rPr>
                <w:sz w:val="16"/>
                <w:szCs w:val="16"/>
                <w:color w:val="auto"/>
              </w:rPr>
            </w:pPr>
          </w:p>
        </w:tc>
      </w:tr>
      <w:tr>
        <w:trPr>
          <w:trHeight w:val="195"/>
        </w:trPr>
        <w:tc>
          <w:tcPr>
            <w:tcW w:w="160" w:type="dxa"/>
            <w:vAlign w:val="bottom"/>
            <w:shd w:val="clear" w:color="auto" w:fill="DAE6F2"/>
          </w:tcPr>
          <w:p>
            <w:pPr>
              <w:spacing w:after="0"/>
              <w:rPr>
                <w:sz w:val="16"/>
                <w:szCs w:val="16"/>
                <w:color w:val="auto"/>
              </w:rPr>
            </w:pPr>
          </w:p>
        </w:tc>
        <w:tc>
          <w:tcPr>
            <w:tcW w:w="2160" w:type="dxa"/>
            <w:vAlign w:val="bottom"/>
            <w:shd w:val="clear" w:color="auto" w:fill="DAE6F2"/>
          </w:tcPr>
          <w:p>
            <w:pPr>
              <w:ind w:left="60"/>
              <w:spacing w:after="0"/>
              <w:rPr>
                <w:sz w:val="20"/>
                <w:szCs w:val="20"/>
                <w:color w:val="auto"/>
              </w:rPr>
            </w:pPr>
            <w:r>
              <w:rPr>
                <w:rFonts w:ascii="Arial" w:cs="Arial" w:eastAsia="Arial" w:hAnsi="Arial"/>
                <w:sz w:val="17"/>
                <w:szCs w:val="17"/>
                <w:color w:val="auto"/>
              </w:rPr>
              <w:t>Mr. Hurstak</w:t>
            </w:r>
          </w:p>
        </w:tc>
        <w:tc>
          <w:tcPr>
            <w:tcW w:w="2020" w:type="dxa"/>
            <w:vAlign w:val="bottom"/>
            <w:shd w:val="clear" w:color="auto" w:fill="DAE6F2"/>
          </w:tcPr>
          <w:p>
            <w:pPr>
              <w:jc w:val="right"/>
              <w:spacing w:after="0"/>
              <w:rPr>
                <w:sz w:val="20"/>
                <w:szCs w:val="20"/>
                <w:color w:val="auto"/>
              </w:rPr>
            </w:pPr>
            <w:r>
              <w:rPr>
                <w:rFonts w:ascii="Arial" w:cs="Arial" w:eastAsia="Arial" w:hAnsi="Arial"/>
                <w:sz w:val="17"/>
                <w:szCs w:val="17"/>
                <w:color w:val="auto"/>
              </w:rPr>
              <w:t>45%</w:t>
            </w:r>
          </w:p>
        </w:tc>
        <w:tc>
          <w:tcPr>
            <w:tcW w:w="140" w:type="dxa"/>
            <w:vAlign w:val="bottom"/>
            <w:shd w:val="clear" w:color="auto" w:fill="DAE6F2"/>
          </w:tcPr>
          <w:p>
            <w:pPr>
              <w:spacing w:after="0"/>
              <w:rPr>
                <w:sz w:val="16"/>
                <w:szCs w:val="16"/>
                <w:color w:val="auto"/>
              </w:rPr>
            </w:pPr>
          </w:p>
        </w:tc>
      </w:tr>
      <w:tr>
        <w:trPr>
          <w:trHeight w:val="195"/>
        </w:trPr>
        <w:tc>
          <w:tcPr>
            <w:tcW w:w="160" w:type="dxa"/>
            <w:vAlign w:val="bottom"/>
            <w:shd w:val="clear" w:color="auto" w:fill="DAE6F2"/>
          </w:tcPr>
          <w:p>
            <w:pPr>
              <w:spacing w:after="0"/>
              <w:rPr>
                <w:sz w:val="16"/>
                <w:szCs w:val="16"/>
                <w:color w:val="auto"/>
              </w:rPr>
            </w:pPr>
          </w:p>
        </w:tc>
        <w:tc>
          <w:tcPr>
            <w:tcW w:w="2160" w:type="dxa"/>
            <w:vAlign w:val="bottom"/>
            <w:shd w:val="clear" w:color="auto" w:fill="DAE6F2"/>
          </w:tcPr>
          <w:p>
            <w:pPr>
              <w:ind w:left="60"/>
              <w:spacing w:after="0"/>
              <w:rPr>
                <w:sz w:val="20"/>
                <w:szCs w:val="20"/>
                <w:color w:val="auto"/>
              </w:rPr>
            </w:pPr>
            <w:r>
              <w:rPr>
                <w:rFonts w:ascii="Arial" w:cs="Arial" w:eastAsia="Arial" w:hAnsi="Arial"/>
                <w:sz w:val="17"/>
                <w:szCs w:val="17"/>
                <w:color w:val="auto"/>
              </w:rPr>
              <w:t>Mr. Eisfeller</w:t>
            </w:r>
          </w:p>
        </w:tc>
        <w:tc>
          <w:tcPr>
            <w:tcW w:w="2020" w:type="dxa"/>
            <w:vAlign w:val="bottom"/>
            <w:shd w:val="clear" w:color="auto" w:fill="DAE6F2"/>
          </w:tcPr>
          <w:p>
            <w:pPr>
              <w:jc w:val="right"/>
              <w:spacing w:after="0"/>
              <w:rPr>
                <w:sz w:val="20"/>
                <w:szCs w:val="20"/>
                <w:color w:val="auto"/>
              </w:rPr>
            </w:pPr>
            <w:r>
              <w:rPr>
                <w:rFonts w:ascii="Arial" w:cs="Arial" w:eastAsia="Arial" w:hAnsi="Arial"/>
                <w:sz w:val="17"/>
                <w:szCs w:val="17"/>
                <w:color w:val="auto"/>
              </w:rPr>
              <w:t>35%</w:t>
            </w:r>
          </w:p>
        </w:tc>
        <w:tc>
          <w:tcPr>
            <w:tcW w:w="140" w:type="dxa"/>
            <w:vAlign w:val="bottom"/>
            <w:shd w:val="clear" w:color="auto" w:fill="DAE6F2"/>
          </w:tcPr>
          <w:p>
            <w:pPr>
              <w:spacing w:after="0"/>
              <w:rPr>
                <w:sz w:val="16"/>
                <w:szCs w:val="16"/>
                <w:color w:val="auto"/>
              </w:rPr>
            </w:pPr>
          </w:p>
        </w:tc>
      </w:tr>
      <w:tr>
        <w:trPr>
          <w:trHeight w:val="212"/>
        </w:trPr>
        <w:tc>
          <w:tcPr>
            <w:tcW w:w="160" w:type="dxa"/>
            <w:vAlign w:val="bottom"/>
            <w:shd w:val="clear" w:color="auto" w:fill="DAE6F2"/>
          </w:tcPr>
          <w:p>
            <w:pPr>
              <w:spacing w:after="0"/>
              <w:rPr>
                <w:sz w:val="18"/>
                <w:szCs w:val="18"/>
                <w:color w:val="auto"/>
              </w:rPr>
            </w:pPr>
          </w:p>
        </w:tc>
        <w:tc>
          <w:tcPr>
            <w:tcW w:w="2160" w:type="dxa"/>
            <w:vAlign w:val="bottom"/>
            <w:shd w:val="clear" w:color="auto" w:fill="DAE6F2"/>
          </w:tcPr>
          <w:p>
            <w:pPr>
              <w:ind w:left="60"/>
              <w:spacing w:after="0"/>
              <w:rPr>
                <w:sz w:val="20"/>
                <w:szCs w:val="20"/>
                <w:color w:val="auto"/>
              </w:rPr>
            </w:pPr>
            <w:r>
              <w:rPr>
                <w:rFonts w:ascii="Arial" w:cs="Arial" w:eastAsia="Arial" w:hAnsi="Arial"/>
                <w:sz w:val="17"/>
                <w:szCs w:val="17"/>
                <w:color w:val="auto"/>
              </w:rPr>
              <w:t>Mr. LeBlanc</w:t>
            </w:r>
          </w:p>
        </w:tc>
        <w:tc>
          <w:tcPr>
            <w:tcW w:w="2020" w:type="dxa"/>
            <w:vAlign w:val="bottom"/>
            <w:shd w:val="clear" w:color="auto" w:fill="DAE6F2"/>
          </w:tcPr>
          <w:p>
            <w:pPr>
              <w:jc w:val="right"/>
              <w:spacing w:after="0"/>
              <w:rPr>
                <w:sz w:val="20"/>
                <w:szCs w:val="20"/>
                <w:color w:val="auto"/>
              </w:rPr>
            </w:pPr>
            <w:r>
              <w:rPr>
                <w:rFonts w:ascii="Arial" w:cs="Arial" w:eastAsia="Arial" w:hAnsi="Arial"/>
                <w:sz w:val="17"/>
                <w:szCs w:val="17"/>
                <w:color w:val="auto"/>
              </w:rPr>
              <w:t>35%</w:t>
            </w:r>
          </w:p>
        </w:tc>
        <w:tc>
          <w:tcPr>
            <w:tcW w:w="140" w:type="dxa"/>
            <w:vAlign w:val="bottom"/>
            <w:shd w:val="clear" w:color="auto" w:fill="DAE6F2"/>
          </w:tcPr>
          <w:p>
            <w:pPr>
              <w:spacing w:after="0"/>
              <w:rPr>
                <w:sz w:val="18"/>
                <w:szCs w:val="18"/>
                <w:color w:val="auto"/>
              </w:rPr>
            </w:pPr>
          </w:p>
        </w:tc>
      </w:tr>
      <w:tr>
        <w:trPr>
          <w:trHeight w:val="195"/>
        </w:trPr>
        <w:tc>
          <w:tcPr>
            <w:tcW w:w="160" w:type="dxa"/>
            <w:vAlign w:val="bottom"/>
            <w:shd w:val="clear" w:color="auto" w:fill="DAE6F2"/>
          </w:tcPr>
          <w:p>
            <w:pPr>
              <w:spacing w:after="0"/>
              <w:rPr>
                <w:sz w:val="16"/>
                <w:szCs w:val="16"/>
                <w:color w:val="auto"/>
              </w:rPr>
            </w:pPr>
          </w:p>
        </w:tc>
        <w:tc>
          <w:tcPr>
            <w:tcW w:w="2160" w:type="dxa"/>
            <w:vAlign w:val="bottom"/>
            <w:shd w:val="clear" w:color="auto" w:fill="DAE6F2"/>
          </w:tcPr>
          <w:p>
            <w:pPr>
              <w:spacing w:after="0"/>
              <w:rPr>
                <w:sz w:val="16"/>
                <w:szCs w:val="16"/>
                <w:color w:val="auto"/>
              </w:rPr>
            </w:pPr>
          </w:p>
        </w:tc>
        <w:tc>
          <w:tcPr>
            <w:tcW w:w="2020" w:type="dxa"/>
            <w:vAlign w:val="bottom"/>
            <w:shd w:val="clear" w:color="auto" w:fill="DAE6F2"/>
          </w:tcPr>
          <w:p>
            <w:pPr>
              <w:spacing w:after="0"/>
              <w:rPr>
                <w:sz w:val="16"/>
                <w:szCs w:val="16"/>
                <w:color w:val="auto"/>
              </w:rPr>
            </w:pPr>
          </w:p>
        </w:tc>
        <w:tc>
          <w:tcPr>
            <w:tcW w:w="140" w:type="dxa"/>
            <w:vAlign w:val="bottom"/>
            <w:shd w:val="clear" w:color="auto" w:fill="DAE6F2"/>
          </w:tcPr>
          <w:p>
            <w:pPr>
              <w:spacing w:after="0"/>
              <w:rPr>
                <w:sz w:val="16"/>
                <w:szCs w:val="16"/>
                <w:color w:val="auto"/>
              </w:rPr>
            </w:pPr>
          </w:p>
        </w:tc>
      </w:tr>
    </w:tbl>
    <w:p>
      <w:pPr>
        <w:spacing w:after="0" w:line="103" w:lineRule="exact"/>
        <w:rPr>
          <w:sz w:val="20"/>
          <w:szCs w:val="20"/>
          <w:color w:val="auto"/>
        </w:rPr>
      </w:pPr>
    </w:p>
    <w:p>
      <w:pPr>
        <w:sectPr>
          <w:pgSz w:w="11900" w:h="16838" w:orient="portrait"/>
          <w:cols w:equalWidth="0" w:num="2">
            <w:col w:w="6100" w:space="40"/>
            <w:col w:w="4480"/>
          </w:cols>
          <w:pgMar w:left="320" w:top="470" w:right="959" w:bottom="1440" w:gutter="0" w:footer="0" w:header="0"/>
          <w:type w:val="continuous"/>
        </w:sectPr>
      </w:pPr>
    </w:p>
    <w:p>
      <w:pPr>
        <w:ind w:left="640" w:right="100"/>
        <w:spacing w:after="0" w:line="237" w:lineRule="auto"/>
        <w:rPr>
          <w:sz w:val="20"/>
          <w:szCs w:val="20"/>
          <w:color w:val="auto"/>
        </w:rPr>
      </w:pPr>
      <w:r>
        <w:rPr>
          <w:rFonts w:ascii="Arial" w:cs="Arial" w:eastAsia="Arial" w:hAnsi="Arial"/>
          <w:sz w:val="21"/>
          <w:szCs w:val="21"/>
          <w:color w:val="auto"/>
        </w:rPr>
        <w:t>Management Incentive Plan, executive officers receive a cash award if the quantitative goals that are set by the Committee are met. Each executive officer’s Management Incentive Plan target award is established as a percentage of base salary based on the market median of the broad-based published compensation survey group for his or her position when compared to other comparable companies, calculated using data provided by Willis Towers. The Committee also used information from the proxy statements of our peer group, at the 25</w:t>
      </w:r>
      <w:r>
        <w:rPr>
          <w:rFonts w:ascii="Arial" w:cs="Arial" w:eastAsia="Arial" w:hAnsi="Arial"/>
          <w:sz w:val="15"/>
          <w:szCs w:val="15"/>
          <w:color w:val="auto"/>
        </w:rPr>
        <w:t>th</w:t>
      </w:r>
      <w:r>
        <w:rPr>
          <w:rFonts w:ascii="Arial" w:cs="Arial" w:eastAsia="Arial" w:hAnsi="Arial"/>
          <w:sz w:val="21"/>
          <w:szCs w:val="21"/>
          <w:color w:val="auto"/>
        </w:rPr>
        <w:t xml:space="preserve"> percentile target, as a secondary source to set the CEO’s and CFO’s Management Incentive Plan target award. The table above shows the Management Incentive Plan target awards for 2025 performance as a percentage of base salary for the Named Executive Officers.</w:t>
      </w:r>
    </w:p>
    <w:p>
      <w:pPr>
        <w:spacing w:after="0" w:line="171" w:lineRule="exact"/>
        <w:rPr>
          <w:sz w:val="20"/>
          <w:szCs w:val="20"/>
          <w:color w:val="auto"/>
        </w:rPr>
      </w:pPr>
    </w:p>
    <w:p>
      <w:pPr>
        <w:ind w:left="640" w:right="120"/>
        <w:spacing w:after="0"/>
        <w:rPr>
          <w:sz w:val="20"/>
          <w:szCs w:val="20"/>
          <w:color w:val="auto"/>
        </w:rPr>
      </w:pPr>
      <w:r>
        <w:rPr>
          <w:rFonts w:ascii="Arial" w:cs="Arial" w:eastAsia="Arial" w:hAnsi="Arial"/>
          <w:sz w:val="21"/>
          <w:szCs w:val="21"/>
          <w:color w:val="auto"/>
        </w:rPr>
        <w:t>Actual awards may be less than or greater than the target awards depending upon final results achieved. In addition, the Committee has the authority to increase or decrease the annual cash incentive award under the Management Incentive Plan when the final results calculation does not properly balance the interests of employees and shareholders. The Committee also has the sole discretion to pay no award when one would otherwise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149225</wp:posOffset>
            </wp:positionV>
            <wp:extent cx="6337300" cy="825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620"/>
          </w:cols>
          <w:pgMar w:left="320" w:top="470" w:right="9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Third Amended and Restated 2003 Stock Plan</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Unitil Corporation Third Amended and Restated 2003 Stock Plan (as amended, the “Third Amended</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Stock Plan” or the “Stock Plan”) was initially approved by shareholders at the 2003 annual meeting of</w:t>
      </w:r>
    </w:p>
    <w:p>
      <w:pPr>
        <w:ind w:left="640"/>
        <w:spacing w:after="0" w:line="232" w:lineRule="auto"/>
        <w:rPr>
          <w:sz w:val="20"/>
          <w:szCs w:val="20"/>
          <w:color w:val="auto"/>
        </w:rPr>
      </w:pPr>
      <w:r>
        <w:rPr>
          <w:rFonts w:ascii="Arial" w:cs="Arial" w:eastAsia="Arial" w:hAnsi="Arial"/>
          <w:sz w:val="21"/>
          <w:szCs w:val="21"/>
          <w:color w:val="auto"/>
        </w:rPr>
        <w:t>shareholders, first amended and restated on March 24, 2011, again amended and restated, effective</w:t>
      </w:r>
    </w:p>
    <w:p>
      <w:pPr>
        <w:ind w:left="640"/>
        <w:spacing w:after="0" w:line="232" w:lineRule="auto"/>
        <w:rPr>
          <w:sz w:val="20"/>
          <w:szCs w:val="20"/>
          <w:color w:val="auto"/>
        </w:rPr>
      </w:pPr>
      <w:r>
        <w:rPr>
          <w:rFonts w:ascii="Arial" w:cs="Arial" w:eastAsia="Arial" w:hAnsi="Arial"/>
          <w:sz w:val="21"/>
          <w:szCs w:val="21"/>
          <w:color w:val="auto"/>
        </w:rPr>
        <w:t>April 19, 2012, and amended and restated for the third time, effective May 1, 2024. Participants in the Third</w:t>
      </w:r>
    </w:p>
    <w:p>
      <w:pPr>
        <w:ind w:left="640"/>
        <w:spacing w:after="0" w:line="233" w:lineRule="auto"/>
        <w:rPr>
          <w:sz w:val="20"/>
          <w:szCs w:val="20"/>
          <w:color w:val="auto"/>
        </w:rPr>
      </w:pPr>
      <w:r>
        <w:rPr>
          <w:rFonts w:ascii="Arial" w:cs="Arial" w:eastAsia="Arial" w:hAnsi="Arial"/>
          <w:sz w:val="21"/>
          <w:szCs w:val="21"/>
          <w:color w:val="auto"/>
        </w:rPr>
        <w:t>Amended Stock Plan currently include Directors, executive officers and other employees selected by the</w:t>
      </w:r>
    </w:p>
    <w:p>
      <w:pPr>
        <w:ind w:left="640"/>
        <w:spacing w:after="0" w:line="232" w:lineRule="auto"/>
        <w:rPr>
          <w:sz w:val="20"/>
          <w:szCs w:val="20"/>
          <w:color w:val="auto"/>
        </w:rPr>
      </w:pPr>
      <w:r>
        <w:rPr>
          <w:rFonts w:ascii="Arial" w:cs="Arial" w:eastAsia="Arial" w:hAnsi="Arial"/>
          <w:sz w:val="21"/>
          <w:szCs w:val="21"/>
          <w:color w:val="auto"/>
        </w:rPr>
        <w:t>Compensation Committee. Common stock, restricted stock and restricted stock units (“RSUs”) may be</w:t>
      </w:r>
    </w:p>
    <w:p>
      <w:pPr>
        <w:ind w:left="640"/>
        <w:spacing w:after="0" w:line="233" w:lineRule="auto"/>
        <w:rPr>
          <w:sz w:val="20"/>
          <w:szCs w:val="20"/>
          <w:color w:val="auto"/>
        </w:rPr>
      </w:pPr>
      <w:r>
        <w:rPr>
          <w:rFonts w:ascii="Arial" w:cs="Arial" w:eastAsia="Arial" w:hAnsi="Arial"/>
          <w:sz w:val="21"/>
          <w:szCs w:val="21"/>
          <w:color w:val="auto"/>
        </w:rPr>
        <w:t>issued to participants in the Stock Plan. The objectives of the Stock Plan are directly tied to the principal</w:t>
      </w:r>
    </w:p>
    <w:p>
      <w:pPr>
        <w:ind w:left="640"/>
        <w:spacing w:after="0" w:line="232" w:lineRule="auto"/>
        <w:rPr>
          <w:sz w:val="20"/>
          <w:szCs w:val="20"/>
          <w:color w:val="auto"/>
        </w:rPr>
      </w:pPr>
      <w:r>
        <w:rPr>
          <w:rFonts w:ascii="Arial" w:cs="Arial" w:eastAsia="Arial" w:hAnsi="Arial"/>
          <w:sz w:val="21"/>
          <w:szCs w:val="21"/>
          <w:color w:val="auto"/>
        </w:rPr>
        <w:t>compensation objective. The maximum number of shares that may be issued under the Stock Plan is</w:t>
      </w:r>
    </w:p>
    <w:p>
      <w:pPr>
        <w:ind w:left="640"/>
        <w:spacing w:after="0" w:line="233" w:lineRule="auto"/>
        <w:rPr>
          <w:sz w:val="20"/>
          <w:szCs w:val="20"/>
          <w:color w:val="auto"/>
        </w:rPr>
      </w:pPr>
      <w:r>
        <w:rPr>
          <w:rFonts w:ascii="Arial" w:cs="Arial" w:eastAsia="Arial" w:hAnsi="Arial"/>
          <w:sz w:val="21"/>
          <w:szCs w:val="21"/>
          <w:color w:val="auto"/>
        </w:rPr>
        <w:t>1,027,500, and an aggregate of 245,884 shares remain in reserve for issuance under the Stock Plan as of</w:t>
      </w:r>
    </w:p>
    <w:p>
      <w:pPr>
        <w:ind w:left="640"/>
        <w:spacing w:after="0"/>
        <w:rPr>
          <w:sz w:val="20"/>
          <w:szCs w:val="20"/>
          <w:color w:val="auto"/>
        </w:rPr>
      </w:pPr>
      <w:r>
        <w:rPr>
          <w:rFonts w:ascii="Arial" w:cs="Arial" w:eastAsia="Arial" w:hAnsi="Arial"/>
          <w:sz w:val="21"/>
          <w:szCs w:val="21"/>
          <w:color w:val="auto"/>
        </w:rPr>
        <w:t>the Record Date.</w:t>
      </w:r>
    </w:p>
    <w:p>
      <w:pPr>
        <w:spacing w:after="0" w:line="180" w:lineRule="exact"/>
        <w:rPr>
          <w:sz w:val="20"/>
          <w:szCs w:val="20"/>
          <w:color w:val="auto"/>
        </w:rPr>
      </w:pPr>
    </w:p>
    <w:p>
      <w:pPr>
        <w:ind w:left="640" w:right="180"/>
        <w:spacing w:after="0" w:line="254" w:lineRule="auto"/>
        <w:rPr>
          <w:sz w:val="20"/>
          <w:szCs w:val="20"/>
          <w:color w:val="auto"/>
        </w:rPr>
      </w:pPr>
      <w:r>
        <w:rPr>
          <w:rFonts w:ascii="Arial" w:cs="Arial" w:eastAsia="Arial" w:hAnsi="Arial"/>
          <w:sz w:val="20"/>
          <w:szCs w:val="20"/>
          <w:color w:val="auto"/>
        </w:rPr>
        <w:t>The Committee believes that equity-based compensation ensures that executive officers have a continuing stake in our long-term success. As described elsewhere in this proxy statement, executive officers are</w:t>
      </w:r>
    </w:p>
    <w:p>
      <w:pPr>
        <w:spacing w:after="0" w:line="1" w:lineRule="exact"/>
        <w:rPr>
          <w:sz w:val="20"/>
          <w:szCs w:val="20"/>
          <w:color w:val="auto"/>
        </w:rPr>
      </w:pPr>
    </w:p>
    <w:p>
      <w:pPr>
        <w:ind w:left="4680" w:right="100"/>
        <w:spacing w:after="0" w:line="234" w:lineRule="auto"/>
        <w:rPr>
          <w:sz w:val="20"/>
          <w:szCs w:val="20"/>
          <w:color w:val="auto"/>
        </w:rPr>
      </w:pPr>
      <w:r>
        <w:rPr>
          <w:rFonts w:ascii="Arial" w:cs="Arial" w:eastAsia="Arial" w:hAnsi="Arial"/>
          <w:sz w:val="21"/>
          <w:szCs w:val="21"/>
          <w:color w:val="auto"/>
        </w:rPr>
        <w:t>subject to both stringent stock ownership requirements as well as a retention requirement which stipulates that all forms of equity received as compensation be held until retirement or other separation from the Company. The Committee believes that the retention requirement provides an additional element of incentive to increase shareholder value over the long term. The details of the stock ownership and retention requirements are discussed in greater detail below. Grants of awards to Named Executive Officers and other senior management participants under the Third Amended Stock Plan are made in accordance with the Company’s Long-Term Equity Incentive Compensation Program,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-1764665</wp:posOffset>
            </wp:positionV>
            <wp:extent cx="6337300" cy="20961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337300" cy="209613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620"/>
          </w:cols>
          <w:pgMar w:left="320" w:top="470" w:right="9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ectPr>
          <w:pgSz w:w="11900" w:h="16838" w:orient="portrait"/>
          <w:cols w:equalWidth="0" w:num="1">
            <w:col w:w="10620"/>
          </w:cols>
          <w:pgMar w:left="320" w:top="470" w:right="959" w:bottom="1440" w:gutter="0" w:footer="0" w:header="0"/>
        </w:sect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Long-Term Equity Incentive Compensation Program</w:t>
      </w:r>
    </w:p>
    <w:p>
      <w:pPr>
        <w:spacing w:after="0" w:line="121" w:lineRule="exact"/>
        <w:rPr>
          <w:sz w:val="20"/>
          <w:szCs w:val="20"/>
          <w:color w:val="auto"/>
        </w:rPr>
      </w:pPr>
    </w:p>
    <w:p>
      <w:pPr>
        <w:ind w:left="640"/>
        <w:spacing w:after="0" w:line="246" w:lineRule="auto"/>
        <w:rPr>
          <w:sz w:val="20"/>
          <w:szCs w:val="20"/>
          <w:color w:val="auto"/>
        </w:rPr>
      </w:pPr>
      <w:r>
        <w:rPr>
          <w:rFonts w:ascii="Arial" w:cs="Arial" w:eastAsia="Arial" w:hAnsi="Arial"/>
          <w:sz w:val="20"/>
          <w:szCs w:val="20"/>
          <w:color w:val="auto"/>
        </w:rPr>
        <w:t>The Long-Term Equity Incentive Compensation Program (the “LTIP”) provides grants of restricted stock awards to the Named Executive Officers and other senior management participants (collectively, the “Participants”). Pursuant to the LTIP, in general, we grant to Participants selected by the Compensation Committee, on an annual basis, (i) restricted shares that generally vest over a period of four years at a rate of 25% each year subject to continued employment with us (“Time Restricted Shares”) and (ii) restricted shares that generally vest based on the satisfaction of certain performance metrics (“Performance Restricted Shares”). The number of such awards is not based upon our achievement of key performance metrics under the Management Incentive Plan for the prior calendar year. Instead, the number of each Participant’s Time Restricted Shares and Performance Restricted Shares, in the aggregate (the “Total Number”), is calculated using the formula illustrated in the flow chart to the right.</w:t>
      </w:r>
    </w:p>
    <w:p>
      <w:pPr>
        <w:spacing w:after="0" w:line="199" w:lineRule="exact"/>
        <w:rPr>
          <w:sz w:val="20"/>
          <w:szCs w:val="20"/>
          <w:color w:val="auto"/>
        </w:rPr>
      </w:pPr>
    </w:p>
    <w:p>
      <w:pPr>
        <w:ind w:left="640" w:right="60"/>
        <w:spacing w:after="0" w:line="234" w:lineRule="auto"/>
        <w:rPr>
          <w:sz w:val="20"/>
          <w:szCs w:val="20"/>
          <w:color w:val="auto"/>
        </w:rPr>
      </w:pPr>
      <w:r>
        <w:rPr>
          <w:rFonts w:ascii="Arial" w:cs="Arial" w:eastAsia="Arial" w:hAnsi="Arial"/>
          <w:sz w:val="21"/>
          <w:szCs w:val="21"/>
          <w:color w:val="auto"/>
        </w:rPr>
        <w:t>The Total Number incorporates anticipated income taxes and Medicare taxes, with the Third Amended Stock Plan participants receiving the shares net of such taxes, subject to the vesting schedule. As the shares vest, they become taxable income to the participant, and the anticipated taxes, previously accounted for, are credited back to participants. This procedure reduces both the dilutive effect of the Third Amended Stock Plan by granting fewer shares than would otherwise be granted, and the volatility of our stock in the market by eliminating stock sales that would otherwise be completed to pay personal income taxes. The Total Number of restricted shares provides a market competitive award while minimizing both dilution and volatility. The table to the right summarizes the 2025 multiplier for Mr. Meissner, Mr. Hevert, Mr. Hurstak, Mr. Eisfeller, and Mr. LeBlanc.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3"/>
        </w:trPr>
        <w:tc>
          <w:tcPr>
            <w:tcW w:w="320" w:type="dxa"/>
            <w:vAlign w:val="bottom"/>
            <w:shd w:val="clear" w:color="auto" w:fill="DAE6F2"/>
          </w:tcPr>
          <w:p>
            <w:pPr>
              <w:spacing w:after="0"/>
              <w:rPr>
                <w:sz w:val="24"/>
                <w:szCs w:val="24"/>
                <w:color w:val="auto"/>
              </w:rPr>
            </w:pPr>
          </w:p>
        </w:tc>
        <w:tc>
          <w:tcPr>
            <w:tcW w:w="200" w:type="dxa"/>
            <w:vAlign w:val="bottom"/>
            <w:shd w:val="clear" w:color="auto" w:fill="DAE6F2"/>
          </w:tcPr>
          <w:p>
            <w:pPr>
              <w:ind w:left="80"/>
              <w:spacing w:after="0"/>
              <w:rPr>
                <w:sz w:val="20"/>
                <w:szCs w:val="20"/>
                <w:color w:val="auto"/>
              </w:rPr>
            </w:pPr>
            <w:r>
              <w:rPr>
                <w:rFonts w:ascii="Arial" w:cs="Arial" w:eastAsia="Arial" w:hAnsi="Arial"/>
                <w:sz w:val="14"/>
                <w:szCs w:val="14"/>
                <w:color w:val="auto"/>
                <w:w w:val="71"/>
              </w:rPr>
              <w:t> </w:t>
            </w:r>
          </w:p>
        </w:tc>
        <w:tc>
          <w:tcPr>
            <w:tcW w:w="2280" w:type="dxa"/>
            <w:vAlign w:val="bottom"/>
            <w:shd w:val="clear" w:color="auto" w:fill="DAE6F2"/>
          </w:tcPr>
          <w:p>
            <w:pPr>
              <w:ind w:left="60"/>
              <w:spacing w:after="0"/>
              <w:rPr>
                <w:sz w:val="20"/>
                <w:szCs w:val="20"/>
                <w:color w:val="auto"/>
              </w:rPr>
            </w:pPr>
            <w:r>
              <w:rPr>
                <w:rFonts w:ascii="Arial" w:cs="Arial" w:eastAsia="Arial" w:hAnsi="Arial"/>
                <w:sz w:val="17"/>
                <w:szCs w:val="17"/>
                <w:b w:val="1"/>
                <w:bCs w:val="1"/>
                <w:color w:val="auto"/>
              </w:rPr>
              <w:t>Name</w:t>
            </w:r>
          </w:p>
        </w:tc>
        <w:tc>
          <w:tcPr>
            <w:tcW w:w="1980" w:type="dxa"/>
            <w:vAlign w:val="bottom"/>
            <w:gridSpan w:val="2"/>
            <w:shd w:val="clear" w:color="auto" w:fill="DAE6F2"/>
          </w:tcPr>
          <w:p>
            <w:pPr>
              <w:ind w:left="380"/>
              <w:spacing w:after="0"/>
              <w:rPr>
                <w:sz w:val="20"/>
                <w:szCs w:val="20"/>
                <w:color w:val="auto"/>
              </w:rPr>
            </w:pPr>
            <w:r>
              <w:rPr>
                <w:rFonts w:ascii="Arial" w:cs="Arial" w:eastAsia="Arial" w:hAnsi="Arial"/>
                <w:sz w:val="17"/>
                <w:szCs w:val="17"/>
                <w:b w:val="1"/>
                <w:bCs w:val="1"/>
                <w:color w:val="auto"/>
              </w:rPr>
              <w:t>2025 Multiplier</w:t>
            </w:r>
            <w:r>
              <w:rPr>
                <w:rFonts w:ascii="Arial" w:cs="Arial" w:eastAsia="Arial" w:hAnsi="Arial"/>
                <w:sz w:val="17"/>
                <w:szCs w:val="17"/>
                <w:color w:val="auto"/>
              </w:rPr>
              <w:t xml:space="preserve"> </w:t>
            </w:r>
          </w:p>
        </w:tc>
      </w:tr>
      <w:tr>
        <w:trPr>
          <w:trHeight w:val="172"/>
        </w:trPr>
        <w:tc>
          <w:tcPr>
            <w:tcW w:w="320" w:type="dxa"/>
            <w:vAlign w:val="bottom"/>
            <w:tcBorders>
              <w:top w:val="single" w:sz="8" w:color="DAE6F2"/>
            </w:tcBorders>
            <w:shd w:val="clear" w:color="auto" w:fill="DAE6F2"/>
          </w:tcPr>
          <w:p>
            <w:pPr>
              <w:spacing w:after="0"/>
              <w:rPr>
                <w:sz w:val="14"/>
                <w:szCs w:val="14"/>
                <w:color w:val="auto"/>
              </w:rPr>
            </w:pPr>
          </w:p>
        </w:tc>
        <w:tc>
          <w:tcPr>
            <w:tcW w:w="2480" w:type="dxa"/>
            <w:vAlign w:val="bottom"/>
            <w:tcBorders>
              <w:top w:val="single" w:sz="8" w:color="auto"/>
            </w:tcBorders>
            <w:gridSpan w:val="2"/>
            <w:shd w:val="clear" w:color="auto" w:fill="DAE6F2"/>
          </w:tcPr>
          <w:p>
            <w:pPr>
              <w:ind w:left="80"/>
              <w:spacing w:after="0" w:line="172" w:lineRule="exact"/>
              <w:rPr>
                <w:sz w:val="20"/>
                <w:szCs w:val="20"/>
                <w:color w:val="auto"/>
              </w:rPr>
            </w:pPr>
            <w:r>
              <w:rPr>
                <w:rFonts w:ascii="Arial" w:cs="Arial" w:eastAsia="Arial" w:hAnsi="Arial"/>
                <w:sz w:val="17"/>
                <w:szCs w:val="17"/>
                <w:color w:val="auto"/>
              </w:rPr>
              <w:t>   Thomas P. Meissner, Jr.</w:t>
            </w:r>
          </w:p>
        </w:tc>
        <w:tc>
          <w:tcPr>
            <w:tcW w:w="1700" w:type="dxa"/>
            <w:vAlign w:val="bottom"/>
            <w:tcBorders>
              <w:top w:val="single" w:sz="8" w:color="auto"/>
            </w:tcBorders>
            <w:shd w:val="clear" w:color="auto" w:fill="DAE6F2"/>
          </w:tcPr>
          <w:p>
            <w:pPr>
              <w:jc w:val="right"/>
              <w:ind w:right="13"/>
              <w:spacing w:after="0" w:line="172" w:lineRule="exact"/>
              <w:rPr>
                <w:sz w:val="20"/>
                <w:szCs w:val="20"/>
                <w:color w:val="auto"/>
              </w:rPr>
            </w:pPr>
            <w:r>
              <w:rPr>
                <w:rFonts w:ascii="Arial" w:cs="Arial" w:eastAsia="Arial" w:hAnsi="Arial"/>
                <w:sz w:val="17"/>
                <w:szCs w:val="17"/>
                <w:color w:val="auto"/>
              </w:rPr>
              <w:t>135%</w:t>
            </w:r>
          </w:p>
        </w:tc>
        <w:tc>
          <w:tcPr>
            <w:tcW w:w="280" w:type="dxa"/>
            <w:vAlign w:val="bottom"/>
            <w:tcBorders>
              <w:top w:val="single" w:sz="8" w:color="DAE6F2"/>
            </w:tcBorders>
            <w:shd w:val="clear" w:color="auto" w:fill="DAE6F2"/>
          </w:tcPr>
          <w:p>
            <w:pPr>
              <w:spacing w:after="0"/>
              <w:rPr>
                <w:sz w:val="14"/>
                <w:szCs w:val="14"/>
                <w:color w:val="auto"/>
              </w:rPr>
            </w:pPr>
          </w:p>
        </w:tc>
      </w:tr>
      <w:tr>
        <w:trPr>
          <w:trHeight w:val="195"/>
        </w:trPr>
        <w:tc>
          <w:tcPr>
            <w:tcW w:w="320" w:type="dxa"/>
            <w:vAlign w:val="bottom"/>
            <w:shd w:val="clear" w:color="auto" w:fill="DAE6F2"/>
          </w:tcPr>
          <w:p>
            <w:pPr>
              <w:spacing w:after="0"/>
              <w:rPr>
                <w:sz w:val="16"/>
                <w:szCs w:val="16"/>
                <w:color w:val="auto"/>
              </w:rPr>
            </w:pPr>
          </w:p>
        </w:tc>
        <w:tc>
          <w:tcPr>
            <w:tcW w:w="200" w:type="dxa"/>
            <w:vAlign w:val="bottom"/>
            <w:shd w:val="clear" w:color="auto" w:fill="DAE6F2"/>
          </w:tcPr>
          <w:p>
            <w:pPr>
              <w:ind w:left="80"/>
              <w:spacing w:after="0"/>
              <w:rPr>
                <w:sz w:val="20"/>
                <w:szCs w:val="20"/>
                <w:color w:val="auto"/>
              </w:rPr>
            </w:pPr>
            <w:r>
              <w:rPr>
                <w:rFonts w:ascii="Arial" w:cs="Arial" w:eastAsia="Arial" w:hAnsi="Arial"/>
                <w:sz w:val="14"/>
                <w:szCs w:val="14"/>
                <w:color w:val="auto"/>
                <w:w w:val="71"/>
              </w:rPr>
              <w:t> </w:t>
            </w:r>
          </w:p>
        </w:tc>
        <w:tc>
          <w:tcPr>
            <w:tcW w:w="2280" w:type="dxa"/>
            <w:vAlign w:val="bottom"/>
            <w:shd w:val="clear" w:color="auto" w:fill="DAE6F2"/>
          </w:tcPr>
          <w:p>
            <w:pPr>
              <w:ind w:left="60"/>
              <w:spacing w:after="0"/>
              <w:rPr>
                <w:sz w:val="20"/>
                <w:szCs w:val="20"/>
                <w:color w:val="auto"/>
              </w:rPr>
            </w:pPr>
            <w:r>
              <w:rPr>
                <w:rFonts w:ascii="Arial" w:cs="Arial" w:eastAsia="Arial" w:hAnsi="Arial"/>
                <w:sz w:val="17"/>
                <w:szCs w:val="17"/>
                <w:color w:val="auto"/>
              </w:rPr>
              <w:t>Robert B. Hevert</w:t>
            </w:r>
          </w:p>
        </w:tc>
        <w:tc>
          <w:tcPr>
            <w:tcW w:w="1700" w:type="dxa"/>
            <w:vAlign w:val="bottom"/>
            <w:shd w:val="clear" w:color="auto" w:fill="DAE6F2"/>
          </w:tcPr>
          <w:p>
            <w:pPr>
              <w:jc w:val="right"/>
              <w:ind w:right="13"/>
              <w:spacing w:after="0"/>
              <w:rPr>
                <w:sz w:val="20"/>
                <w:szCs w:val="20"/>
                <w:color w:val="auto"/>
              </w:rPr>
            </w:pPr>
            <w:r>
              <w:rPr>
                <w:rFonts w:ascii="Arial" w:cs="Arial" w:eastAsia="Arial" w:hAnsi="Arial"/>
                <w:sz w:val="17"/>
                <w:szCs w:val="17"/>
                <w:color w:val="auto"/>
              </w:rPr>
              <w:t>90%</w:t>
            </w:r>
          </w:p>
        </w:tc>
        <w:tc>
          <w:tcPr>
            <w:tcW w:w="280" w:type="dxa"/>
            <w:vAlign w:val="bottom"/>
            <w:shd w:val="clear" w:color="auto" w:fill="DAE6F2"/>
          </w:tcPr>
          <w:p>
            <w:pPr>
              <w:spacing w:after="0"/>
              <w:rPr>
                <w:sz w:val="16"/>
                <w:szCs w:val="16"/>
                <w:color w:val="auto"/>
              </w:rPr>
            </w:pPr>
          </w:p>
        </w:tc>
      </w:tr>
      <w:tr>
        <w:trPr>
          <w:trHeight w:val="195"/>
        </w:trPr>
        <w:tc>
          <w:tcPr>
            <w:tcW w:w="320" w:type="dxa"/>
            <w:vAlign w:val="bottom"/>
            <w:shd w:val="clear" w:color="auto" w:fill="DAE6F2"/>
          </w:tcPr>
          <w:p>
            <w:pPr>
              <w:spacing w:after="0"/>
              <w:rPr>
                <w:sz w:val="16"/>
                <w:szCs w:val="16"/>
                <w:color w:val="auto"/>
              </w:rPr>
            </w:pPr>
          </w:p>
        </w:tc>
        <w:tc>
          <w:tcPr>
            <w:tcW w:w="200" w:type="dxa"/>
            <w:vAlign w:val="bottom"/>
            <w:shd w:val="clear" w:color="auto" w:fill="DAE6F2"/>
          </w:tcPr>
          <w:p>
            <w:pPr>
              <w:ind w:left="80"/>
              <w:spacing w:after="0"/>
              <w:rPr>
                <w:sz w:val="20"/>
                <w:szCs w:val="20"/>
                <w:color w:val="auto"/>
              </w:rPr>
            </w:pPr>
            <w:r>
              <w:rPr>
                <w:rFonts w:ascii="Arial" w:cs="Arial" w:eastAsia="Arial" w:hAnsi="Arial"/>
                <w:sz w:val="14"/>
                <w:szCs w:val="14"/>
                <w:color w:val="auto"/>
                <w:w w:val="71"/>
              </w:rPr>
              <w:t> </w:t>
            </w:r>
          </w:p>
        </w:tc>
        <w:tc>
          <w:tcPr>
            <w:tcW w:w="2280" w:type="dxa"/>
            <w:vAlign w:val="bottom"/>
            <w:shd w:val="clear" w:color="auto" w:fill="DAE6F2"/>
          </w:tcPr>
          <w:p>
            <w:pPr>
              <w:ind w:left="60"/>
              <w:spacing w:after="0"/>
              <w:rPr>
                <w:sz w:val="20"/>
                <w:szCs w:val="20"/>
                <w:color w:val="auto"/>
              </w:rPr>
            </w:pPr>
            <w:r>
              <w:rPr>
                <w:rFonts w:ascii="Arial" w:cs="Arial" w:eastAsia="Arial" w:hAnsi="Arial"/>
                <w:sz w:val="17"/>
                <w:szCs w:val="17"/>
                <w:color w:val="auto"/>
              </w:rPr>
              <w:t>Daniel J. Hurstak</w:t>
            </w:r>
          </w:p>
        </w:tc>
        <w:tc>
          <w:tcPr>
            <w:tcW w:w="1700" w:type="dxa"/>
            <w:vAlign w:val="bottom"/>
            <w:shd w:val="clear" w:color="auto" w:fill="DAE6F2"/>
          </w:tcPr>
          <w:p>
            <w:pPr>
              <w:jc w:val="right"/>
              <w:ind w:right="13"/>
              <w:spacing w:after="0"/>
              <w:rPr>
                <w:sz w:val="20"/>
                <w:szCs w:val="20"/>
                <w:color w:val="auto"/>
              </w:rPr>
            </w:pPr>
            <w:r>
              <w:rPr>
                <w:rFonts w:ascii="Arial" w:cs="Arial" w:eastAsia="Arial" w:hAnsi="Arial"/>
                <w:sz w:val="17"/>
                <w:szCs w:val="17"/>
                <w:color w:val="auto"/>
              </w:rPr>
              <w:t>70%</w:t>
            </w:r>
          </w:p>
        </w:tc>
        <w:tc>
          <w:tcPr>
            <w:tcW w:w="280" w:type="dxa"/>
            <w:vAlign w:val="bottom"/>
            <w:shd w:val="clear" w:color="auto" w:fill="DAE6F2"/>
          </w:tcPr>
          <w:p>
            <w:pPr>
              <w:spacing w:after="0"/>
              <w:rPr>
                <w:sz w:val="16"/>
                <w:szCs w:val="16"/>
                <w:color w:val="auto"/>
              </w:rPr>
            </w:pPr>
          </w:p>
        </w:tc>
      </w:tr>
      <w:tr>
        <w:trPr>
          <w:trHeight w:val="195"/>
        </w:trPr>
        <w:tc>
          <w:tcPr>
            <w:tcW w:w="320" w:type="dxa"/>
            <w:vAlign w:val="bottom"/>
            <w:shd w:val="clear" w:color="auto" w:fill="DAE6F2"/>
          </w:tcPr>
          <w:p>
            <w:pPr>
              <w:spacing w:after="0"/>
              <w:rPr>
                <w:sz w:val="16"/>
                <w:szCs w:val="16"/>
                <w:color w:val="auto"/>
              </w:rPr>
            </w:pPr>
          </w:p>
        </w:tc>
        <w:tc>
          <w:tcPr>
            <w:tcW w:w="200" w:type="dxa"/>
            <w:vAlign w:val="bottom"/>
            <w:shd w:val="clear" w:color="auto" w:fill="DAE6F2"/>
          </w:tcPr>
          <w:p>
            <w:pPr>
              <w:ind w:left="80"/>
              <w:spacing w:after="0"/>
              <w:rPr>
                <w:sz w:val="20"/>
                <w:szCs w:val="20"/>
                <w:color w:val="auto"/>
              </w:rPr>
            </w:pPr>
            <w:r>
              <w:rPr>
                <w:rFonts w:ascii="Arial" w:cs="Arial" w:eastAsia="Arial" w:hAnsi="Arial"/>
                <w:sz w:val="14"/>
                <w:szCs w:val="14"/>
                <w:color w:val="auto"/>
                <w:w w:val="71"/>
              </w:rPr>
              <w:t> </w:t>
            </w:r>
          </w:p>
        </w:tc>
        <w:tc>
          <w:tcPr>
            <w:tcW w:w="2280" w:type="dxa"/>
            <w:vAlign w:val="bottom"/>
            <w:shd w:val="clear" w:color="auto" w:fill="DAE6F2"/>
          </w:tcPr>
          <w:p>
            <w:pPr>
              <w:ind w:left="60"/>
              <w:spacing w:after="0"/>
              <w:rPr>
                <w:sz w:val="20"/>
                <w:szCs w:val="20"/>
                <w:color w:val="auto"/>
              </w:rPr>
            </w:pPr>
            <w:r>
              <w:rPr>
                <w:rFonts w:ascii="Arial" w:cs="Arial" w:eastAsia="Arial" w:hAnsi="Arial"/>
                <w:sz w:val="17"/>
                <w:szCs w:val="17"/>
                <w:color w:val="auto"/>
              </w:rPr>
              <w:t>Justin Eisfeller</w:t>
            </w:r>
          </w:p>
        </w:tc>
        <w:tc>
          <w:tcPr>
            <w:tcW w:w="1700" w:type="dxa"/>
            <w:vAlign w:val="bottom"/>
            <w:shd w:val="clear" w:color="auto" w:fill="DAE6F2"/>
          </w:tcPr>
          <w:p>
            <w:pPr>
              <w:jc w:val="right"/>
              <w:ind w:right="13"/>
              <w:spacing w:after="0"/>
              <w:rPr>
                <w:sz w:val="20"/>
                <w:szCs w:val="20"/>
                <w:color w:val="auto"/>
              </w:rPr>
            </w:pPr>
            <w:r>
              <w:rPr>
                <w:rFonts w:ascii="Arial" w:cs="Arial" w:eastAsia="Arial" w:hAnsi="Arial"/>
                <w:sz w:val="17"/>
                <w:szCs w:val="17"/>
                <w:color w:val="auto"/>
              </w:rPr>
              <w:t>45%</w:t>
            </w:r>
          </w:p>
        </w:tc>
        <w:tc>
          <w:tcPr>
            <w:tcW w:w="280" w:type="dxa"/>
            <w:vAlign w:val="bottom"/>
            <w:shd w:val="clear" w:color="auto" w:fill="DAE6F2"/>
          </w:tcPr>
          <w:p>
            <w:pPr>
              <w:spacing w:after="0"/>
              <w:rPr>
                <w:sz w:val="16"/>
                <w:szCs w:val="16"/>
                <w:color w:val="auto"/>
              </w:rPr>
            </w:pPr>
          </w:p>
        </w:tc>
      </w:tr>
      <w:tr>
        <w:trPr>
          <w:trHeight w:val="229"/>
        </w:trPr>
        <w:tc>
          <w:tcPr>
            <w:tcW w:w="320" w:type="dxa"/>
            <w:vAlign w:val="bottom"/>
            <w:shd w:val="clear" w:color="auto" w:fill="DAE6F2"/>
          </w:tcPr>
          <w:p>
            <w:pPr>
              <w:spacing w:after="0"/>
              <w:rPr>
                <w:sz w:val="19"/>
                <w:szCs w:val="19"/>
                <w:color w:val="auto"/>
              </w:rPr>
            </w:pPr>
          </w:p>
        </w:tc>
        <w:tc>
          <w:tcPr>
            <w:tcW w:w="200" w:type="dxa"/>
            <w:vAlign w:val="bottom"/>
            <w:shd w:val="clear" w:color="auto" w:fill="DAE6F2"/>
          </w:tcPr>
          <w:p>
            <w:pPr>
              <w:ind w:left="80"/>
              <w:spacing w:after="0"/>
              <w:rPr>
                <w:sz w:val="20"/>
                <w:szCs w:val="20"/>
                <w:color w:val="auto"/>
              </w:rPr>
            </w:pPr>
            <w:r>
              <w:rPr>
                <w:rFonts w:ascii="Arial" w:cs="Arial" w:eastAsia="Arial" w:hAnsi="Arial"/>
                <w:sz w:val="14"/>
                <w:szCs w:val="14"/>
                <w:color w:val="auto"/>
                <w:w w:val="71"/>
              </w:rPr>
              <w:t> </w:t>
            </w:r>
          </w:p>
        </w:tc>
        <w:tc>
          <w:tcPr>
            <w:tcW w:w="2280" w:type="dxa"/>
            <w:vAlign w:val="bottom"/>
            <w:shd w:val="clear" w:color="auto" w:fill="DAE6F2"/>
          </w:tcPr>
          <w:p>
            <w:pPr>
              <w:ind w:left="60"/>
              <w:spacing w:after="0"/>
              <w:rPr>
                <w:sz w:val="20"/>
                <w:szCs w:val="20"/>
                <w:color w:val="auto"/>
              </w:rPr>
            </w:pPr>
            <w:r>
              <w:rPr>
                <w:rFonts w:ascii="Arial" w:cs="Arial" w:eastAsia="Arial" w:hAnsi="Arial"/>
                <w:sz w:val="17"/>
                <w:szCs w:val="17"/>
                <w:color w:val="auto"/>
              </w:rPr>
              <w:t>Christopher J. LeBlanc</w:t>
            </w:r>
          </w:p>
        </w:tc>
        <w:tc>
          <w:tcPr>
            <w:tcW w:w="1700" w:type="dxa"/>
            <w:vAlign w:val="bottom"/>
            <w:shd w:val="clear" w:color="auto" w:fill="DAE6F2"/>
          </w:tcPr>
          <w:p>
            <w:pPr>
              <w:jc w:val="right"/>
              <w:ind w:right="13"/>
              <w:spacing w:after="0"/>
              <w:rPr>
                <w:sz w:val="20"/>
                <w:szCs w:val="20"/>
                <w:color w:val="auto"/>
              </w:rPr>
            </w:pPr>
            <w:r>
              <w:rPr>
                <w:rFonts w:ascii="Arial" w:cs="Arial" w:eastAsia="Arial" w:hAnsi="Arial"/>
                <w:sz w:val="17"/>
                <w:szCs w:val="17"/>
                <w:color w:val="auto"/>
              </w:rPr>
              <w:t>45%</w:t>
            </w:r>
          </w:p>
        </w:tc>
        <w:tc>
          <w:tcPr>
            <w:tcW w:w="280" w:type="dxa"/>
            <w:vAlign w:val="bottom"/>
            <w:shd w:val="clear" w:color="auto" w:fill="DAE6F2"/>
          </w:tcPr>
          <w:p>
            <w:pPr>
              <w:spacing w:after="0"/>
              <w:rPr>
                <w:sz w:val="19"/>
                <w:szCs w:val="19"/>
                <w:color w:val="auto"/>
              </w:rPr>
            </w:pPr>
          </w:p>
        </w:tc>
      </w:tr>
      <w:tr>
        <w:trPr>
          <w:trHeight w:val="178"/>
        </w:trPr>
        <w:tc>
          <w:tcPr>
            <w:tcW w:w="320" w:type="dxa"/>
            <w:vAlign w:val="bottom"/>
            <w:shd w:val="clear" w:color="auto" w:fill="DAE6F2"/>
          </w:tcPr>
          <w:p>
            <w:pPr>
              <w:spacing w:after="0"/>
              <w:rPr>
                <w:sz w:val="15"/>
                <w:szCs w:val="15"/>
                <w:color w:val="auto"/>
              </w:rPr>
            </w:pPr>
          </w:p>
        </w:tc>
        <w:tc>
          <w:tcPr>
            <w:tcW w:w="200" w:type="dxa"/>
            <w:vAlign w:val="bottom"/>
            <w:shd w:val="clear" w:color="auto" w:fill="DAE6F2"/>
          </w:tcPr>
          <w:p>
            <w:pPr>
              <w:spacing w:after="0"/>
              <w:rPr>
                <w:sz w:val="15"/>
                <w:szCs w:val="15"/>
                <w:color w:val="auto"/>
              </w:rPr>
            </w:pPr>
          </w:p>
        </w:tc>
        <w:tc>
          <w:tcPr>
            <w:tcW w:w="2280" w:type="dxa"/>
            <w:vAlign w:val="bottom"/>
            <w:shd w:val="clear" w:color="auto" w:fill="DAE6F2"/>
          </w:tcPr>
          <w:p>
            <w:pPr>
              <w:spacing w:after="0"/>
              <w:rPr>
                <w:sz w:val="15"/>
                <w:szCs w:val="15"/>
                <w:color w:val="auto"/>
              </w:rPr>
            </w:pPr>
          </w:p>
        </w:tc>
        <w:tc>
          <w:tcPr>
            <w:tcW w:w="1700" w:type="dxa"/>
            <w:vAlign w:val="bottom"/>
            <w:shd w:val="clear" w:color="auto" w:fill="DAE6F2"/>
          </w:tcPr>
          <w:p>
            <w:pPr>
              <w:spacing w:after="0"/>
              <w:rPr>
                <w:sz w:val="15"/>
                <w:szCs w:val="15"/>
                <w:color w:val="auto"/>
              </w:rPr>
            </w:pPr>
          </w:p>
        </w:tc>
        <w:tc>
          <w:tcPr>
            <w:tcW w:w="280" w:type="dxa"/>
            <w:vAlign w:val="bottom"/>
            <w:shd w:val="clear" w:color="auto" w:fill="DAE6F2"/>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-5651500</wp:posOffset>
            </wp:positionV>
            <wp:extent cx="1625600" cy="42906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625600" cy="429069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5820" w:space="20"/>
            <w:col w:w="4780"/>
          </w:cols>
          <w:pgMar w:left="320" w:top="470" w:right="959" w:bottom="1440" w:gutter="0" w:footer="0" w:header="0"/>
          <w:type w:val="continuous"/>
        </w:sectPr>
      </w:pPr>
    </w:p>
    <w:p>
      <w:pPr>
        <w:ind w:left="640"/>
        <w:spacing w:after="0"/>
        <w:rPr>
          <w:sz w:val="20"/>
          <w:szCs w:val="20"/>
          <w:color w:val="auto"/>
        </w:rPr>
      </w:pPr>
      <w:r>
        <w:rPr>
          <w:rFonts w:ascii="Arial" w:cs="Arial" w:eastAsia="Arial" w:hAnsi="Arial"/>
          <w:sz w:val="21"/>
          <w:szCs w:val="21"/>
          <w:b w:val="1"/>
          <w:bCs w:val="1"/>
          <w:color w:val="auto"/>
        </w:rPr>
        <w:t>Time Restricted Shares</w:t>
      </w:r>
    </w:p>
    <w:p>
      <w:pPr>
        <w:spacing w:after="0" w:line="12" w:lineRule="exact"/>
        <w:rPr>
          <w:sz w:val="20"/>
          <w:szCs w:val="20"/>
          <w:color w:val="auto"/>
        </w:rPr>
      </w:pPr>
    </w:p>
    <w:p>
      <w:pPr>
        <w:jc w:val="both"/>
        <w:ind w:left="640" w:right="360"/>
        <w:spacing w:after="0" w:line="239" w:lineRule="auto"/>
        <w:rPr>
          <w:sz w:val="20"/>
          <w:szCs w:val="20"/>
          <w:color w:val="auto"/>
        </w:rPr>
      </w:pPr>
      <w:r>
        <w:rPr>
          <w:rFonts w:ascii="Arial" w:cs="Arial" w:eastAsia="Arial" w:hAnsi="Arial"/>
          <w:sz w:val="21"/>
          <w:szCs w:val="21"/>
          <w:color w:val="auto"/>
        </w:rPr>
        <w:t>Time Restricted Shares generally vest over a period of four years at a rate of 25% each year. Prior to the end of the vesting period, Time Restricted Shares are subject to forfeiture if the Participant’s employment terminates other than due to death, disability or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147955</wp:posOffset>
            </wp:positionV>
            <wp:extent cx="6337300" cy="825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620"/>
          </w:cols>
          <w:pgMar w:left="320" w:top="470" w:right="9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Performance Restricted Shares</w:t>
      </w:r>
    </w:p>
    <w:p>
      <w:pPr>
        <w:spacing w:after="0" w:line="12" w:lineRule="exact"/>
        <w:rPr>
          <w:sz w:val="20"/>
          <w:szCs w:val="20"/>
          <w:color w:val="auto"/>
        </w:rPr>
      </w:pPr>
    </w:p>
    <w:p>
      <w:pPr>
        <w:ind w:left="640" w:right="160"/>
        <w:spacing w:after="0" w:line="236" w:lineRule="auto"/>
        <w:rPr>
          <w:sz w:val="20"/>
          <w:szCs w:val="20"/>
          <w:color w:val="auto"/>
        </w:rPr>
      </w:pPr>
      <w:r>
        <w:rPr>
          <w:rFonts w:ascii="Arial" w:cs="Arial" w:eastAsia="Arial" w:hAnsi="Arial"/>
          <w:sz w:val="21"/>
          <w:szCs w:val="21"/>
          <w:color w:val="auto"/>
        </w:rPr>
        <w:t>Performance Restricted Shares generally vest after a performance period of three years based on the attainment of certain performance thresholds of certain defined performance metrics, each as set by the Compensation Committee at the beginning of the performance period. On January 28, 2025, the Compensation Committee selected two performance metrics for the three-year performance period starting January 1, 2025, through December 31, 2027:</w:t>
      </w:r>
    </w:p>
    <w:p>
      <w:pPr>
        <w:spacing w:after="0" w:line="79"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three-year average return on common equity (the “ROE Goal”); and</w:t>
      </w:r>
    </w:p>
    <w:p>
      <w:pPr>
        <w:spacing w:after="0" w:line="226"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three-year average growth in book value per share (the “Book Value Goal”).</w:t>
      </w:r>
    </w:p>
    <w:p>
      <w:pPr>
        <w:spacing w:after="0" w:line="317" w:lineRule="exact"/>
        <w:rPr>
          <w:sz w:val="20"/>
          <w:szCs w:val="20"/>
          <w:color w:val="auto"/>
        </w:rPr>
      </w:pPr>
    </w:p>
    <w:p>
      <w:pPr>
        <w:ind w:left="640" w:right="200"/>
        <w:spacing w:after="0" w:line="387" w:lineRule="auto"/>
        <w:rPr>
          <w:sz w:val="20"/>
          <w:szCs w:val="20"/>
          <w:color w:val="auto"/>
        </w:rPr>
      </w:pPr>
      <w:r>
        <w:rPr>
          <w:rFonts w:ascii="Arial" w:cs="Arial" w:eastAsia="Arial" w:hAnsi="Arial"/>
          <w:sz w:val="21"/>
          <w:szCs w:val="21"/>
          <w:color w:val="auto"/>
        </w:rPr>
        <w:t xml:space="preserve">Performance Restricted Shares are generally granted at target at the beginning of the performance period. </w:t>
      </w:r>
      <w:r>
        <w:rPr>
          <w:rFonts w:ascii="Arial" w:cs="Arial" w:eastAsia="Arial" w:hAnsi="Arial"/>
          <w:sz w:val="21"/>
          <w:szCs w:val="21"/>
          <w:b w:val="1"/>
          <w:bCs w:val="1"/>
          <w:i w:val="1"/>
          <w:iCs w:val="1"/>
          <w:color w:val="auto"/>
        </w:rPr>
        <w:t>Summary of Time Restricted Shares and Performance Restricted Shares</w:t>
      </w:r>
    </w:p>
    <w:p>
      <w:pPr>
        <w:spacing w:after="0" w:line="1" w:lineRule="exact"/>
        <w:rPr>
          <w:sz w:val="20"/>
          <w:szCs w:val="20"/>
          <w:color w:val="auto"/>
        </w:rPr>
      </w:pPr>
    </w:p>
    <w:p>
      <w:pPr>
        <w:ind w:left="640" w:right="20"/>
        <w:spacing w:after="0" w:line="264" w:lineRule="auto"/>
        <w:rPr>
          <w:sz w:val="20"/>
          <w:szCs w:val="20"/>
          <w:color w:val="auto"/>
        </w:rPr>
      </w:pPr>
      <w:r>
        <w:rPr>
          <w:rFonts w:ascii="Arial" w:cs="Arial" w:eastAsia="Arial" w:hAnsi="Arial"/>
          <w:sz w:val="21"/>
          <w:szCs w:val="21"/>
          <w:color w:val="auto"/>
        </w:rPr>
        <w:t>The following table summarizes certain terms of the Time Restricted Shares and the Performance Restricted Shares.</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288"/>
        </w:trPr>
        <w:tc>
          <w:tcPr>
            <w:tcW w:w="1980" w:type="dxa"/>
            <w:vAlign w:val="bottom"/>
            <w:vMerge w:val="restart"/>
            <w:shd w:val="clear" w:color="auto" w:fill="314A72"/>
          </w:tcPr>
          <w:p>
            <w:pPr>
              <w:ind w:left="460"/>
              <w:spacing w:after="0"/>
              <w:rPr>
                <w:sz w:val="20"/>
                <w:szCs w:val="20"/>
                <w:color w:val="auto"/>
              </w:rPr>
            </w:pPr>
            <w:r>
              <w:rPr>
                <w:rFonts w:ascii="Arial" w:cs="Arial" w:eastAsia="Arial" w:hAnsi="Arial"/>
                <w:sz w:val="19"/>
                <w:szCs w:val="19"/>
                <w:b w:val="1"/>
                <w:bCs w:val="1"/>
                <w:color w:val="FFFFFF"/>
              </w:rPr>
              <w:t>Award Type</w:t>
            </w:r>
          </w:p>
        </w:tc>
        <w:tc>
          <w:tcPr>
            <w:tcW w:w="1740" w:type="dxa"/>
            <w:vAlign w:val="bottom"/>
            <w:shd w:val="clear" w:color="auto" w:fill="314A72"/>
          </w:tcPr>
          <w:p>
            <w:pPr>
              <w:jc w:val="center"/>
              <w:ind w:left="25"/>
              <w:spacing w:after="0"/>
              <w:rPr>
                <w:sz w:val="20"/>
                <w:szCs w:val="20"/>
                <w:color w:val="auto"/>
              </w:rPr>
            </w:pPr>
            <w:r>
              <w:rPr>
                <w:rFonts w:ascii="Arial" w:cs="Arial" w:eastAsia="Arial" w:hAnsi="Arial"/>
                <w:sz w:val="19"/>
                <w:szCs w:val="19"/>
                <w:b w:val="1"/>
                <w:bCs w:val="1"/>
                <w:color w:val="FFFFFF"/>
              </w:rPr>
              <w:t>Percentage of</w:t>
            </w:r>
          </w:p>
        </w:tc>
        <w:tc>
          <w:tcPr>
            <w:tcW w:w="2240" w:type="dxa"/>
            <w:vAlign w:val="bottom"/>
            <w:vMerge w:val="restart"/>
            <w:shd w:val="clear" w:color="auto" w:fill="314A72"/>
          </w:tcPr>
          <w:p>
            <w:pPr>
              <w:ind w:left="180"/>
              <w:spacing w:after="0"/>
              <w:rPr>
                <w:sz w:val="20"/>
                <w:szCs w:val="20"/>
                <w:color w:val="auto"/>
              </w:rPr>
            </w:pPr>
            <w:r>
              <w:rPr>
                <w:rFonts w:ascii="Arial" w:cs="Arial" w:eastAsia="Arial" w:hAnsi="Arial"/>
                <w:sz w:val="19"/>
                <w:szCs w:val="19"/>
                <w:b w:val="1"/>
                <w:bCs w:val="1"/>
                <w:color w:val="FFFFFF"/>
              </w:rPr>
              <w:t>Vesting Description</w:t>
            </w:r>
          </w:p>
        </w:tc>
        <w:tc>
          <w:tcPr>
            <w:tcW w:w="1820" w:type="dxa"/>
            <w:vAlign w:val="bottom"/>
            <w:shd w:val="clear" w:color="auto" w:fill="314A72"/>
          </w:tcPr>
          <w:p>
            <w:pPr>
              <w:ind w:left="280"/>
              <w:spacing w:after="0"/>
              <w:rPr>
                <w:sz w:val="20"/>
                <w:szCs w:val="20"/>
                <w:color w:val="auto"/>
              </w:rPr>
            </w:pPr>
            <w:r>
              <w:rPr>
                <w:rFonts w:ascii="Arial" w:cs="Arial" w:eastAsia="Arial" w:hAnsi="Arial"/>
                <w:sz w:val="19"/>
                <w:szCs w:val="19"/>
                <w:b w:val="1"/>
                <w:bCs w:val="1"/>
                <w:color w:val="FFFFFF"/>
              </w:rPr>
              <w:t>Performance</w:t>
            </w:r>
          </w:p>
        </w:tc>
        <w:tc>
          <w:tcPr>
            <w:tcW w:w="2200" w:type="dxa"/>
            <w:vAlign w:val="bottom"/>
            <w:shd w:val="clear" w:color="auto" w:fill="314A72"/>
          </w:tcPr>
          <w:p>
            <w:pPr>
              <w:jc w:val="center"/>
              <w:ind w:left="5"/>
              <w:spacing w:after="0"/>
              <w:rPr>
                <w:sz w:val="20"/>
                <w:szCs w:val="20"/>
                <w:color w:val="auto"/>
              </w:rPr>
            </w:pPr>
            <w:r>
              <w:rPr>
                <w:rFonts w:ascii="Arial" w:cs="Arial" w:eastAsia="Arial" w:hAnsi="Arial"/>
                <w:sz w:val="19"/>
                <w:szCs w:val="19"/>
                <w:b w:val="1"/>
                <w:bCs w:val="1"/>
                <w:color w:val="FFFFFF"/>
                <w:w w:val="99"/>
              </w:rPr>
              <w:t>Amount of Award</w:t>
            </w:r>
          </w:p>
        </w:tc>
        <w:tc>
          <w:tcPr>
            <w:tcW w:w="0" w:type="dxa"/>
            <w:vAlign w:val="bottom"/>
          </w:tcPr>
          <w:p>
            <w:pPr>
              <w:spacing w:after="0"/>
              <w:rPr>
                <w:sz w:val="1"/>
                <w:szCs w:val="1"/>
                <w:color w:val="auto"/>
              </w:rPr>
            </w:pPr>
          </w:p>
        </w:tc>
      </w:tr>
      <w:tr>
        <w:trPr>
          <w:trHeight w:val="322"/>
        </w:trPr>
        <w:tc>
          <w:tcPr>
            <w:tcW w:w="1980" w:type="dxa"/>
            <w:vAlign w:val="bottom"/>
            <w:tcBorders>
              <w:bottom w:val="single" w:sz="8" w:color="auto"/>
            </w:tcBorders>
            <w:vMerge w:val="continue"/>
            <w:shd w:val="clear" w:color="auto" w:fill="314A72"/>
          </w:tcPr>
          <w:p>
            <w:pPr>
              <w:spacing w:after="0"/>
              <w:rPr>
                <w:sz w:val="24"/>
                <w:szCs w:val="24"/>
                <w:color w:val="auto"/>
              </w:rPr>
            </w:pPr>
          </w:p>
        </w:tc>
        <w:tc>
          <w:tcPr>
            <w:tcW w:w="1740" w:type="dxa"/>
            <w:vAlign w:val="bottom"/>
            <w:tcBorders>
              <w:bottom w:val="single" w:sz="8" w:color="auto"/>
            </w:tcBorders>
            <w:shd w:val="clear" w:color="auto" w:fill="314A72"/>
          </w:tcPr>
          <w:p>
            <w:pPr>
              <w:jc w:val="center"/>
              <w:ind w:left="25"/>
              <w:spacing w:after="0"/>
              <w:rPr>
                <w:sz w:val="20"/>
                <w:szCs w:val="20"/>
                <w:color w:val="auto"/>
              </w:rPr>
            </w:pPr>
            <w:r>
              <w:rPr>
                <w:rFonts w:ascii="Arial" w:cs="Arial" w:eastAsia="Arial" w:hAnsi="Arial"/>
                <w:sz w:val="19"/>
                <w:szCs w:val="19"/>
                <w:b w:val="1"/>
                <w:bCs w:val="1"/>
                <w:color w:val="FFFFFF"/>
                <w:w w:val="99"/>
              </w:rPr>
              <w:t>Award</w:t>
            </w:r>
          </w:p>
        </w:tc>
        <w:tc>
          <w:tcPr>
            <w:tcW w:w="2240" w:type="dxa"/>
            <w:vAlign w:val="bottom"/>
            <w:tcBorders>
              <w:bottom w:val="single" w:sz="8" w:color="auto"/>
            </w:tcBorders>
            <w:vMerge w:val="continue"/>
            <w:shd w:val="clear" w:color="auto" w:fill="314A72"/>
          </w:tcPr>
          <w:p>
            <w:pPr>
              <w:spacing w:after="0"/>
              <w:rPr>
                <w:sz w:val="24"/>
                <w:szCs w:val="24"/>
                <w:color w:val="auto"/>
              </w:rPr>
            </w:pPr>
          </w:p>
        </w:tc>
        <w:tc>
          <w:tcPr>
            <w:tcW w:w="1820" w:type="dxa"/>
            <w:vAlign w:val="bottom"/>
            <w:tcBorders>
              <w:bottom w:val="single" w:sz="8" w:color="auto"/>
            </w:tcBorders>
            <w:shd w:val="clear" w:color="auto" w:fill="314A72"/>
          </w:tcPr>
          <w:p>
            <w:pPr>
              <w:ind w:left="280"/>
              <w:spacing w:after="0"/>
              <w:rPr>
                <w:sz w:val="20"/>
                <w:szCs w:val="20"/>
                <w:color w:val="auto"/>
              </w:rPr>
            </w:pPr>
            <w:r>
              <w:rPr>
                <w:rFonts w:ascii="Arial" w:cs="Arial" w:eastAsia="Arial" w:hAnsi="Arial"/>
                <w:sz w:val="19"/>
                <w:szCs w:val="19"/>
                <w:b w:val="1"/>
                <w:bCs w:val="1"/>
                <w:color w:val="FFFFFF"/>
              </w:rPr>
              <w:t xml:space="preserve">Threshold </w:t>
            </w:r>
            <w:r>
              <w:rPr>
                <w:rFonts w:ascii="Arial" w:cs="Arial" w:eastAsia="Arial" w:hAnsi="Arial"/>
                <w:sz w:val="28"/>
                <w:szCs w:val="28"/>
                <w:i w:val="1"/>
                <w:iCs w:val="1"/>
                <w:color w:val="FFFFFF"/>
                <w:vertAlign w:val="superscript"/>
              </w:rPr>
              <w:t>(1)</w:t>
            </w:r>
          </w:p>
        </w:tc>
        <w:tc>
          <w:tcPr>
            <w:tcW w:w="2200" w:type="dxa"/>
            <w:vAlign w:val="bottom"/>
            <w:tcBorders>
              <w:bottom w:val="single" w:sz="8" w:color="auto"/>
            </w:tcBorders>
            <w:shd w:val="clear" w:color="auto" w:fill="314A72"/>
          </w:tcPr>
          <w:p>
            <w:pPr>
              <w:jc w:val="center"/>
              <w:spacing w:after="0"/>
              <w:rPr>
                <w:sz w:val="20"/>
                <w:szCs w:val="20"/>
                <w:color w:val="auto"/>
              </w:rPr>
            </w:pPr>
            <w:r>
              <w:rPr>
                <w:rFonts w:ascii="Arial" w:cs="Arial" w:eastAsia="Arial" w:hAnsi="Arial"/>
                <w:sz w:val="19"/>
                <w:szCs w:val="19"/>
                <w:b w:val="1"/>
                <w:bCs w:val="1"/>
                <w:color w:val="FFFFFF"/>
                <w:w w:val="92"/>
              </w:rPr>
              <w:t xml:space="preserve">Vested </w:t>
            </w:r>
            <w:r>
              <w:rPr>
                <w:rFonts w:ascii="Arial" w:cs="Arial" w:eastAsia="Arial" w:hAnsi="Arial"/>
                <w:sz w:val="28"/>
                <w:szCs w:val="28"/>
                <w:i w:val="1"/>
                <w:iCs w:val="1"/>
                <w:color w:val="FFFFFF"/>
                <w:w w:val="92"/>
                <w:vertAlign w:val="superscript"/>
              </w:rPr>
              <w:t>(2)</w:t>
            </w:r>
          </w:p>
        </w:tc>
        <w:tc>
          <w:tcPr>
            <w:tcW w:w="0" w:type="dxa"/>
            <w:vAlign w:val="bottom"/>
          </w:tcPr>
          <w:p>
            <w:pPr>
              <w:spacing w:after="0"/>
              <w:rPr>
                <w:sz w:val="1"/>
                <w:szCs w:val="1"/>
                <w:color w:val="auto"/>
              </w:rPr>
            </w:pPr>
          </w:p>
        </w:tc>
      </w:tr>
    </w:tbl>
    <w:p>
      <w:pPr>
        <w:spacing w:after="0" w:line="65" w:lineRule="exact"/>
        <w:rPr>
          <w:sz w:val="20"/>
          <w:szCs w:val="20"/>
          <w:color w:val="auto"/>
        </w:rPr>
      </w:pPr>
    </w:p>
    <w:p>
      <w:pPr>
        <w:sectPr>
          <w:pgSz w:w="11900" w:h="16838" w:orient="portrait"/>
          <w:cols w:equalWidth="0" w:num="1">
            <w:col w:w="10620"/>
          </w:cols>
          <w:pgMar w:left="320" w:top="470" w:right="959" w:bottom="1440" w:gutter="0" w:footer="0" w:header="0"/>
        </w:sectPr>
      </w:pPr>
    </w:p>
    <w:tbl>
      <w:tblPr>
        <w:tblLayout w:type="fixed"/>
        <w:tblInd w:w="760" w:type="dxa"/>
        <w:tblCellMar>
          <w:top w:w="0" w:type="dxa"/>
          <w:left w:w="0" w:type="dxa"/>
          <w:bottom w:w="0" w:type="dxa"/>
          <w:right w:w="0" w:type="dxa"/>
        </w:tblCellMar>
      </w:tblPr>
      <w:tr>
        <w:trPr>
          <w:trHeight w:val="195"/>
        </w:trPr>
        <w:tc>
          <w:tcPr>
            <w:tcW w:w="1620" w:type="dxa"/>
            <w:vAlign w:val="bottom"/>
          </w:tcPr>
          <w:p>
            <w:pPr>
              <w:spacing w:after="0"/>
              <w:rPr>
                <w:sz w:val="20"/>
                <w:szCs w:val="20"/>
                <w:color w:val="auto"/>
              </w:rPr>
            </w:pPr>
            <w:r>
              <w:rPr>
                <w:rFonts w:ascii="Arial" w:cs="Arial" w:eastAsia="Arial" w:hAnsi="Arial"/>
                <w:sz w:val="17"/>
                <w:szCs w:val="17"/>
                <w:b w:val="1"/>
                <w:bCs w:val="1"/>
                <w:color w:val="auto"/>
              </w:rPr>
              <w:t>Time Restricted</w:t>
            </w:r>
          </w:p>
        </w:tc>
        <w:tc>
          <w:tcPr>
            <w:tcW w:w="1960" w:type="dxa"/>
            <w:vAlign w:val="bottom"/>
          </w:tcPr>
          <w:p>
            <w:pPr>
              <w:ind w:left="340"/>
              <w:spacing w:after="0"/>
              <w:rPr>
                <w:sz w:val="20"/>
                <w:szCs w:val="20"/>
                <w:color w:val="auto"/>
              </w:rPr>
            </w:pPr>
            <w:r>
              <w:rPr>
                <w:rFonts w:ascii="Arial" w:cs="Arial" w:eastAsia="Arial" w:hAnsi="Arial"/>
                <w:sz w:val="16"/>
                <w:szCs w:val="16"/>
                <w:color w:val="auto"/>
              </w:rPr>
              <w:t>50% of Total Number</w:t>
            </w:r>
          </w:p>
        </w:tc>
        <w:tc>
          <w:tcPr>
            <w:tcW w:w="2020" w:type="dxa"/>
            <w:vAlign w:val="bottom"/>
          </w:tcPr>
          <w:p>
            <w:pPr>
              <w:ind w:left="160"/>
              <w:spacing w:after="0"/>
              <w:rPr>
                <w:sz w:val="20"/>
                <w:szCs w:val="20"/>
                <w:color w:val="auto"/>
              </w:rPr>
            </w:pPr>
            <w:r>
              <w:rPr>
                <w:rFonts w:ascii="Arial" w:cs="Arial" w:eastAsia="Arial" w:hAnsi="Arial"/>
                <w:sz w:val="16"/>
                <w:szCs w:val="16"/>
                <w:color w:val="auto"/>
              </w:rPr>
              <w:t>Award vests over a four-</w:t>
            </w:r>
          </w:p>
        </w:tc>
        <w:tc>
          <w:tcPr>
            <w:tcW w:w="380" w:type="dxa"/>
            <w:vAlign w:val="bottom"/>
          </w:tcPr>
          <w:p>
            <w:pPr>
              <w:ind w:left="160"/>
              <w:spacing w:after="0"/>
              <w:rPr>
                <w:sz w:val="20"/>
                <w:szCs w:val="20"/>
                <w:color w:val="auto"/>
              </w:rPr>
            </w:pPr>
            <w:r>
              <w:rPr>
                <w:rFonts w:ascii="Arial" w:cs="Arial" w:eastAsia="Arial" w:hAnsi="Arial"/>
                <w:sz w:val="16"/>
                <w:szCs w:val="16"/>
                <w:color w:val="auto"/>
                <w:w w:val="89"/>
              </w:rPr>
              <w:t>n/a</w:t>
            </w:r>
          </w:p>
        </w:tc>
      </w:tr>
      <w:tr>
        <w:trPr>
          <w:trHeight w:val="182"/>
        </w:trPr>
        <w:tc>
          <w:tcPr>
            <w:tcW w:w="1620" w:type="dxa"/>
            <w:vAlign w:val="bottom"/>
          </w:tcPr>
          <w:p>
            <w:pPr>
              <w:spacing w:after="0" w:line="182" w:lineRule="exact"/>
              <w:rPr>
                <w:sz w:val="20"/>
                <w:szCs w:val="20"/>
                <w:color w:val="auto"/>
              </w:rPr>
            </w:pPr>
            <w:r>
              <w:rPr>
                <w:rFonts w:ascii="Arial" w:cs="Arial" w:eastAsia="Arial" w:hAnsi="Arial"/>
                <w:sz w:val="17"/>
                <w:szCs w:val="17"/>
                <w:b w:val="1"/>
                <w:bCs w:val="1"/>
                <w:color w:val="auto"/>
              </w:rPr>
              <w:t>Shares</w:t>
            </w:r>
          </w:p>
        </w:tc>
        <w:tc>
          <w:tcPr>
            <w:tcW w:w="1960" w:type="dxa"/>
            <w:vAlign w:val="bottom"/>
          </w:tcPr>
          <w:p>
            <w:pPr>
              <w:spacing w:after="0"/>
              <w:rPr>
                <w:sz w:val="15"/>
                <w:szCs w:val="15"/>
                <w:color w:val="auto"/>
              </w:rPr>
            </w:pPr>
          </w:p>
        </w:tc>
        <w:tc>
          <w:tcPr>
            <w:tcW w:w="2020" w:type="dxa"/>
            <w:vAlign w:val="bottom"/>
          </w:tcPr>
          <w:p>
            <w:pPr>
              <w:ind w:left="160"/>
              <w:spacing w:after="0" w:line="182" w:lineRule="exact"/>
              <w:rPr>
                <w:sz w:val="20"/>
                <w:szCs w:val="20"/>
                <w:color w:val="auto"/>
              </w:rPr>
            </w:pPr>
            <w:r>
              <w:rPr>
                <w:rFonts w:ascii="Arial" w:cs="Arial" w:eastAsia="Arial" w:hAnsi="Arial"/>
                <w:sz w:val="16"/>
                <w:szCs w:val="16"/>
                <w:color w:val="auto"/>
              </w:rPr>
              <w:t>year period at a rate of</w:t>
            </w:r>
          </w:p>
        </w:tc>
        <w:tc>
          <w:tcPr>
            <w:tcW w:w="380" w:type="dxa"/>
            <w:vAlign w:val="bottom"/>
          </w:tcPr>
          <w:p>
            <w:pPr>
              <w:spacing w:after="0"/>
              <w:rPr>
                <w:sz w:val="15"/>
                <w:szCs w:val="15"/>
                <w:color w:val="auto"/>
              </w:rPr>
            </w:pPr>
          </w:p>
        </w:tc>
      </w:tr>
      <w:tr>
        <w:trPr>
          <w:trHeight w:val="182"/>
        </w:trPr>
        <w:tc>
          <w:tcPr>
            <w:tcW w:w="1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20" w:type="dxa"/>
            <w:vAlign w:val="bottom"/>
          </w:tcPr>
          <w:p>
            <w:pPr>
              <w:ind w:left="160"/>
              <w:spacing w:after="0" w:line="182" w:lineRule="exact"/>
              <w:rPr>
                <w:sz w:val="20"/>
                <w:szCs w:val="20"/>
                <w:color w:val="auto"/>
              </w:rPr>
            </w:pPr>
            <w:r>
              <w:rPr>
                <w:rFonts w:ascii="Arial" w:cs="Arial" w:eastAsia="Arial" w:hAnsi="Arial"/>
                <w:sz w:val="16"/>
                <w:szCs w:val="16"/>
                <w:color w:val="auto"/>
              </w:rPr>
              <w:t>25% per year, generally</w:t>
            </w:r>
          </w:p>
        </w:tc>
        <w:tc>
          <w:tcPr>
            <w:tcW w:w="380" w:type="dxa"/>
            <w:vAlign w:val="bottom"/>
          </w:tcPr>
          <w:p>
            <w:pPr>
              <w:spacing w:after="0"/>
              <w:rPr>
                <w:sz w:val="15"/>
                <w:szCs w:val="15"/>
                <w:color w:val="auto"/>
              </w:rPr>
            </w:pPr>
          </w:p>
        </w:tc>
      </w:tr>
      <w:tr>
        <w:trPr>
          <w:trHeight w:val="182"/>
        </w:trPr>
        <w:tc>
          <w:tcPr>
            <w:tcW w:w="1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20" w:type="dxa"/>
            <w:vAlign w:val="bottom"/>
          </w:tcPr>
          <w:p>
            <w:pPr>
              <w:ind w:left="160"/>
              <w:spacing w:after="0" w:line="182" w:lineRule="exact"/>
              <w:rPr>
                <w:sz w:val="20"/>
                <w:szCs w:val="20"/>
                <w:color w:val="auto"/>
              </w:rPr>
            </w:pPr>
            <w:r>
              <w:rPr>
                <w:rFonts w:ascii="Arial" w:cs="Arial" w:eastAsia="Arial" w:hAnsi="Arial"/>
                <w:sz w:val="16"/>
                <w:szCs w:val="16"/>
                <w:color w:val="auto"/>
              </w:rPr>
              <w:t>subject to continued</w:t>
            </w:r>
          </w:p>
        </w:tc>
        <w:tc>
          <w:tcPr>
            <w:tcW w:w="380" w:type="dxa"/>
            <w:vAlign w:val="bottom"/>
          </w:tcPr>
          <w:p>
            <w:pPr>
              <w:spacing w:after="0"/>
              <w:rPr>
                <w:sz w:val="15"/>
                <w:szCs w:val="15"/>
                <w:color w:val="auto"/>
              </w:rPr>
            </w:pPr>
          </w:p>
        </w:tc>
      </w:tr>
      <w:tr>
        <w:trPr>
          <w:trHeight w:val="205"/>
        </w:trPr>
        <w:tc>
          <w:tcPr>
            <w:tcW w:w="16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20" w:type="dxa"/>
            <w:vAlign w:val="bottom"/>
          </w:tcPr>
          <w:p>
            <w:pPr>
              <w:ind w:left="160"/>
              <w:spacing w:after="0"/>
              <w:rPr>
                <w:sz w:val="20"/>
                <w:szCs w:val="20"/>
                <w:color w:val="auto"/>
              </w:rPr>
            </w:pPr>
            <w:r>
              <w:rPr>
                <w:rFonts w:ascii="Arial" w:cs="Arial" w:eastAsia="Arial" w:hAnsi="Arial"/>
                <w:sz w:val="16"/>
                <w:szCs w:val="16"/>
                <w:color w:val="auto"/>
              </w:rPr>
              <w:t>employment.</w:t>
            </w:r>
          </w:p>
        </w:tc>
        <w:tc>
          <w:tcPr>
            <w:tcW w:w="3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108585</wp:posOffset>
            </wp:positionV>
            <wp:extent cx="63373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 of Time Restricted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Shares will vest over a</w:t>
      </w:r>
    </w:p>
    <w:p>
      <w:pPr>
        <w:spacing w:after="0"/>
        <w:rPr>
          <w:sz w:val="20"/>
          <w:szCs w:val="20"/>
          <w:color w:val="auto"/>
        </w:rPr>
      </w:pPr>
      <w:r>
        <w:rPr>
          <w:rFonts w:ascii="Arial" w:cs="Arial" w:eastAsia="Arial" w:hAnsi="Arial"/>
          <w:sz w:val="14"/>
          <w:szCs w:val="14"/>
          <w:color w:val="auto"/>
        </w:rPr>
        <w:t>four-year period at a rate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25% per year, generally</w:t>
      </w:r>
    </w:p>
    <w:p>
      <w:pPr>
        <w:spacing w:after="0" w:line="237" w:lineRule="auto"/>
        <w:rPr>
          <w:sz w:val="20"/>
          <w:szCs w:val="20"/>
          <w:color w:val="auto"/>
        </w:rPr>
      </w:pPr>
      <w:r>
        <w:rPr>
          <w:rFonts w:ascii="Arial" w:cs="Arial" w:eastAsia="Arial" w:hAnsi="Arial"/>
          <w:sz w:val="16"/>
          <w:szCs w:val="16"/>
          <w:color w:val="auto"/>
        </w:rPr>
        <w:t>subject to continued</w:t>
      </w:r>
    </w:p>
    <w:p>
      <w:pPr>
        <w:spacing w:after="0"/>
        <w:rPr>
          <w:sz w:val="20"/>
          <w:szCs w:val="20"/>
          <w:color w:val="auto"/>
        </w:rPr>
      </w:pPr>
      <w:r>
        <w:rPr>
          <w:rFonts w:ascii="Arial" w:cs="Arial" w:eastAsia="Arial" w:hAnsi="Arial"/>
          <w:sz w:val="16"/>
          <w:szCs w:val="16"/>
          <w:color w:val="auto"/>
        </w:rPr>
        <w:t>employment.</w:t>
      </w:r>
    </w:p>
    <w:p>
      <w:pPr>
        <w:spacing w:after="0" w:line="29" w:lineRule="exact"/>
        <w:rPr>
          <w:sz w:val="20"/>
          <w:szCs w:val="20"/>
          <w:color w:val="auto"/>
        </w:rPr>
      </w:pPr>
    </w:p>
    <w:p>
      <w:pPr>
        <w:sectPr>
          <w:pgSz w:w="11900" w:h="16838" w:orient="portrait"/>
          <w:cols w:equalWidth="0" w:num="2">
            <w:col w:w="7800" w:space="720"/>
            <w:col w:w="2100"/>
          </w:cols>
          <w:pgMar w:left="320" w:top="470" w:right="959" w:bottom="1440" w:gutter="0" w:footer="0" w:header="0"/>
          <w:type w:val="continuous"/>
        </w:sectPr>
      </w:pPr>
    </w:p>
    <w:tbl>
      <w:tblPr>
        <w:tblLayout w:type="fixed"/>
        <w:tblInd w:w="760" w:type="dxa"/>
        <w:tblCellMar>
          <w:top w:w="0" w:type="dxa"/>
          <w:left w:w="0" w:type="dxa"/>
          <w:bottom w:w="0" w:type="dxa"/>
          <w:right w:w="0" w:type="dxa"/>
        </w:tblCellMar>
      </w:tblPr>
      <w:tr>
        <w:trPr>
          <w:trHeight w:val="201"/>
        </w:trPr>
        <w:tc>
          <w:tcPr>
            <w:tcW w:w="1720" w:type="dxa"/>
            <w:vAlign w:val="bottom"/>
          </w:tcPr>
          <w:p>
            <w:pPr>
              <w:spacing w:after="0"/>
              <w:rPr>
                <w:sz w:val="20"/>
                <w:szCs w:val="20"/>
                <w:color w:val="auto"/>
              </w:rPr>
            </w:pPr>
            <w:r>
              <w:rPr>
                <w:rFonts w:ascii="Arial" w:cs="Arial" w:eastAsia="Arial" w:hAnsi="Arial"/>
                <w:sz w:val="17"/>
                <w:szCs w:val="17"/>
                <w:b w:val="1"/>
                <w:bCs w:val="1"/>
                <w:color w:val="auto"/>
              </w:rPr>
              <w:t>Performance</w:t>
            </w:r>
          </w:p>
        </w:tc>
        <w:tc>
          <w:tcPr>
            <w:tcW w:w="1860" w:type="dxa"/>
            <w:vAlign w:val="bottom"/>
          </w:tcPr>
          <w:p>
            <w:pPr>
              <w:ind w:left="240"/>
              <w:spacing w:after="0"/>
              <w:rPr>
                <w:sz w:val="20"/>
                <w:szCs w:val="20"/>
                <w:color w:val="auto"/>
              </w:rPr>
            </w:pPr>
            <w:r>
              <w:rPr>
                <w:rFonts w:ascii="Arial" w:cs="Arial" w:eastAsia="Arial" w:hAnsi="Arial"/>
                <w:sz w:val="16"/>
                <w:szCs w:val="16"/>
                <w:color w:val="auto"/>
              </w:rPr>
              <w:t>50% of Total Number</w:t>
            </w:r>
          </w:p>
        </w:tc>
        <w:tc>
          <w:tcPr>
            <w:tcW w:w="1980" w:type="dxa"/>
            <w:vAlign w:val="bottom"/>
          </w:tcPr>
          <w:p>
            <w:pPr>
              <w:ind w:left="160"/>
              <w:spacing w:after="0"/>
              <w:rPr>
                <w:sz w:val="20"/>
                <w:szCs w:val="20"/>
                <w:color w:val="auto"/>
              </w:rPr>
            </w:pPr>
            <w:r>
              <w:rPr>
                <w:rFonts w:ascii="Arial" w:cs="Arial" w:eastAsia="Arial" w:hAnsi="Arial"/>
                <w:sz w:val="16"/>
                <w:szCs w:val="16"/>
                <w:color w:val="auto"/>
              </w:rPr>
              <w:t>50% of Performance</w:t>
            </w:r>
          </w:p>
        </w:tc>
      </w:tr>
      <w:tr>
        <w:trPr>
          <w:trHeight w:val="209"/>
        </w:trPr>
        <w:tc>
          <w:tcPr>
            <w:tcW w:w="1720" w:type="dxa"/>
            <w:vAlign w:val="bottom"/>
          </w:tcPr>
          <w:p>
            <w:pPr>
              <w:spacing w:after="0"/>
              <w:rPr>
                <w:sz w:val="20"/>
                <w:szCs w:val="20"/>
                <w:color w:val="auto"/>
              </w:rPr>
            </w:pPr>
            <w:r>
              <w:rPr>
                <w:rFonts w:ascii="Arial" w:cs="Arial" w:eastAsia="Arial" w:hAnsi="Arial"/>
                <w:sz w:val="17"/>
                <w:szCs w:val="17"/>
                <w:b w:val="1"/>
                <w:bCs w:val="1"/>
                <w:color w:val="auto"/>
              </w:rPr>
              <w:t>Restricted Shares</w:t>
            </w:r>
          </w:p>
        </w:tc>
        <w:tc>
          <w:tcPr>
            <w:tcW w:w="1860" w:type="dxa"/>
            <w:vAlign w:val="bottom"/>
          </w:tcPr>
          <w:p>
            <w:pPr>
              <w:spacing w:after="0"/>
              <w:rPr>
                <w:sz w:val="18"/>
                <w:szCs w:val="18"/>
                <w:color w:val="auto"/>
              </w:rPr>
            </w:pPr>
          </w:p>
        </w:tc>
        <w:tc>
          <w:tcPr>
            <w:tcW w:w="1980" w:type="dxa"/>
            <w:vAlign w:val="bottom"/>
          </w:tcPr>
          <w:p>
            <w:pPr>
              <w:ind w:left="160"/>
              <w:spacing w:after="0"/>
              <w:rPr>
                <w:sz w:val="20"/>
                <w:szCs w:val="20"/>
                <w:color w:val="auto"/>
              </w:rPr>
            </w:pPr>
            <w:r>
              <w:rPr>
                <w:rFonts w:ascii="Arial" w:cs="Arial" w:eastAsia="Arial" w:hAnsi="Arial"/>
                <w:sz w:val="16"/>
                <w:szCs w:val="16"/>
                <w:color w:val="auto"/>
                <w:w w:val="95"/>
              </w:rPr>
              <w:t>Restricted Shares will vest</w:t>
            </w:r>
          </w:p>
        </w:tc>
      </w:tr>
      <w:tr>
        <w:trPr>
          <w:trHeight w:val="182"/>
        </w:trPr>
        <w:tc>
          <w:tcPr>
            <w:tcW w:w="17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80" w:type="dxa"/>
            <w:vAlign w:val="bottom"/>
          </w:tcPr>
          <w:p>
            <w:pPr>
              <w:ind w:left="160"/>
              <w:spacing w:after="0" w:line="182" w:lineRule="exact"/>
              <w:rPr>
                <w:sz w:val="20"/>
                <w:szCs w:val="20"/>
                <w:color w:val="auto"/>
              </w:rPr>
            </w:pPr>
            <w:r>
              <w:rPr>
                <w:rFonts w:ascii="Arial" w:cs="Arial" w:eastAsia="Arial" w:hAnsi="Arial"/>
                <w:sz w:val="16"/>
                <w:szCs w:val="16"/>
                <w:color w:val="auto"/>
              </w:rPr>
              <w:t>if Company achieves its</w:t>
            </w:r>
          </w:p>
        </w:tc>
      </w:tr>
      <w:tr>
        <w:trPr>
          <w:trHeight w:val="205"/>
        </w:trPr>
        <w:tc>
          <w:tcPr>
            <w:tcW w:w="17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80" w:type="dxa"/>
            <w:vAlign w:val="bottom"/>
          </w:tcPr>
          <w:p>
            <w:pPr>
              <w:ind w:left="160"/>
              <w:spacing w:after="0"/>
              <w:rPr>
                <w:sz w:val="20"/>
                <w:szCs w:val="20"/>
                <w:color w:val="auto"/>
              </w:rPr>
            </w:pPr>
            <w:r>
              <w:rPr>
                <w:rFonts w:ascii="Arial" w:cs="Arial" w:eastAsia="Arial" w:hAnsi="Arial"/>
                <w:sz w:val="16"/>
                <w:szCs w:val="16"/>
                <w:color w:val="auto"/>
              </w:rPr>
              <w:t>target ROE Goal</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ind w:left="140"/>
              <w:spacing w:after="0"/>
              <w:rPr>
                <w:sz w:val="20"/>
                <w:szCs w:val="20"/>
                <w:color w:val="auto"/>
              </w:rPr>
            </w:pPr>
            <w:r>
              <w:rPr>
                <w:rFonts w:ascii="Arial" w:cs="Arial" w:eastAsia="Arial" w:hAnsi="Arial"/>
                <w:sz w:val="16"/>
                <w:szCs w:val="16"/>
                <w:color w:val="auto"/>
              </w:rPr>
              <w:t>minimum</w:t>
            </w:r>
          </w:p>
        </w:tc>
        <w:tc>
          <w:tcPr>
            <w:tcW w:w="2780" w:type="dxa"/>
            <w:vAlign w:val="bottom"/>
          </w:tcPr>
          <w:p>
            <w:pPr>
              <w:ind w:left="680"/>
              <w:spacing w:after="0"/>
              <w:rPr>
                <w:sz w:val="20"/>
                <w:szCs w:val="20"/>
                <w:color w:val="auto"/>
              </w:rPr>
            </w:pPr>
            <w:r>
              <w:rPr>
                <w:rFonts w:ascii="Arial" w:cs="Arial" w:eastAsia="Arial" w:hAnsi="Arial"/>
                <w:sz w:val="16"/>
                <w:szCs w:val="16"/>
                <w:color w:val="auto"/>
              </w:rPr>
              <w:t>25% vesting of Performance</w:t>
            </w:r>
          </w:p>
        </w:tc>
      </w:tr>
      <w:tr>
        <w:trPr>
          <w:trHeight w:val="205"/>
        </w:trPr>
        <w:tc>
          <w:tcPr>
            <w:tcW w:w="1460" w:type="dxa"/>
            <w:vAlign w:val="bottom"/>
          </w:tcPr>
          <w:p>
            <w:pPr>
              <w:spacing w:after="0"/>
              <w:rPr>
                <w:sz w:val="17"/>
                <w:szCs w:val="17"/>
                <w:color w:val="auto"/>
              </w:rPr>
            </w:pPr>
          </w:p>
        </w:tc>
        <w:tc>
          <w:tcPr>
            <w:tcW w:w="2780" w:type="dxa"/>
            <w:vAlign w:val="bottom"/>
          </w:tcPr>
          <w:p>
            <w:pPr>
              <w:ind w:left="680"/>
              <w:spacing w:after="0"/>
              <w:rPr>
                <w:sz w:val="20"/>
                <w:szCs w:val="20"/>
                <w:color w:val="auto"/>
              </w:rPr>
            </w:pPr>
            <w:r>
              <w:rPr>
                <w:rFonts w:ascii="Arial" w:cs="Arial" w:eastAsia="Arial" w:hAnsi="Arial"/>
                <w:sz w:val="16"/>
                <w:szCs w:val="16"/>
                <w:color w:val="auto"/>
              </w:rPr>
              <w:t>Restricted Shares</w:t>
            </w:r>
          </w:p>
        </w:tc>
      </w:tr>
      <w:tr>
        <w:trPr>
          <w:trHeight w:val="119"/>
        </w:trPr>
        <w:tc>
          <w:tcPr>
            <w:tcW w:w="146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r>
      <w:tr>
        <w:trPr>
          <w:trHeight w:val="228"/>
        </w:trPr>
        <w:tc>
          <w:tcPr>
            <w:tcW w:w="1460" w:type="dxa"/>
            <w:vAlign w:val="bottom"/>
          </w:tcPr>
          <w:p>
            <w:pPr>
              <w:ind w:left="140"/>
              <w:spacing w:after="0"/>
              <w:rPr>
                <w:sz w:val="20"/>
                <w:szCs w:val="20"/>
                <w:color w:val="auto"/>
              </w:rPr>
            </w:pPr>
            <w:r>
              <w:rPr>
                <w:rFonts w:ascii="Arial" w:cs="Arial" w:eastAsia="Arial" w:hAnsi="Arial"/>
                <w:sz w:val="16"/>
                <w:szCs w:val="16"/>
                <w:color w:val="auto"/>
              </w:rPr>
              <w:t>target</w:t>
            </w:r>
          </w:p>
        </w:tc>
        <w:tc>
          <w:tcPr>
            <w:tcW w:w="2780" w:type="dxa"/>
            <w:vAlign w:val="bottom"/>
          </w:tcPr>
          <w:p>
            <w:pPr>
              <w:ind w:left="680"/>
              <w:spacing w:after="0"/>
              <w:rPr>
                <w:sz w:val="20"/>
                <w:szCs w:val="20"/>
                <w:color w:val="auto"/>
              </w:rPr>
            </w:pPr>
            <w:r>
              <w:rPr>
                <w:rFonts w:ascii="Arial" w:cs="Arial" w:eastAsia="Arial" w:hAnsi="Arial"/>
                <w:sz w:val="16"/>
                <w:szCs w:val="16"/>
                <w:color w:val="auto"/>
              </w:rPr>
              <w:t>50% vesting of Performance</w:t>
            </w:r>
          </w:p>
        </w:tc>
      </w:tr>
      <w:tr>
        <w:trPr>
          <w:trHeight w:val="205"/>
        </w:trPr>
        <w:tc>
          <w:tcPr>
            <w:tcW w:w="1460" w:type="dxa"/>
            <w:vAlign w:val="bottom"/>
          </w:tcPr>
          <w:p>
            <w:pPr>
              <w:spacing w:after="0"/>
              <w:rPr>
                <w:sz w:val="17"/>
                <w:szCs w:val="17"/>
                <w:color w:val="auto"/>
              </w:rPr>
            </w:pPr>
          </w:p>
        </w:tc>
        <w:tc>
          <w:tcPr>
            <w:tcW w:w="2780" w:type="dxa"/>
            <w:vAlign w:val="bottom"/>
          </w:tcPr>
          <w:p>
            <w:pPr>
              <w:ind w:left="680"/>
              <w:spacing w:after="0"/>
              <w:rPr>
                <w:sz w:val="20"/>
                <w:szCs w:val="20"/>
                <w:color w:val="auto"/>
              </w:rPr>
            </w:pPr>
            <w:r>
              <w:rPr>
                <w:rFonts w:ascii="Arial" w:cs="Arial" w:eastAsia="Arial" w:hAnsi="Arial"/>
                <w:sz w:val="16"/>
                <w:szCs w:val="16"/>
                <w:color w:val="auto"/>
              </w:rPr>
              <w:t>Restricted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26898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89860" cy="825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6320" w:space="60"/>
            <w:col w:w="4240"/>
          </w:cols>
          <w:pgMar w:left="320" w:top="470" w:right="959" w:bottom="1440" w:gutter="0" w:footer="0" w:header="0"/>
          <w:type w:val="continuous"/>
        </w:sectPr>
      </w:pPr>
    </w:p>
    <w:tbl>
      <w:tblPr>
        <w:tblLayout w:type="fixed"/>
        <w:tblInd w:w="6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80" w:type="dxa"/>
            <w:vAlign w:val="bottom"/>
          </w:tcPr>
          <w:p>
            <w:pPr>
              <w:ind w:left="140"/>
              <w:spacing w:after="0"/>
              <w:rPr>
                <w:sz w:val="20"/>
                <w:szCs w:val="20"/>
                <w:color w:val="auto"/>
              </w:rPr>
            </w:pPr>
            <w:r>
              <w:rPr>
                <w:rFonts w:ascii="Arial" w:cs="Arial" w:eastAsia="Arial" w:hAnsi="Arial"/>
                <w:sz w:val="16"/>
                <w:szCs w:val="16"/>
                <w:color w:val="auto"/>
              </w:rPr>
              <w:t>maximum</w:t>
            </w:r>
          </w:p>
        </w:tc>
        <w:tc>
          <w:tcPr>
            <w:tcW w:w="2760" w:type="dxa"/>
            <w:vAlign w:val="bottom"/>
          </w:tcPr>
          <w:p>
            <w:pPr>
              <w:ind w:left="660"/>
              <w:spacing w:after="0"/>
              <w:rPr>
                <w:sz w:val="20"/>
                <w:szCs w:val="20"/>
                <w:color w:val="auto"/>
              </w:rPr>
            </w:pPr>
            <w:r>
              <w:rPr>
                <w:rFonts w:ascii="Arial" w:cs="Arial" w:eastAsia="Arial" w:hAnsi="Arial"/>
                <w:sz w:val="16"/>
                <w:szCs w:val="16"/>
                <w:color w:val="auto"/>
              </w:rPr>
              <w:t>75% vesting of Performance</w:t>
            </w:r>
          </w:p>
        </w:tc>
      </w:tr>
      <w:tr>
        <w:trPr>
          <w:trHeight w:val="205"/>
        </w:trPr>
        <w:tc>
          <w:tcPr>
            <w:tcW w:w="37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760" w:type="dxa"/>
            <w:vAlign w:val="bottom"/>
          </w:tcPr>
          <w:p>
            <w:pPr>
              <w:ind w:left="660"/>
              <w:spacing w:after="0"/>
              <w:rPr>
                <w:sz w:val="20"/>
                <w:szCs w:val="20"/>
                <w:color w:val="auto"/>
              </w:rPr>
            </w:pPr>
            <w:r>
              <w:rPr>
                <w:rFonts w:ascii="Arial" w:cs="Arial" w:eastAsia="Arial" w:hAnsi="Arial"/>
                <w:sz w:val="16"/>
                <w:szCs w:val="16"/>
                <w:color w:val="auto"/>
              </w:rPr>
              <w:t>Restricted Shares</w:t>
            </w:r>
          </w:p>
        </w:tc>
      </w:tr>
      <w:tr>
        <w:trPr>
          <w:trHeight w:val="119"/>
        </w:trPr>
        <w:tc>
          <w:tcPr>
            <w:tcW w:w="3760" w:type="dxa"/>
            <w:vAlign w:val="bottom"/>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r>
      <w:tr>
        <w:trPr>
          <w:trHeight w:val="202"/>
        </w:trPr>
        <w:tc>
          <w:tcPr>
            <w:tcW w:w="3760" w:type="dxa"/>
            <w:vAlign w:val="bottom"/>
          </w:tcPr>
          <w:p>
            <w:pPr>
              <w:spacing w:after="0"/>
              <w:rPr>
                <w:sz w:val="17"/>
                <w:szCs w:val="17"/>
                <w:color w:val="auto"/>
              </w:rPr>
            </w:pPr>
          </w:p>
        </w:tc>
        <w:tc>
          <w:tcPr>
            <w:tcW w:w="1980" w:type="dxa"/>
            <w:vAlign w:val="bottom"/>
          </w:tcPr>
          <w:p>
            <w:pPr>
              <w:ind w:left="100"/>
              <w:spacing w:after="0"/>
              <w:rPr>
                <w:sz w:val="20"/>
                <w:szCs w:val="20"/>
                <w:color w:val="auto"/>
              </w:rPr>
            </w:pPr>
            <w:r>
              <w:rPr>
                <w:rFonts w:ascii="Arial" w:cs="Arial" w:eastAsia="Arial" w:hAnsi="Arial"/>
                <w:sz w:val="16"/>
                <w:szCs w:val="16"/>
                <w:color w:val="auto"/>
              </w:rPr>
              <w:t>50% of Performance</w:t>
            </w:r>
          </w:p>
        </w:tc>
        <w:tc>
          <w:tcPr>
            <w:tcW w:w="1480" w:type="dxa"/>
            <w:vAlign w:val="bottom"/>
          </w:tcPr>
          <w:p>
            <w:pPr>
              <w:ind w:left="140"/>
              <w:spacing w:after="0"/>
              <w:rPr>
                <w:sz w:val="20"/>
                <w:szCs w:val="20"/>
                <w:color w:val="auto"/>
              </w:rPr>
            </w:pPr>
            <w:r>
              <w:rPr>
                <w:rFonts w:ascii="Arial" w:cs="Arial" w:eastAsia="Arial" w:hAnsi="Arial"/>
                <w:sz w:val="16"/>
                <w:szCs w:val="16"/>
                <w:color w:val="auto"/>
              </w:rPr>
              <w:t>minimum</w:t>
            </w:r>
          </w:p>
        </w:tc>
        <w:tc>
          <w:tcPr>
            <w:tcW w:w="2760" w:type="dxa"/>
            <w:vAlign w:val="bottom"/>
          </w:tcPr>
          <w:p>
            <w:pPr>
              <w:ind w:left="660"/>
              <w:spacing w:after="0"/>
              <w:rPr>
                <w:sz w:val="20"/>
                <w:szCs w:val="20"/>
                <w:color w:val="auto"/>
              </w:rPr>
            </w:pPr>
            <w:r>
              <w:rPr>
                <w:rFonts w:ascii="Arial" w:cs="Arial" w:eastAsia="Arial" w:hAnsi="Arial"/>
                <w:sz w:val="16"/>
                <w:szCs w:val="16"/>
                <w:color w:val="auto"/>
              </w:rPr>
              <w:t>25% vesting of Performance</w:t>
            </w:r>
          </w:p>
        </w:tc>
      </w:tr>
      <w:tr>
        <w:trPr>
          <w:trHeight w:val="182"/>
        </w:trPr>
        <w:tc>
          <w:tcPr>
            <w:tcW w:w="3760" w:type="dxa"/>
            <w:vAlign w:val="bottom"/>
          </w:tcPr>
          <w:p>
            <w:pPr>
              <w:spacing w:after="0"/>
              <w:rPr>
                <w:sz w:val="15"/>
                <w:szCs w:val="15"/>
                <w:color w:val="auto"/>
              </w:rPr>
            </w:pPr>
          </w:p>
        </w:tc>
        <w:tc>
          <w:tcPr>
            <w:tcW w:w="1980" w:type="dxa"/>
            <w:vAlign w:val="bottom"/>
          </w:tcPr>
          <w:p>
            <w:pPr>
              <w:ind w:left="100"/>
              <w:spacing w:after="0" w:line="182" w:lineRule="exact"/>
              <w:rPr>
                <w:sz w:val="20"/>
                <w:szCs w:val="20"/>
                <w:color w:val="auto"/>
              </w:rPr>
            </w:pPr>
            <w:r>
              <w:rPr>
                <w:rFonts w:ascii="Arial" w:cs="Arial" w:eastAsia="Arial" w:hAnsi="Arial"/>
                <w:sz w:val="16"/>
                <w:szCs w:val="16"/>
                <w:color w:val="auto"/>
                <w:w w:val="99"/>
              </w:rPr>
              <w:t>Restricted Shares will vest</w:t>
            </w:r>
          </w:p>
        </w:tc>
        <w:tc>
          <w:tcPr>
            <w:tcW w:w="1480" w:type="dxa"/>
            <w:vAlign w:val="bottom"/>
          </w:tcPr>
          <w:p>
            <w:pPr>
              <w:spacing w:after="0"/>
              <w:rPr>
                <w:sz w:val="15"/>
                <w:szCs w:val="15"/>
                <w:color w:val="auto"/>
              </w:rPr>
            </w:pPr>
          </w:p>
        </w:tc>
        <w:tc>
          <w:tcPr>
            <w:tcW w:w="2760" w:type="dxa"/>
            <w:vAlign w:val="bottom"/>
          </w:tcPr>
          <w:p>
            <w:pPr>
              <w:ind w:left="660"/>
              <w:spacing w:after="0" w:line="182" w:lineRule="exact"/>
              <w:rPr>
                <w:sz w:val="20"/>
                <w:szCs w:val="20"/>
                <w:color w:val="auto"/>
              </w:rPr>
            </w:pPr>
            <w:r>
              <w:rPr>
                <w:rFonts w:ascii="Arial" w:cs="Arial" w:eastAsia="Arial" w:hAnsi="Arial"/>
                <w:sz w:val="16"/>
                <w:szCs w:val="16"/>
                <w:color w:val="auto"/>
              </w:rPr>
              <w:t>Restricted Shares</w:t>
            </w:r>
          </w:p>
        </w:tc>
      </w:tr>
      <w:tr>
        <w:trPr>
          <w:trHeight w:val="168"/>
        </w:trPr>
        <w:tc>
          <w:tcPr>
            <w:tcW w:w="3760" w:type="dxa"/>
            <w:vAlign w:val="bottom"/>
          </w:tcPr>
          <w:p>
            <w:pPr>
              <w:spacing w:after="0"/>
              <w:rPr>
                <w:sz w:val="14"/>
                <w:szCs w:val="14"/>
                <w:color w:val="auto"/>
              </w:rPr>
            </w:pPr>
          </w:p>
        </w:tc>
        <w:tc>
          <w:tcPr>
            <w:tcW w:w="1980" w:type="dxa"/>
            <w:vAlign w:val="bottom"/>
          </w:tcPr>
          <w:p>
            <w:pPr>
              <w:ind w:left="100"/>
              <w:spacing w:after="0" w:line="168" w:lineRule="exact"/>
              <w:rPr>
                <w:sz w:val="20"/>
                <w:szCs w:val="20"/>
                <w:color w:val="auto"/>
              </w:rPr>
            </w:pPr>
            <w:r>
              <w:rPr>
                <w:rFonts w:ascii="Arial" w:cs="Arial" w:eastAsia="Arial" w:hAnsi="Arial"/>
                <w:sz w:val="16"/>
                <w:szCs w:val="16"/>
                <w:color w:val="auto"/>
              </w:rPr>
              <w:t>if Company achieves its</w:t>
            </w:r>
          </w:p>
        </w:tc>
        <w:tc>
          <w:tcPr>
            <w:tcW w:w="14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spacing w:after="0"/>
              <w:rPr>
                <w:sz w:val="14"/>
                <w:szCs w:val="14"/>
                <w:color w:val="auto"/>
              </w:rPr>
            </w:pPr>
          </w:p>
        </w:tc>
      </w:tr>
      <w:tr>
        <w:trPr>
          <w:trHeight w:val="228"/>
        </w:trPr>
        <w:tc>
          <w:tcPr>
            <w:tcW w:w="3760" w:type="dxa"/>
            <w:vAlign w:val="bottom"/>
          </w:tcPr>
          <w:p>
            <w:pPr>
              <w:spacing w:after="0"/>
              <w:rPr>
                <w:sz w:val="19"/>
                <w:szCs w:val="19"/>
                <w:color w:val="auto"/>
              </w:rPr>
            </w:pPr>
          </w:p>
        </w:tc>
        <w:tc>
          <w:tcPr>
            <w:tcW w:w="1980" w:type="dxa"/>
            <w:vAlign w:val="bottom"/>
          </w:tcPr>
          <w:p>
            <w:pPr>
              <w:ind w:left="100"/>
              <w:spacing w:after="0"/>
              <w:rPr>
                <w:sz w:val="20"/>
                <w:szCs w:val="20"/>
                <w:color w:val="auto"/>
              </w:rPr>
            </w:pPr>
            <w:r>
              <w:rPr>
                <w:rFonts w:ascii="Arial" w:cs="Arial" w:eastAsia="Arial" w:hAnsi="Arial"/>
                <w:sz w:val="16"/>
                <w:szCs w:val="16"/>
                <w:color w:val="auto"/>
              </w:rPr>
              <w:t>target Book Value Goal</w:t>
            </w:r>
          </w:p>
        </w:tc>
        <w:tc>
          <w:tcPr>
            <w:tcW w:w="1480" w:type="dxa"/>
            <w:vAlign w:val="bottom"/>
          </w:tcPr>
          <w:p>
            <w:pPr>
              <w:ind w:left="140"/>
              <w:spacing w:after="0"/>
              <w:rPr>
                <w:sz w:val="20"/>
                <w:szCs w:val="20"/>
                <w:color w:val="auto"/>
              </w:rPr>
            </w:pPr>
            <w:r>
              <w:rPr>
                <w:rFonts w:ascii="Arial" w:cs="Arial" w:eastAsia="Arial" w:hAnsi="Arial"/>
                <w:sz w:val="16"/>
                <w:szCs w:val="16"/>
                <w:color w:val="auto"/>
              </w:rPr>
              <w:t>target</w:t>
            </w:r>
          </w:p>
        </w:tc>
        <w:tc>
          <w:tcPr>
            <w:tcW w:w="2760" w:type="dxa"/>
            <w:vAlign w:val="bottom"/>
          </w:tcPr>
          <w:p>
            <w:pPr>
              <w:ind w:left="660"/>
              <w:spacing w:after="0"/>
              <w:rPr>
                <w:sz w:val="20"/>
                <w:szCs w:val="20"/>
                <w:color w:val="auto"/>
              </w:rPr>
            </w:pPr>
            <w:r>
              <w:rPr>
                <w:rFonts w:ascii="Arial" w:cs="Arial" w:eastAsia="Arial" w:hAnsi="Arial"/>
                <w:sz w:val="16"/>
                <w:szCs w:val="16"/>
                <w:color w:val="auto"/>
              </w:rPr>
              <w:t>50% vesting of Performance</w:t>
            </w:r>
          </w:p>
        </w:tc>
      </w:tr>
      <w:tr>
        <w:trPr>
          <w:trHeight w:val="205"/>
        </w:trPr>
        <w:tc>
          <w:tcPr>
            <w:tcW w:w="37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760" w:type="dxa"/>
            <w:vAlign w:val="bottom"/>
          </w:tcPr>
          <w:p>
            <w:pPr>
              <w:ind w:left="660"/>
              <w:spacing w:after="0"/>
              <w:rPr>
                <w:sz w:val="20"/>
                <w:szCs w:val="20"/>
                <w:color w:val="auto"/>
              </w:rPr>
            </w:pPr>
            <w:r>
              <w:rPr>
                <w:rFonts w:ascii="Arial" w:cs="Arial" w:eastAsia="Arial" w:hAnsi="Arial"/>
                <w:sz w:val="16"/>
                <w:szCs w:val="16"/>
                <w:color w:val="auto"/>
              </w:rPr>
              <w:t>Restricted Shares</w:t>
            </w:r>
          </w:p>
        </w:tc>
      </w:tr>
      <w:tr>
        <w:trPr>
          <w:trHeight w:val="119"/>
        </w:trPr>
        <w:tc>
          <w:tcPr>
            <w:tcW w:w="37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r>
      <w:tr>
        <w:trPr>
          <w:trHeight w:val="228"/>
        </w:trPr>
        <w:tc>
          <w:tcPr>
            <w:tcW w:w="37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80" w:type="dxa"/>
            <w:vAlign w:val="bottom"/>
          </w:tcPr>
          <w:p>
            <w:pPr>
              <w:ind w:left="140"/>
              <w:spacing w:after="0"/>
              <w:rPr>
                <w:sz w:val="20"/>
                <w:szCs w:val="20"/>
                <w:color w:val="auto"/>
              </w:rPr>
            </w:pPr>
            <w:r>
              <w:rPr>
                <w:rFonts w:ascii="Arial" w:cs="Arial" w:eastAsia="Arial" w:hAnsi="Arial"/>
                <w:sz w:val="16"/>
                <w:szCs w:val="16"/>
                <w:color w:val="auto"/>
              </w:rPr>
              <w:t>maximum</w:t>
            </w:r>
          </w:p>
        </w:tc>
        <w:tc>
          <w:tcPr>
            <w:tcW w:w="2760" w:type="dxa"/>
            <w:vAlign w:val="bottom"/>
          </w:tcPr>
          <w:p>
            <w:pPr>
              <w:ind w:left="660"/>
              <w:spacing w:after="0"/>
              <w:rPr>
                <w:sz w:val="20"/>
                <w:szCs w:val="20"/>
                <w:color w:val="auto"/>
              </w:rPr>
            </w:pPr>
            <w:r>
              <w:rPr>
                <w:rFonts w:ascii="Arial" w:cs="Arial" w:eastAsia="Arial" w:hAnsi="Arial"/>
                <w:sz w:val="16"/>
                <w:szCs w:val="16"/>
                <w:color w:val="auto"/>
              </w:rPr>
              <w:t>75% vesting of Performance</w:t>
            </w:r>
          </w:p>
        </w:tc>
      </w:tr>
      <w:tr>
        <w:trPr>
          <w:trHeight w:val="205"/>
        </w:trPr>
        <w:tc>
          <w:tcPr>
            <w:tcW w:w="37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760" w:type="dxa"/>
            <w:vAlign w:val="bottom"/>
          </w:tcPr>
          <w:p>
            <w:pPr>
              <w:ind w:left="660"/>
              <w:spacing w:after="0"/>
              <w:rPr>
                <w:sz w:val="20"/>
                <w:szCs w:val="20"/>
                <w:color w:val="auto"/>
              </w:rPr>
            </w:pPr>
            <w:r>
              <w:rPr>
                <w:rFonts w:ascii="Arial" w:cs="Arial" w:eastAsia="Arial" w:hAnsi="Arial"/>
                <w:sz w:val="16"/>
                <w:szCs w:val="16"/>
                <w:color w:val="auto"/>
              </w:rPr>
              <w:t>Restricted Shares</w:t>
            </w:r>
          </w:p>
        </w:tc>
      </w:tr>
      <w:tr>
        <w:trPr>
          <w:trHeight w:val="119"/>
        </w:trPr>
        <w:tc>
          <w:tcPr>
            <w:tcW w:w="376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r>
      <w:tr>
        <w:trPr>
          <w:trHeight w:val="149"/>
        </w:trPr>
        <w:tc>
          <w:tcPr>
            <w:tcW w:w="37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r>
    </w:tbl>
    <w:p>
      <w:pPr>
        <w:spacing w:after="0" w:line="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NOTES:</w:t>
      </w:r>
    </w:p>
    <w:p>
      <w:pPr>
        <w:spacing w:after="0" w:line="116" w:lineRule="exact"/>
        <w:rPr>
          <w:sz w:val="20"/>
          <w:szCs w:val="20"/>
          <w:color w:val="auto"/>
        </w:rPr>
      </w:pPr>
    </w:p>
    <w:p>
      <w:pPr>
        <w:ind w:left="1620" w:right="40" w:hanging="492"/>
        <w:spacing w:after="0" w:line="249"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the level of attainment of the ROE Goal or the Book Value Goal exceeds the minimum but is less than the target, then the number of shares that will vest or be forfeited will be determined on a straight-line basis between the minimum and the target. If the level of achievement of the ROE Goal or the Book Value Goal exceeds the target but is less than the maximum, then the number of shares that will vest or be forfeited will be determined on a straight-line basis between the target and the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142240</wp:posOffset>
            </wp:positionV>
            <wp:extent cx="6337300" cy="825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620"/>
          </w:cols>
          <w:pgMar w:left="320" w:top="470" w:right="9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15" w:lineRule="exact"/>
        <w:rPr>
          <w:sz w:val="20"/>
          <w:szCs w:val="20"/>
          <w:color w:val="auto"/>
        </w:rPr>
      </w:pPr>
    </w:p>
    <w:p>
      <w:pPr>
        <w:ind w:left="1620" w:right="40" w:hanging="492"/>
        <w:spacing w:after="0" w:line="254" w:lineRule="auto"/>
        <w:tabs>
          <w:tab w:leader="none" w:pos="1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the number of Performance Restricted Shares that would vest exceeds 100%, then additional shares (“Additional Shares”) will be issued to each Participant in an amount equal to the vesting percentage in excess of 100% multiplied by the number of each Participant’s Performance Restricted Shares issued at the beginning of the performance period.</w:t>
      </w:r>
    </w:p>
    <w:p>
      <w:pPr>
        <w:spacing w:after="0" w:line="35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Prior to the end of the performance period, the Performance Restricted Shares are subject to forfeiture</w:t>
      </w:r>
    </w:p>
    <w:p>
      <w:pPr>
        <w:spacing w:after="0" w:line="12" w:lineRule="exact"/>
        <w:rPr>
          <w:sz w:val="20"/>
          <w:szCs w:val="20"/>
          <w:color w:val="auto"/>
        </w:rPr>
      </w:pPr>
    </w:p>
    <w:p>
      <w:pPr>
        <w:ind w:left="640" w:right="60"/>
        <w:spacing w:after="0" w:line="239" w:lineRule="auto"/>
        <w:rPr>
          <w:sz w:val="20"/>
          <w:szCs w:val="20"/>
          <w:color w:val="auto"/>
        </w:rPr>
      </w:pPr>
      <w:r>
        <w:rPr>
          <w:rFonts w:ascii="Arial" w:cs="Arial" w:eastAsia="Arial" w:hAnsi="Arial"/>
          <w:sz w:val="21"/>
          <w:szCs w:val="21"/>
          <w:color w:val="auto"/>
        </w:rPr>
        <w:t>if the Participant’s employment terminates other than due to death, disability or retirement. In the event of death, disability or retirement, vesting will be pro-rated based on the number of months of service completed during the performance period.</w:t>
      </w:r>
    </w:p>
    <w:p>
      <w:pPr>
        <w:sectPr>
          <w:pgSz w:w="11900" w:h="16838" w:orient="portrait"/>
          <w:cols w:equalWidth="0" w:num="1">
            <w:col w:w="10640"/>
          </w:cols>
          <w:pgMar w:left="320" w:top="470" w:right="939" w:bottom="1440" w:gutter="0" w:footer="0" w:header="0"/>
        </w:sectPr>
      </w:pPr>
    </w:p>
    <w:p>
      <w:pPr>
        <w:spacing w:after="0" w:line="194" w:lineRule="exact"/>
        <w:rPr>
          <w:sz w:val="20"/>
          <w:szCs w:val="20"/>
          <w:color w:val="auto"/>
        </w:rPr>
      </w:pPr>
    </w:p>
    <w:p>
      <w:pPr>
        <w:ind w:left="640" w:right="200"/>
        <w:spacing w:after="0" w:line="243" w:lineRule="auto"/>
        <w:rPr>
          <w:sz w:val="20"/>
          <w:szCs w:val="20"/>
          <w:color w:val="auto"/>
        </w:rPr>
      </w:pPr>
      <w:r>
        <w:rPr>
          <w:rFonts w:ascii="Arial" w:cs="Arial" w:eastAsia="Arial" w:hAnsi="Arial"/>
          <w:sz w:val="21"/>
          <w:szCs w:val="21"/>
          <w:color w:val="auto"/>
        </w:rPr>
        <w:t>On January 28, 2025, the Compensation Committee approved the 2025 stock awards for Named Executive Officers as shown in the table to the right.</w:t>
      </w:r>
    </w:p>
    <w:p>
      <w:pPr>
        <w:spacing w:after="0" w:line="323" w:lineRule="exact"/>
        <w:rPr>
          <w:sz w:val="20"/>
          <w:szCs w:val="20"/>
          <w:color w:val="auto"/>
        </w:rPr>
      </w:pPr>
    </w:p>
    <w:p>
      <w:pPr>
        <w:ind w:left="640"/>
        <w:spacing w:after="0"/>
        <w:rPr>
          <w:sz w:val="20"/>
          <w:szCs w:val="20"/>
          <w:color w:val="auto"/>
        </w:rPr>
      </w:pPr>
      <w:r>
        <w:rPr>
          <w:rFonts w:ascii="Arial" w:cs="Arial" w:eastAsia="Arial" w:hAnsi="Arial"/>
          <w:sz w:val="21"/>
          <w:szCs w:val="21"/>
          <w:b w:val="1"/>
          <w:bCs w:val="1"/>
          <w:i w:val="1"/>
          <w:iCs w:val="1"/>
          <w:color w:val="auto"/>
        </w:rPr>
        <w:t>Dividends on Restricted Shares</w:t>
      </w:r>
    </w:p>
    <w:p>
      <w:pPr>
        <w:spacing w:after="0" w:line="107" w:lineRule="exact"/>
        <w:rPr>
          <w:sz w:val="20"/>
          <w:szCs w:val="20"/>
          <w:color w:val="auto"/>
        </w:rPr>
      </w:pPr>
    </w:p>
    <w:p>
      <w:pPr>
        <w:ind w:left="640"/>
        <w:spacing w:after="0" w:line="255" w:lineRule="auto"/>
        <w:rPr>
          <w:sz w:val="20"/>
          <w:szCs w:val="20"/>
          <w:color w:val="auto"/>
        </w:rPr>
      </w:pPr>
      <w:r>
        <w:rPr>
          <w:rFonts w:ascii="Arial" w:cs="Arial" w:eastAsia="Arial" w:hAnsi="Arial"/>
          <w:sz w:val="20"/>
          <w:szCs w:val="20"/>
          <w:color w:val="auto"/>
        </w:rPr>
        <w:t>For equity awards granted through 2025, dividends on both Time Restricted Shares and Performance Restricted Shares were paid to</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FFFFFF"/>
        </w:rPr>
        <w:t>2025 LONG-TERM INCENTIVE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-161290</wp:posOffset>
            </wp:positionV>
            <wp:extent cx="3581400" cy="2476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581400" cy="24765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40" w:type="dxa"/>
            <w:vAlign w:val="bottom"/>
          </w:tcPr>
          <w:p>
            <w:pPr>
              <w:spacing w:after="0"/>
              <w:rPr>
                <w:sz w:val="16"/>
                <w:szCs w:val="16"/>
                <w:color w:val="auto"/>
              </w:rPr>
            </w:pPr>
          </w:p>
        </w:tc>
        <w:tc>
          <w:tcPr>
            <w:tcW w:w="1460" w:type="dxa"/>
            <w:vAlign w:val="bottom"/>
          </w:tcPr>
          <w:p>
            <w:pPr>
              <w:jc w:val="right"/>
              <w:ind w:right="33"/>
              <w:spacing w:after="0"/>
              <w:rPr>
                <w:sz w:val="20"/>
                <w:szCs w:val="20"/>
                <w:color w:val="auto"/>
              </w:rPr>
            </w:pPr>
            <w:r>
              <w:rPr>
                <w:rFonts w:ascii="Arial" w:cs="Arial" w:eastAsia="Arial" w:hAnsi="Arial"/>
                <w:sz w:val="17"/>
                <w:szCs w:val="17"/>
                <w:b w:val="1"/>
                <w:bCs w:val="1"/>
                <w:color w:val="auto"/>
              </w:rPr>
              <w:t>Performance</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Time</w:t>
            </w:r>
          </w:p>
        </w:tc>
        <w:tc>
          <w:tcPr>
            <w:tcW w:w="1000" w:type="dxa"/>
            <w:vAlign w:val="bottom"/>
          </w:tcPr>
          <w:p>
            <w:pPr>
              <w:spacing w:after="0"/>
              <w:rPr>
                <w:sz w:val="16"/>
                <w:szCs w:val="16"/>
                <w:color w:val="auto"/>
              </w:rPr>
            </w:pPr>
          </w:p>
        </w:tc>
      </w:tr>
      <w:tr>
        <w:trPr>
          <w:trHeight w:val="195"/>
        </w:trPr>
        <w:tc>
          <w:tcPr>
            <w:tcW w:w="2140" w:type="dxa"/>
            <w:vAlign w:val="bottom"/>
          </w:tcPr>
          <w:p>
            <w:pPr>
              <w:spacing w:after="0"/>
              <w:rPr>
                <w:sz w:val="16"/>
                <w:szCs w:val="16"/>
                <w:color w:val="auto"/>
              </w:rPr>
            </w:pPr>
          </w:p>
        </w:tc>
        <w:tc>
          <w:tcPr>
            <w:tcW w:w="1460" w:type="dxa"/>
            <w:vAlign w:val="bottom"/>
          </w:tcPr>
          <w:p>
            <w:pPr>
              <w:jc w:val="right"/>
              <w:ind w:right="13"/>
              <w:spacing w:after="0"/>
              <w:rPr>
                <w:sz w:val="20"/>
                <w:szCs w:val="20"/>
                <w:color w:val="auto"/>
              </w:rPr>
            </w:pPr>
            <w:r>
              <w:rPr>
                <w:rFonts w:ascii="Arial" w:cs="Arial" w:eastAsia="Arial" w:hAnsi="Arial"/>
                <w:sz w:val="17"/>
                <w:szCs w:val="17"/>
                <w:b w:val="1"/>
                <w:bCs w:val="1"/>
                <w:color w:val="auto"/>
              </w:rPr>
              <w:t>Restricted</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Restricted</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Total Stock</w:t>
            </w:r>
          </w:p>
        </w:tc>
      </w:tr>
      <w:tr>
        <w:trPr>
          <w:trHeight w:val="239"/>
        </w:trPr>
        <w:tc>
          <w:tcPr>
            <w:tcW w:w="214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1460" w:type="dxa"/>
            <w:vAlign w:val="bottom"/>
          </w:tcPr>
          <w:p>
            <w:pPr>
              <w:jc w:val="right"/>
              <w:ind w:right="33"/>
              <w:spacing w:after="0"/>
              <w:rPr>
                <w:sz w:val="20"/>
                <w:szCs w:val="20"/>
                <w:color w:val="auto"/>
              </w:rPr>
            </w:pPr>
            <w:r>
              <w:rPr>
                <w:rFonts w:ascii="Arial" w:cs="Arial" w:eastAsia="Arial" w:hAnsi="Arial"/>
                <w:sz w:val="17"/>
                <w:szCs w:val="17"/>
                <w:b w:val="1"/>
                <w:bCs w:val="1"/>
                <w:color w:val="auto"/>
              </w:rPr>
              <w:t>Shares</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Shares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Award</w:t>
            </w:r>
          </w:p>
        </w:tc>
      </w:tr>
      <w:tr>
        <w:trPr>
          <w:trHeight w:val="40"/>
        </w:trPr>
        <w:tc>
          <w:tcPr>
            <w:tcW w:w="2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7"/>
        </w:trPr>
        <w:tc>
          <w:tcPr>
            <w:tcW w:w="2140" w:type="dxa"/>
            <w:vAlign w:val="bottom"/>
          </w:tcPr>
          <w:p>
            <w:pPr>
              <w:spacing w:after="0"/>
              <w:rPr>
                <w:sz w:val="20"/>
                <w:szCs w:val="20"/>
                <w:color w:val="auto"/>
              </w:rPr>
            </w:pPr>
            <w:r>
              <w:rPr>
                <w:rFonts w:ascii="Arial" w:cs="Arial" w:eastAsia="Arial" w:hAnsi="Arial"/>
                <w:sz w:val="17"/>
                <w:szCs w:val="17"/>
                <w:color w:val="auto"/>
              </w:rPr>
              <w:t>Thomas P. Meissner, Jr.</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7,140</w:t>
            </w:r>
          </w:p>
        </w:tc>
        <w:tc>
          <w:tcPr>
            <w:tcW w:w="1040" w:type="dxa"/>
            <w:vAlign w:val="bottom"/>
          </w:tcPr>
          <w:p>
            <w:pPr>
              <w:jc w:val="right"/>
              <w:spacing w:after="0"/>
              <w:rPr>
                <w:sz w:val="20"/>
                <w:szCs w:val="20"/>
                <w:color w:val="auto"/>
              </w:rPr>
            </w:pPr>
            <w:r>
              <w:rPr>
                <w:rFonts w:ascii="Arial" w:cs="Arial" w:eastAsia="Arial" w:hAnsi="Arial"/>
                <w:sz w:val="17"/>
                <w:szCs w:val="17"/>
                <w:color w:val="auto"/>
              </w:rPr>
              <w:t>7,140</w:t>
            </w:r>
          </w:p>
        </w:tc>
        <w:tc>
          <w:tcPr>
            <w:tcW w:w="1000" w:type="dxa"/>
            <w:vAlign w:val="bottom"/>
          </w:tcPr>
          <w:p>
            <w:pPr>
              <w:jc w:val="right"/>
              <w:spacing w:after="0"/>
              <w:rPr>
                <w:sz w:val="20"/>
                <w:szCs w:val="20"/>
                <w:color w:val="auto"/>
              </w:rPr>
            </w:pPr>
            <w:r>
              <w:rPr>
                <w:rFonts w:ascii="Arial" w:cs="Arial" w:eastAsia="Arial" w:hAnsi="Arial"/>
                <w:sz w:val="17"/>
                <w:szCs w:val="17"/>
                <w:color w:val="auto"/>
              </w:rPr>
              <w:t>14,280</w:t>
            </w:r>
          </w:p>
        </w:tc>
      </w:tr>
      <w:tr>
        <w:trPr>
          <w:trHeight w:val="208"/>
        </w:trPr>
        <w:tc>
          <w:tcPr>
            <w:tcW w:w="2140" w:type="dxa"/>
            <w:vAlign w:val="bottom"/>
          </w:tcPr>
          <w:p>
            <w:pPr>
              <w:spacing w:after="0"/>
              <w:rPr>
                <w:sz w:val="20"/>
                <w:szCs w:val="20"/>
                <w:color w:val="auto"/>
              </w:rPr>
            </w:pPr>
            <w:r>
              <w:rPr>
                <w:rFonts w:ascii="Arial" w:cs="Arial" w:eastAsia="Arial" w:hAnsi="Arial"/>
                <w:sz w:val="17"/>
                <w:szCs w:val="17"/>
                <w:color w:val="auto"/>
              </w:rPr>
              <w:t>Robert B. Hevert</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3,310</w:t>
            </w:r>
          </w:p>
        </w:tc>
        <w:tc>
          <w:tcPr>
            <w:tcW w:w="1040" w:type="dxa"/>
            <w:vAlign w:val="bottom"/>
          </w:tcPr>
          <w:p>
            <w:pPr>
              <w:jc w:val="right"/>
              <w:spacing w:after="0"/>
              <w:rPr>
                <w:sz w:val="20"/>
                <w:szCs w:val="20"/>
                <w:color w:val="auto"/>
              </w:rPr>
            </w:pPr>
            <w:r>
              <w:rPr>
                <w:rFonts w:ascii="Arial" w:cs="Arial" w:eastAsia="Arial" w:hAnsi="Arial"/>
                <w:sz w:val="17"/>
                <w:szCs w:val="17"/>
                <w:color w:val="auto"/>
              </w:rPr>
              <w:t>3,310</w:t>
            </w:r>
          </w:p>
        </w:tc>
        <w:tc>
          <w:tcPr>
            <w:tcW w:w="1000" w:type="dxa"/>
            <w:vAlign w:val="bottom"/>
          </w:tcPr>
          <w:p>
            <w:pPr>
              <w:jc w:val="right"/>
              <w:spacing w:after="0"/>
              <w:rPr>
                <w:sz w:val="20"/>
                <w:szCs w:val="20"/>
                <w:color w:val="auto"/>
              </w:rPr>
            </w:pPr>
            <w:r>
              <w:rPr>
                <w:rFonts w:ascii="Arial" w:cs="Arial" w:eastAsia="Arial" w:hAnsi="Arial"/>
                <w:sz w:val="17"/>
                <w:szCs w:val="17"/>
                <w:color w:val="auto"/>
              </w:rPr>
              <w:t>6,620</w:t>
            </w:r>
          </w:p>
        </w:tc>
      </w:tr>
      <w:tr>
        <w:trPr>
          <w:trHeight w:val="208"/>
        </w:trPr>
        <w:tc>
          <w:tcPr>
            <w:tcW w:w="2140" w:type="dxa"/>
            <w:vAlign w:val="bottom"/>
          </w:tcPr>
          <w:p>
            <w:pPr>
              <w:spacing w:after="0"/>
              <w:rPr>
                <w:sz w:val="20"/>
                <w:szCs w:val="20"/>
                <w:color w:val="auto"/>
              </w:rPr>
            </w:pPr>
            <w:r>
              <w:rPr>
                <w:rFonts w:ascii="Arial" w:cs="Arial" w:eastAsia="Arial" w:hAnsi="Arial"/>
                <w:sz w:val="17"/>
                <w:szCs w:val="17"/>
                <w:color w:val="auto"/>
              </w:rPr>
              <w:t>Daniel J. Hurstak</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2,140</w:t>
            </w:r>
          </w:p>
        </w:tc>
        <w:tc>
          <w:tcPr>
            <w:tcW w:w="1040" w:type="dxa"/>
            <w:vAlign w:val="bottom"/>
          </w:tcPr>
          <w:p>
            <w:pPr>
              <w:jc w:val="right"/>
              <w:spacing w:after="0"/>
              <w:rPr>
                <w:sz w:val="20"/>
                <w:szCs w:val="20"/>
                <w:color w:val="auto"/>
              </w:rPr>
            </w:pPr>
            <w:r>
              <w:rPr>
                <w:rFonts w:ascii="Arial" w:cs="Arial" w:eastAsia="Arial" w:hAnsi="Arial"/>
                <w:sz w:val="17"/>
                <w:szCs w:val="17"/>
                <w:color w:val="auto"/>
              </w:rPr>
              <w:t>2,140</w:t>
            </w:r>
          </w:p>
        </w:tc>
        <w:tc>
          <w:tcPr>
            <w:tcW w:w="1000" w:type="dxa"/>
            <w:vAlign w:val="bottom"/>
          </w:tcPr>
          <w:p>
            <w:pPr>
              <w:jc w:val="right"/>
              <w:spacing w:after="0"/>
              <w:rPr>
                <w:sz w:val="20"/>
                <w:szCs w:val="20"/>
                <w:color w:val="auto"/>
              </w:rPr>
            </w:pPr>
            <w:r>
              <w:rPr>
                <w:rFonts w:ascii="Arial" w:cs="Arial" w:eastAsia="Arial" w:hAnsi="Arial"/>
                <w:sz w:val="17"/>
                <w:szCs w:val="17"/>
                <w:color w:val="auto"/>
              </w:rPr>
              <w:t>4,280</w:t>
            </w:r>
          </w:p>
        </w:tc>
      </w:tr>
      <w:tr>
        <w:trPr>
          <w:trHeight w:val="208"/>
        </w:trPr>
        <w:tc>
          <w:tcPr>
            <w:tcW w:w="2140" w:type="dxa"/>
            <w:vAlign w:val="bottom"/>
          </w:tcPr>
          <w:p>
            <w:pPr>
              <w:spacing w:after="0"/>
              <w:rPr>
                <w:sz w:val="20"/>
                <w:szCs w:val="20"/>
                <w:color w:val="auto"/>
              </w:rPr>
            </w:pPr>
            <w:r>
              <w:rPr>
                <w:rFonts w:ascii="Arial" w:cs="Arial" w:eastAsia="Arial" w:hAnsi="Arial"/>
                <w:sz w:val="17"/>
                <w:szCs w:val="17"/>
                <w:color w:val="auto"/>
              </w:rPr>
              <w:t>Justin Eisfeller</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960</w:t>
            </w:r>
          </w:p>
        </w:tc>
        <w:tc>
          <w:tcPr>
            <w:tcW w:w="1040" w:type="dxa"/>
            <w:vAlign w:val="bottom"/>
          </w:tcPr>
          <w:p>
            <w:pPr>
              <w:jc w:val="right"/>
              <w:spacing w:after="0"/>
              <w:rPr>
                <w:sz w:val="20"/>
                <w:szCs w:val="20"/>
                <w:color w:val="auto"/>
              </w:rPr>
            </w:pPr>
            <w:r>
              <w:rPr>
                <w:rFonts w:ascii="Arial" w:cs="Arial" w:eastAsia="Arial" w:hAnsi="Arial"/>
                <w:sz w:val="17"/>
                <w:szCs w:val="17"/>
                <w:color w:val="auto"/>
              </w:rPr>
              <w:t>960</w:t>
            </w:r>
          </w:p>
        </w:tc>
        <w:tc>
          <w:tcPr>
            <w:tcW w:w="1000" w:type="dxa"/>
            <w:vAlign w:val="bottom"/>
          </w:tcPr>
          <w:p>
            <w:pPr>
              <w:jc w:val="right"/>
              <w:spacing w:after="0"/>
              <w:rPr>
                <w:sz w:val="20"/>
                <w:szCs w:val="20"/>
                <w:color w:val="auto"/>
              </w:rPr>
            </w:pPr>
            <w:r>
              <w:rPr>
                <w:rFonts w:ascii="Arial" w:cs="Arial" w:eastAsia="Arial" w:hAnsi="Arial"/>
                <w:sz w:val="17"/>
                <w:szCs w:val="17"/>
                <w:color w:val="auto"/>
              </w:rPr>
              <w:t>1,920</w:t>
            </w:r>
          </w:p>
        </w:tc>
      </w:tr>
      <w:tr>
        <w:trPr>
          <w:trHeight w:val="229"/>
        </w:trPr>
        <w:tc>
          <w:tcPr>
            <w:tcW w:w="2140" w:type="dxa"/>
            <w:vAlign w:val="bottom"/>
          </w:tcPr>
          <w:p>
            <w:pPr>
              <w:spacing w:after="0"/>
              <w:rPr>
                <w:sz w:val="20"/>
                <w:szCs w:val="20"/>
                <w:color w:val="auto"/>
              </w:rPr>
            </w:pPr>
            <w:r>
              <w:rPr>
                <w:rFonts w:ascii="Arial" w:cs="Arial" w:eastAsia="Arial" w:hAnsi="Arial"/>
                <w:sz w:val="17"/>
                <w:szCs w:val="17"/>
                <w:color w:val="auto"/>
              </w:rPr>
              <w:t>Christopher J. LeBlanc</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960</w:t>
            </w:r>
          </w:p>
        </w:tc>
        <w:tc>
          <w:tcPr>
            <w:tcW w:w="1040" w:type="dxa"/>
            <w:vAlign w:val="bottom"/>
          </w:tcPr>
          <w:p>
            <w:pPr>
              <w:jc w:val="right"/>
              <w:spacing w:after="0"/>
              <w:rPr>
                <w:sz w:val="20"/>
                <w:szCs w:val="20"/>
                <w:color w:val="auto"/>
              </w:rPr>
            </w:pPr>
            <w:r>
              <w:rPr>
                <w:rFonts w:ascii="Arial" w:cs="Arial" w:eastAsia="Arial" w:hAnsi="Arial"/>
                <w:sz w:val="17"/>
                <w:szCs w:val="17"/>
                <w:color w:val="auto"/>
              </w:rPr>
              <w:t>960</w:t>
            </w:r>
          </w:p>
        </w:tc>
        <w:tc>
          <w:tcPr>
            <w:tcW w:w="1000" w:type="dxa"/>
            <w:vAlign w:val="bottom"/>
          </w:tcPr>
          <w:p>
            <w:pPr>
              <w:jc w:val="right"/>
              <w:spacing w:after="0"/>
              <w:rPr>
                <w:sz w:val="20"/>
                <w:szCs w:val="20"/>
                <w:color w:val="auto"/>
              </w:rPr>
            </w:pPr>
            <w:r>
              <w:rPr>
                <w:rFonts w:ascii="Arial" w:cs="Arial" w:eastAsia="Arial" w:hAnsi="Arial"/>
                <w:sz w:val="17"/>
                <w:szCs w:val="17"/>
                <w:color w:val="auto"/>
              </w:rPr>
              <w:t>1,920</w:t>
            </w:r>
          </w:p>
        </w:tc>
      </w:tr>
    </w:tbl>
    <w:p>
      <w:pPr>
        <w:spacing w:after="0" w:line="198" w:lineRule="exact"/>
        <w:rPr>
          <w:sz w:val="20"/>
          <w:szCs w:val="20"/>
          <w:color w:val="auto"/>
        </w:rPr>
      </w:pPr>
    </w:p>
    <w:p>
      <w:pPr>
        <w:sectPr>
          <w:pgSz w:w="11900" w:h="16838" w:orient="portrait"/>
          <w:cols w:equalWidth="0" w:num="2">
            <w:col w:w="4900" w:space="80"/>
            <w:col w:w="5660"/>
          </w:cols>
          <w:pgMar w:left="320" w:top="470" w:right="939" w:bottom="1440" w:gutter="0" w:footer="0" w:header="0"/>
          <w:type w:val="continuous"/>
        </w:sectPr>
      </w:pPr>
    </w:p>
    <w:p>
      <w:pPr>
        <w:ind w:left="640" w:right="180"/>
        <w:spacing w:after="0" w:line="235" w:lineRule="auto"/>
        <w:rPr>
          <w:sz w:val="20"/>
          <w:szCs w:val="20"/>
          <w:color w:val="auto"/>
        </w:rPr>
      </w:pPr>
      <w:r>
        <w:rPr>
          <w:rFonts w:ascii="Arial" w:cs="Arial" w:eastAsia="Arial" w:hAnsi="Arial"/>
          <w:sz w:val="21"/>
          <w:szCs w:val="21"/>
          <w:color w:val="auto"/>
        </w:rPr>
        <w:t>participants (including Named Executive Officers) during the vesting period(s). On January 27, 2026, the Compensation Committee approved a new policy that requires dividends on both Time Restricted Shares and Performance Restricted Shares be accrued during the respective performance period(s) and delivered to participants (including Named Executive Officers) only at such time the restricted shares, if any, vest and are no longer subject to forfeiture. Dividends on Additional Shares will be paid only after the Additional Shares are issued.</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Stock Ownership &amp; Holding Requirement for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53340</wp:posOffset>
            </wp:positionV>
            <wp:extent cx="63373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ectPr>
          <w:pgSz w:w="11900" w:h="16838" w:orient="portrait"/>
          <w:cols w:equalWidth="0" w:num="1">
            <w:col w:w="10640"/>
          </w:cols>
          <w:pgMar w:left="320" w:top="470" w:right="939" w:bottom="1440" w:gutter="0" w:footer="0" w:header="0"/>
          <w:type w:val="continuous"/>
        </w:sectPr>
      </w:pPr>
    </w:p>
    <w:p>
      <w:pPr>
        <w:spacing w:after="0" w:line="335" w:lineRule="exact"/>
        <w:rPr>
          <w:sz w:val="20"/>
          <w:szCs w:val="20"/>
          <w:color w:val="auto"/>
        </w:rPr>
      </w:pPr>
    </w:p>
    <w:p>
      <w:pPr>
        <w:ind w:left="640"/>
        <w:spacing w:after="0" w:line="247" w:lineRule="auto"/>
        <w:rPr>
          <w:sz w:val="20"/>
          <w:szCs w:val="20"/>
          <w:color w:val="auto"/>
        </w:rPr>
      </w:pPr>
      <w:r>
        <w:rPr>
          <w:rFonts w:ascii="Arial" w:cs="Arial" w:eastAsia="Arial" w:hAnsi="Arial"/>
          <w:sz w:val="20"/>
          <w:szCs w:val="20"/>
          <w:color w:val="auto"/>
        </w:rPr>
        <w:t>The Board believes that executive officers of the Company should own a significant number of shares of our common stock to properly align their interests with those of our shareholders. All Named Executive Officers are required to own shares of Unitil common stock in the equivalent value of a multiple of base salary.</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2"/>
        </w:trPr>
        <w:tc>
          <w:tcPr>
            <w:tcW w:w="100" w:type="dxa"/>
            <w:vAlign w:val="bottom"/>
            <w:shd w:val="clear" w:color="auto" w:fill="DAE6F2"/>
          </w:tcPr>
          <w:p>
            <w:pPr>
              <w:spacing w:after="0"/>
              <w:rPr>
                <w:sz w:val="20"/>
                <w:szCs w:val="20"/>
                <w:color w:val="auto"/>
              </w:rPr>
            </w:pPr>
            <w:r>
              <w:rPr>
                <w:rFonts w:ascii="Arial" w:cs="Arial" w:eastAsia="Arial" w:hAnsi="Arial"/>
                <w:sz w:val="11"/>
                <w:szCs w:val="11"/>
                <w:b w:val="1"/>
                <w:bCs w:val="1"/>
                <w:color w:val="auto"/>
                <w:w w:val="72"/>
              </w:rPr>
              <w:t> </w:t>
            </w:r>
          </w:p>
        </w:tc>
        <w:tc>
          <w:tcPr>
            <w:tcW w:w="3040" w:type="dxa"/>
            <w:vAlign w:val="bottom"/>
            <w:shd w:val="clear" w:color="auto" w:fill="DAE6F2"/>
          </w:tcPr>
          <w:p>
            <w:pPr>
              <w:ind w:left="60"/>
              <w:spacing w:after="0"/>
              <w:rPr>
                <w:sz w:val="20"/>
                <w:szCs w:val="20"/>
                <w:color w:val="auto"/>
              </w:rPr>
            </w:pPr>
            <w:r>
              <w:rPr>
                <w:rFonts w:ascii="Arial" w:cs="Arial" w:eastAsia="Arial" w:hAnsi="Arial"/>
                <w:sz w:val="17"/>
                <w:szCs w:val="17"/>
                <w:b w:val="1"/>
                <w:bCs w:val="1"/>
                <w:color w:val="auto"/>
              </w:rPr>
              <w:t>Chairman and CEO</w:t>
            </w:r>
          </w:p>
        </w:tc>
        <w:tc>
          <w:tcPr>
            <w:tcW w:w="640" w:type="dxa"/>
            <w:vAlign w:val="bottom"/>
            <w:shd w:val="clear" w:color="auto" w:fill="DAE6F2"/>
          </w:tcPr>
          <w:p>
            <w:pPr>
              <w:ind w:left="80"/>
              <w:spacing w:after="0"/>
              <w:rPr>
                <w:sz w:val="20"/>
                <w:szCs w:val="20"/>
                <w:color w:val="auto"/>
              </w:rPr>
            </w:pPr>
            <w:r>
              <w:rPr>
                <w:rFonts w:ascii="Arial" w:cs="Arial" w:eastAsia="Arial" w:hAnsi="Arial"/>
                <w:sz w:val="17"/>
                <w:szCs w:val="17"/>
                <w:b w:val="1"/>
                <w:bCs w:val="1"/>
                <w:color w:val="auto"/>
                <w:w w:val="95"/>
              </w:rPr>
              <w:t>4X       </w:t>
            </w:r>
          </w:p>
        </w:tc>
        <w:tc>
          <w:tcPr>
            <w:tcW w:w="20" w:type="dxa"/>
            <w:vAlign w:val="bottom"/>
          </w:tcPr>
          <w:p>
            <w:pPr>
              <w:spacing w:after="0"/>
              <w:rPr>
                <w:sz w:val="24"/>
                <w:szCs w:val="24"/>
                <w:color w:val="auto"/>
              </w:rPr>
            </w:pPr>
          </w:p>
        </w:tc>
      </w:tr>
      <w:tr>
        <w:trPr>
          <w:trHeight w:val="195"/>
        </w:trPr>
        <w:tc>
          <w:tcPr>
            <w:tcW w:w="100" w:type="dxa"/>
            <w:vAlign w:val="bottom"/>
            <w:shd w:val="clear" w:color="auto" w:fill="DAE6F2"/>
          </w:tcPr>
          <w:p>
            <w:pPr>
              <w:spacing w:after="0"/>
              <w:rPr>
                <w:sz w:val="20"/>
                <w:szCs w:val="20"/>
                <w:color w:val="auto"/>
              </w:rPr>
            </w:pPr>
            <w:r>
              <w:rPr>
                <w:rFonts w:ascii="Arial" w:cs="Arial" w:eastAsia="Arial" w:hAnsi="Arial"/>
                <w:sz w:val="11"/>
                <w:szCs w:val="11"/>
                <w:b w:val="1"/>
                <w:bCs w:val="1"/>
                <w:color w:val="auto"/>
                <w:w w:val="72"/>
              </w:rPr>
              <w:t> </w:t>
            </w:r>
          </w:p>
        </w:tc>
        <w:tc>
          <w:tcPr>
            <w:tcW w:w="3040" w:type="dxa"/>
            <w:vAlign w:val="bottom"/>
            <w:shd w:val="clear" w:color="auto" w:fill="DAE6F2"/>
          </w:tcPr>
          <w:p>
            <w:pPr>
              <w:ind w:left="60"/>
              <w:spacing w:after="0"/>
              <w:rPr>
                <w:sz w:val="20"/>
                <w:szCs w:val="20"/>
                <w:color w:val="auto"/>
              </w:rPr>
            </w:pPr>
            <w:r>
              <w:rPr>
                <w:rFonts w:ascii="Arial" w:cs="Arial" w:eastAsia="Arial" w:hAnsi="Arial"/>
                <w:sz w:val="17"/>
                <w:szCs w:val="17"/>
                <w:b w:val="1"/>
                <w:bCs w:val="1"/>
                <w:color w:val="auto"/>
              </w:rPr>
              <w:t>President</w:t>
            </w:r>
          </w:p>
        </w:tc>
        <w:tc>
          <w:tcPr>
            <w:tcW w:w="640" w:type="dxa"/>
            <w:vAlign w:val="bottom"/>
            <w:shd w:val="clear" w:color="auto" w:fill="DAE6F2"/>
          </w:tcPr>
          <w:p>
            <w:pPr>
              <w:ind w:left="80"/>
              <w:spacing w:after="0"/>
              <w:rPr>
                <w:sz w:val="20"/>
                <w:szCs w:val="20"/>
                <w:color w:val="auto"/>
              </w:rPr>
            </w:pPr>
            <w:r>
              <w:rPr>
                <w:rFonts w:ascii="Arial" w:cs="Arial" w:eastAsia="Arial" w:hAnsi="Arial"/>
                <w:sz w:val="17"/>
                <w:szCs w:val="17"/>
                <w:b w:val="1"/>
                <w:bCs w:val="1"/>
                <w:color w:val="auto"/>
              </w:rPr>
              <w:t>3X</w:t>
            </w:r>
          </w:p>
        </w:tc>
        <w:tc>
          <w:tcPr>
            <w:tcW w:w="20" w:type="dxa"/>
            <w:vAlign w:val="bottom"/>
          </w:tcPr>
          <w:p>
            <w:pPr>
              <w:spacing w:after="0"/>
              <w:rPr>
                <w:sz w:val="16"/>
                <w:szCs w:val="16"/>
                <w:color w:val="auto"/>
              </w:rPr>
            </w:pPr>
          </w:p>
        </w:tc>
      </w:tr>
      <w:tr>
        <w:trPr>
          <w:trHeight w:val="195"/>
        </w:trPr>
        <w:tc>
          <w:tcPr>
            <w:tcW w:w="100" w:type="dxa"/>
            <w:vAlign w:val="bottom"/>
            <w:shd w:val="clear" w:color="auto" w:fill="DAE6F2"/>
          </w:tcPr>
          <w:p>
            <w:pPr>
              <w:spacing w:after="0"/>
              <w:rPr>
                <w:sz w:val="20"/>
                <w:szCs w:val="20"/>
                <w:color w:val="auto"/>
              </w:rPr>
            </w:pPr>
            <w:r>
              <w:rPr>
                <w:rFonts w:ascii="Arial" w:cs="Arial" w:eastAsia="Arial" w:hAnsi="Arial"/>
                <w:sz w:val="11"/>
                <w:szCs w:val="11"/>
                <w:b w:val="1"/>
                <w:bCs w:val="1"/>
                <w:color w:val="auto"/>
                <w:w w:val="72"/>
              </w:rPr>
              <w:t> </w:t>
            </w:r>
          </w:p>
        </w:tc>
        <w:tc>
          <w:tcPr>
            <w:tcW w:w="3040" w:type="dxa"/>
            <w:vAlign w:val="bottom"/>
            <w:shd w:val="clear" w:color="auto" w:fill="DAE6F2"/>
          </w:tcPr>
          <w:p>
            <w:pPr>
              <w:ind w:left="60"/>
              <w:spacing w:after="0"/>
              <w:rPr>
                <w:sz w:val="20"/>
                <w:szCs w:val="20"/>
                <w:color w:val="auto"/>
              </w:rPr>
            </w:pPr>
            <w:r>
              <w:rPr>
                <w:rFonts w:ascii="Arial" w:cs="Arial" w:eastAsia="Arial" w:hAnsi="Arial"/>
                <w:sz w:val="17"/>
                <w:szCs w:val="17"/>
                <w:b w:val="1"/>
                <w:bCs w:val="1"/>
                <w:color w:val="auto"/>
              </w:rPr>
              <w:t>Chief Financial Officer</w:t>
            </w:r>
          </w:p>
        </w:tc>
        <w:tc>
          <w:tcPr>
            <w:tcW w:w="640" w:type="dxa"/>
            <w:vAlign w:val="bottom"/>
            <w:shd w:val="clear" w:color="auto" w:fill="DAE6F2"/>
          </w:tcPr>
          <w:p>
            <w:pPr>
              <w:ind w:left="80"/>
              <w:spacing w:after="0"/>
              <w:rPr>
                <w:sz w:val="20"/>
                <w:szCs w:val="20"/>
                <w:color w:val="auto"/>
              </w:rPr>
            </w:pPr>
            <w:r>
              <w:rPr>
                <w:rFonts w:ascii="Arial" w:cs="Arial" w:eastAsia="Arial" w:hAnsi="Arial"/>
                <w:sz w:val="17"/>
                <w:szCs w:val="17"/>
                <w:b w:val="1"/>
                <w:bCs w:val="1"/>
                <w:color w:val="auto"/>
              </w:rPr>
              <w:t>3X</w:t>
            </w:r>
          </w:p>
        </w:tc>
        <w:tc>
          <w:tcPr>
            <w:tcW w:w="20" w:type="dxa"/>
            <w:vAlign w:val="bottom"/>
          </w:tcPr>
          <w:p>
            <w:pPr>
              <w:spacing w:after="0"/>
              <w:rPr>
                <w:sz w:val="16"/>
                <w:szCs w:val="16"/>
                <w:color w:val="auto"/>
              </w:rPr>
            </w:pPr>
          </w:p>
        </w:tc>
      </w:tr>
      <w:tr>
        <w:trPr>
          <w:trHeight w:val="239"/>
        </w:trPr>
        <w:tc>
          <w:tcPr>
            <w:tcW w:w="3140" w:type="dxa"/>
            <w:vAlign w:val="bottom"/>
            <w:gridSpan w:val="2"/>
            <w:shd w:val="clear" w:color="auto" w:fill="DAE6F2"/>
          </w:tcPr>
          <w:p>
            <w:pPr>
              <w:spacing w:after="0"/>
              <w:rPr>
                <w:sz w:val="20"/>
                <w:szCs w:val="20"/>
                <w:color w:val="auto"/>
              </w:rPr>
            </w:pPr>
            <w:r>
              <w:rPr>
                <w:rFonts w:ascii="Arial" w:cs="Arial" w:eastAsia="Arial" w:hAnsi="Arial"/>
                <w:sz w:val="17"/>
                <w:szCs w:val="17"/>
                <w:b w:val="1"/>
                <w:bCs w:val="1"/>
                <w:color w:val="auto"/>
              </w:rPr>
              <w:t>  All Other Named Executive Officers</w:t>
            </w:r>
          </w:p>
        </w:tc>
        <w:tc>
          <w:tcPr>
            <w:tcW w:w="640" w:type="dxa"/>
            <w:vAlign w:val="bottom"/>
            <w:shd w:val="clear" w:color="auto" w:fill="DAE6F2"/>
          </w:tcPr>
          <w:p>
            <w:pPr>
              <w:ind w:left="80"/>
              <w:spacing w:after="0"/>
              <w:rPr>
                <w:sz w:val="20"/>
                <w:szCs w:val="20"/>
                <w:color w:val="auto"/>
              </w:rPr>
            </w:pPr>
            <w:r>
              <w:rPr>
                <w:rFonts w:ascii="Arial" w:cs="Arial" w:eastAsia="Arial" w:hAnsi="Arial"/>
                <w:sz w:val="17"/>
                <w:szCs w:val="17"/>
                <w:b w:val="1"/>
                <w:bCs w:val="1"/>
                <w:color w:val="auto"/>
              </w:rPr>
              <w:t>2X</w:t>
            </w:r>
          </w:p>
        </w:tc>
        <w:tc>
          <w:tcPr>
            <w:tcW w:w="20" w:type="dxa"/>
            <w:vAlign w:val="bottom"/>
          </w:tcPr>
          <w:p>
            <w:pPr>
              <w:spacing w:after="0"/>
              <w:rPr>
                <w:sz w:val="20"/>
                <w:szCs w:val="20"/>
                <w:color w:val="auto"/>
              </w:rPr>
            </w:pPr>
          </w:p>
        </w:tc>
      </w:tr>
      <w:tr>
        <w:trPr>
          <w:trHeight w:val="144"/>
        </w:trPr>
        <w:tc>
          <w:tcPr>
            <w:tcW w:w="100" w:type="dxa"/>
            <w:vAlign w:val="bottom"/>
            <w:shd w:val="clear" w:color="auto" w:fill="DAE6F2"/>
          </w:tcPr>
          <w:p>
            <w:pPr>
              <w:spacing w:after="0"/>
              <w:rPr>
                <w:sz w:val="12"/>
                <w:szCs w:val="12"/>
                <w:color w:val="auto"/>
              </w:rPr>
            </w:pPr>
          </w:p>
        </w:tc>
        <w:tc>
          <w:tcPr>
            <w:tcW w:w="3040" w:type="dxa"/>
            <w:vAlign w:val="bottom"/>
            <w:shd w:val="clear" w:color="auto" w:fill="DAE6F2"/>
          </w:tcPr>
          <w:p>
            <w:pPr>
              <w:spacing w:after="0"/>
              <w:rPr>
                <w:sz w:val="12"/>
                <w:szCs w:val="12"/>
                <w:color w:val="auto"/>
              </w:rPr>
            </w:pPr>
          </w:p>
        </w:tc>
        <w:tc>
          <w:tcPr>
            <w:tcW w:w="640" w:type="dxa"/>
            <w:vAlign w:val="bottom"/>
            <w:shd w:val="clear" w:color="auto" w:fill="DAE6F2"/>
          </w:tcPr>
          <w:p>
            <w:pPr>
              <w:spacing w:after="0"/>
              <w:rPr>
                <w:sz w:val="12"/>
                <w:szCs w:val="12"/>
                <w:color w:val="auto"/>
              </w:rPr>
            </w:pPr>
          </w:p>
        </w:tc>
        <w:tc>
          <w:tcPr>
            <w:tcW w:w="20" w:type="dxa"/>
            <w:vAlign w:val="bottom"/>
          </w:tcPr>
          <w:p>
            <w:pPr>
              <w:spacing w:after="0"/>
              <w:rPr>
                <w:sz w:val="12"/>
                <w:szCs w:val="12"/>
                <w:color w:val="auto"/>
              </w:rPr>
            </w:pPr>
          </w:p>
        </w:tc>
      </w:tr>
    </w:tbl>
    <w:p>
      <w:pPr>
        <w:spacing w:after="0" w:line="58" w:lineRule="exact"/>
        <w:rPr>
          <w:sz w:val="20"/>
          <w:szCs w:val="20"/>
          <w:color w:val="auto"/>
        </w:rPr>
      </w:pPr>
    </w:p>
    <w:p>
      <w:pPr>
        <w:sectPr>
          <w:pgSz w:w="11900" w:h="16838" w:orient="portrait"/>
          <w:cols w:equalWidth="0" w:num="2">
            <w:col w:w="6680" w:space="160"/>
            <w:col w:w="3800"/>
          </w:cols>
          <w:pgMar w:left="320" w:top="470" w:right="939" w:bottom="1440" w:gutter="0" w:footer="0" w:header="0"/>
          <w:type w:val="continuous"/>
        </w:sectPr>
      </w:pPr>
    </w:p>
    <w:p>
      <w:pPr>
        <w:ind w:left="640" w:right="60"/>
        <w:spacing w:after="0" w:line="235" w:lineRule="auto"/>
        <w:rPr>
          <w:sz w:val="20"/>
          <w:szCs w:val="20"/>
          <w:color w:val="auto"/>
        </w:rPr>
      </w:pPr>
      <w:r>
        <w:rPr>
          <w:rFonts w:ascii="Arial" w:cs="Arial" w:eastAsia="Arial" w:hAnsi="Arial"/>
          <w:sz w:val="21"/>
          <w:szCs w:val="21"/>
          <w:color w:val="auto"/>
        </w:rPr>
        <w:t>All shares of Unitil common stock that are owned directly or beneficially, shares of restricted stock that are awarded, whether vested or unvested, as well as any shares of stock held in the Unitil Stock Fund of the Tax Deferred Savings and Investment Plan will be counted towards the required total. Any newly appointed Named Executive Officer will have four years from the date of appointment to obtain the required shares of stock. As of the date of this proxy statement, all current Named Executive Officers have met the stock ownership requirement.</w:t>
      </w:r>
    </w:p>
    <w:p>
      <w:pPr>
        <w:spacing w:after="0" w:line="173" w:lineRule="exact"/>
        <w:rPr>
          <w:sz w:val="20"/>
          <w:szCs w:val="20"/>
          <w:color w:val="auto"/>
        </w:rPr>
      </w:pPr>
    </w:p>
    <w:p>
      <w:pPr>
        <w:ind w:left="640" w:right="120"/>
        <w:spacing w:after="0"/>
        <w:rPr>
          <w:sz w:val="20"/>
          <w:szCs w:val="20"/>
          <w:color w:val="auto"/>
        </w:rPr>
      </w:pPr>
      <w:r>
        <w:rPr>
          <w:rFonts w:ascii="Arial" w:cs="Arial" w:eastAsia="Arial" w:hAnsi="Arial"/>
          <w:sz w:val="21"/>
          <w:szCs w:val="21"/>
          <w:color w:val="auto"/>
        </w:rPr>
        <w:t xml:space="preserve">All Named Executive Officers are also required to hold all forms of equity received as compensation until retirement or other separation from the Company. The Board, in its sole discretion, may approve a waiver to this policy as circumstances may warrant. To date, no such waivers have been proposed or approved. Additional information concerning the share ownership of Named Executive Officers can be found in the section of this proxy statement entitled </w:t>
      </w:r>
      <w:r>
        <w:rPr>
          <w:rFonts w:ascii="Arial" w:cs="Arial" w:eastAsia="Arial" w:hAnsi="Arial"/>
          <w:sz w:val="21"/>
          <w:szCs w:val="21"/>
          <w:i w:val="1"/>
          <w:iCs w:val="1"/>
          <w:color w:val="auto"/>
        </w:rPr>
        <w:t>Share Ownership—Beneficial Ownership</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149225</wp:posOffset>
            </wp:positionV>
            <wp:extent cx="6337300" cy="908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640"/>
          </w:cols>
          <w:pgMar w:left="320" w:top="470" w:right="9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Management Incentive Plan Performance Metrics and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12065</wp:posOffset>
            </wp:positionV>
            <wp:extent cx="63373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19" w:lineRule="exact"/>
        <w:rPr>
          <w:sz w:val="20"/>
          <w:szCs w:val="20"/>
          <w:color w:val="auto"/>
        </w:rPr>
      </w:pPr>
    </w:p>
    <w:p>
      <w:pPr>
        <w:ind w:left="640" w:right="420"/>
        <w:spacing w:after="0" w:line="264" w:lineRule="auto"/>
        <w:rPr>
          <w:sz w:val="20"/>
          <w:szCs w:val="20"/>
          <w:color w:val="auto"/>
        </w:rPr>
      </w:pPr>
      <w:r>
        <w:rPr>
          <w:rFonts w:ascii="Arial" w:cs="Arial" w:eastAsia="Arial" w:hAnsi="Arial"/>
          <w:sz w:val="21"/>
          <w:szCs w:val="21"/>
          <w:color w:val="auto"/>
        </w:rPr>
        <w:t>The Management Incentive Plan includes performance metrics and goals that are used to determine the cash incentive compensation awarded to all participants, including Executive Officers.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Selecting the Performance Metrics and Setting the Goals</w:t>
      </w:r>
    </w:p>
    <w:p>
      <w:pPr>
        <w:spacing w:after="0" w:line="200" w:lineRule="exact"/>
        <w:rPr>
          <w:sz w:val="20"/>
          <w:szCs w:val="20"/>
          <w:color w:val="auto"/>
        </w:rPr>
      </w:pPr>
    </w:p>
    <w:p>
      <w:pPr>
        <w:ind w:left="640" w:right="20"/>
        <w:spacing w:after="0" w:line="243" w:lineRule="auto"/>
        <w:rPr>
          <w:sz w:val="20"/>
          <w:szCs w:val="20"/>
          <w:color w:val="auto"/>
        </w:rPr>
      </w:pPr>
      <w:r>
        <w:rPr>
          <w:rFonts w:ascii="Arial" w:cs="Arial" w:eastAsia="Arial" w:hAnsi="Arial"/>
          <w:sz w:val="21"/>
          <w:szCs w:val="21"/>
          <w:color w:val="auto"/>
        </w:rPr>
        <w:t>Performance metrics and goals are recommended by management annually as part of the strategic planning process. Performance metrics and goals are aligned with the strategies defined for the coming year. The Compensation Committee selects the key performance metrics to be applied to the Management Incentive Plan.</w:t>
      </w:r>
    </w:p>
    <w:p>
      <w:pPr>
        <w:spacing w:after="0" w:line="191" w:lineRule="exact"/>
        <w:rPr>
          <w:sz w:val="20"/>
          <w:szCs w:val="20"/>
          <w:color w:val="auto"/>
        </w:rPr>
      </w:pPr>
    </w:p>
    <w:p>
      <w:pPr>
        <w:ind w:left="5720" w:right="80"/>
        <w:spacing w:after="0" w:line="234" w:lineRule="auto"/>
        <w:rPr>
          <w:sz w:val="20"/>
          <w:szCs w:val="20"/>
          <w:color w:val="auto"/>
        </w:rPr>
      </w:pPr>
      <w:r>
        <w:rPr>
          <w:rFonts w:ascii="Arial" w:cs="Arial" w:eastAsia="Arial" w:hAnsi="Arial"/>
          <w:sz w:val="21"/>
          <w:szCs w:val="21"/>
          <w:color w:val="auto"/>
        </w:rPr>
        <w:t>When selecting the key performance metrics, the Committee considers a number of factors, including the appropriate mix of financial, operations, and customer-centric metrics, as well as the obligation to meet the various state public utility regulatory requirements to include a certain percentage of operations and customer-focused metrics. The Committee also reviews prior years’ goals and results to ensure stretch goals are set, and may also consider recommendations from Willis Towers when selecting the optimal combination for the coming year. The Committee believes that a prudently set and balanced mix of key performance metrics provides the opportunity, and the incentive, for all employees to contribute to our measurements of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-2374900</wp:posOffset>
            </wp:positionV>
            <wp:extent cx="6337300" cy="3086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3373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620"/>
          </w:cols>
          <w:pgMar w:left="320" w:top="470" w:right="9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100"/>
        <w:spacing w:after="0" w:line="248" w:lineRule="auto"/>
        <w:rPr>
          <w:sz w:val="20"/>
          <w:szCs w:val="20"/>
          <w:color w:val="auto"/>
        </w:rPr>
      </w:pPr>
      <w:r>
        <w:rPr>
          <w:rFonts w:ascii="Arial" w:cs="Arial" w:eastAsia="Arial" w:hAnsi="Arial"/>
          <w:sz w:val="21"/>
          <w:szCs w:val="21"/>
          <w:color w:val="auto"/>
        </w:rPr>
        <w:t>The table below shows the short-term performance metrics selected and goals set by the Committee for the 2025 annual cash incentive awards under the Management Incentive Plan, as well as the performance results calculated for 2025.</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2025 PERFORMANCE METRICS, GOALS &amp;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22225</wp:posOffset>
            </wp:positionV>
            <wp:extent cx="63373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88" w:lineRule="exact"/>
        <w:rPr>
          <w:sz w:val="20"/>
          <w:szCs w:val="20"/>
          <w:color w:val="auto"/>
        </w:rPr>
      </w:pPr>
    </w:p>
    <w:tbl>
      <w:tblPr>
        <w:tblLayout w:type="fixed"/>
        <w:tblInd w:w="1240" w:type="dxa"/>
        <w:tblCellMar>
          <w:top w:w="0" w:type="dxa"/>
          <w:left w:w="0" w:type="dxa"/>
          <w:bottom w:w="0" w:type="dxa"/>
          <w:right w:w="0" w:type="dxa"/>
        </w:tblCellMar>
      </w:tblPr>
      <w:tr>
        <w:trPr>
          <w:trHeight w:val="262"/>
        </w:trPr>
        <w:tc>
          <w:tcPr>
            <w:tcW w:w="2060" w:type="dxa"/>
            <w:vAlign w:val="bottom"/>
            <w:shd w:val="clear" w:color="auto" w:fill="314A72"/>
          </w:tcPr>
          <w:p>
            <w:pPr>
              <w:spacing w:after="0"/>
              <w:rPr>
                <w:sz w:val="22"/>
                <w:szCs w:val="22"/>
                <w:color w:val="auto"/>
              </w:rPr>
            </w:pPr>
          </w:p>
        </w:tc>
        <w:tc>
          <w:tcPr>
            <w:tcW w:w="1820" w:type="dxa"/>
            <w:vAlign w:val="bottom"/>
            <w:vMerge w:val="restart"/>
            <w:shd w:val="clear" w:color="auto" w:fill="314A72"/>
          </w:tcPr>
          <w:p>
            <w:pPr>
              <w:ind w:left="160"/>
              <w:spacing w:after="0"/>
              <w:rPr>
                <w:sz w:val="20"/>
                <w:szCs w:val="20"/>
                <w:color w:val="auto"/>
              </w:rPr>
            </w:pPr>
            <w:r>
              <w:rPr>
                <w:rFonts w:ascii="Arial" w:cs="Arial" w:eastAsia="Arial" w:hAnsi="Arial"/>
                <w:sz w:val="19"/>
                <w:szCs w:val="19"/>
                <w:b w:val="1"/>
                <w:bCs w:val="1"/>
                <w:color w:val="FFFFFF"/>
              </w:rPr>
              <w:t>Award Category</w:t>
            </w:r>
          </w:p>
        </w:tc>
        <w:tc>
          <w:tcPr>
            <w:tcW w:w="1460" w:type="dxa"/>
            <w:vAlign w:val="bottom"/>
            <w:shd w:val="clear" w:color="auto" w:fill="314A72"/>
          </w:tcPr>
          <w:p>
            <w:pPr>
              <w:spacing w:after="0"/>
              <w:rPr>
                <w:sz w:val="22"/>
                <w:szCs w:val="22"/>
                <w:color w:val="auto"/>
              </w:rPr>
            </w:pPr>
          </w:p>
        </w:tc>
        <w:tc>
          <w:tcPr>
            <w:tcW w:w="1020" w:type="dxa"/>
            <w:vAlign w:val="bottom"/>
            <w:vMerge w:val="restart"/>
            <w:shd w:val="clear" w:color="auto" w:fill="314A72"/>
          </w:tcPr>
          <w:p>
            <w:pPr>
              <w:jc w:val="center"/>
              <w:ind w:right="36"/>
              <w:spacing w:after="0"/>
              <w:rPr>
                <w:sz w:val="20"/>
                <w:szCs w:val="20"/>
                <w:color w:val="auto"/>
              </w:rPr>
            </w:pPr>
            <w:r>
              <w:rPr>
                <w:rFonts w:ascii="Arial" w:cs="Arial" w:eastAsia="Arial" w:hAnsi="Arial"/>
                <w:sz w:val="19"/>
                <w:szCs w:val="19"/>
                <w:b w:val="1"/>
                <w:bCs w:val="1"/>
                <w:color w:val="FFFFFF"/>
                <w:w w:val="99"/>
              </w:rPr>
              <w:t>Target</w:t>
            </w:r>
          </w:p>
        </w:tc>
        <w:tc>
          <w:tcPr>
            <w:tcW w:w="980" w:type="dxa"/>
            <w:vAlign w:val="bottom"/>
            <w:shd w:val="clear" w:color="auto" w:fill="314A72"/>
          </w:tcPr>
          <w:p>
            <w:pPr>
              <w:spacing w:after="0"/>
              <w:rPr>
                <w:sz w:val="22"/>
                <w:szCs w:val="22"/>
                <w:color w:val="auto"/>
              </w:rPr>
            </w:pPr>
          </w:p>
        </w:tc>
        <w:tc>
          <w:tcPr>
            <w:tcW w:w="1420" w:type="dxa"/>
            <w:vAlign w:val="bottom"/>
            <w:shd w:val="clear" w:color="auto" w:fill="314A72"/>
          </w:tcPr>
          <w:p>
            <w:pPr>
              <w:jc w:val="center"/>
              <w:spacing w:after="0"/>
              <w:rPr>
                <w:sz w:val="20"/>
                <w:szCs w:val="20"/>
                <w:color w:val="auto"/>
              </w:rPr>
            </w:pPr>
            <w:r>
              <w:rPr>
                <w:rFonts w:ascii="Arial" w:cs="Arial" w:eastAsia="Arial" w:hAnsi="Arial"/>
                <w:sz w:val="19"/>
                <w:szCs w:val="19"/>
                <w:b w:val="1"/>
                <w:bCs w:val="1"/>
                <w:color w:val="FFFFFF"/>
                <w:w w:val="98"/>
              </w:rPr>
              <w:t>Weighted</w:t>
            </w:r>
          </w:p>
        </w:tc>
        <w:tc>
          <w:tcPr>
            <w:tcW w:w="0" w:type="dxa"/>
            <w:vAlign w:val="bottom"/>
          </w:tcPr>
          <w:p>
            <w:pPr>
              <w:spacing w:after="0"/>
              <w:rPr>
                <w:sz w:val="1"/>
                <w:szCs w:val="1"/>
                <w:color w:val="auto"/>
              </w:rPr>
            </w:pPr>
          </w:p>
        </w:tc>
      </w:tr>
      <w:tr>
        <w:trPr>
          <w:trHeight w:val="208"/>
        </w:trPr>
        <w:tc>
          <w:tcPr>
            <w:tcW w:w="2060" w:type="dxa"/>
            <w:vAlign w:val="bottom"/>
            <w:vMerge w:val="restart"/>
            <w:shd w:val="clear" w:color="auto" w:fill="314A72"/>
          </w:tcPr>
          <w:p>
            <w:pPr>
              <w:ind w:left="480"/>
              <w:spacing w:after="0"/>
              <w:rPr>
                <w:sz w:val="20"/>
                <w:szCs w:val="20"/>
                <w:color w:val="auto"/>
              </w:rPr>
            </w:pPr>
            <w:r>
              <w:rPr>
                <w:rFonts w:ascii="Arial" w:cs="Arial" w:eastAsia="Arial" w:hAnsi="Arial"/>
                <w:sz w:val="19"/>
                <w:szCs w:val="19"/>
                <w:b w:val="1"/>
                <w:bCs w:val="1"/>
                <w:color w:val="FFFFFF"/>
              </w:rPr>
              <w:t>Metric: 2025</w:t>
            </w:r>
          </w:p>
        </w:tc>
        <w:tc>
          <w:tcPr>
            <w:tcW w:w="1820" w:type="dxa"/>
            <w:vAlign w:val="bottom"/>
            <w:vMerge w:val="continue"/>
            <w:shd w:val="clear" w:color="auto" w:fill="314A72"/>
          </w:tcPr>
          <w:p>
            <w:pPr>
              <w:spacing w:after="0"/>
              <w:rPr>
                <w:sz w:val="18"/>
                <w:szCs w:val="18"/>
                <w:color w:val="auto"/>
              </w:rPr>
            </w:pPr>
          </w:p>
        </w:tc>
        <w:tc>
          <w:tcPr>
            <w:tcW w:w="1460" w:type="dxa"/>
            <w:vAlign w:val="bottom"/>
            <w:vMerge w:val="restart"/>
            <w:shd w:val="clear" w:color="auto" w:fill="314A72"/>
          </w:tcPr>
          <w:p>
            <w:pPr>
              <w:jc w:val="right"/>
              <w:ind w:right="461"/>
              <w:spacing w:after="0"/>
              <w:rPr>
                <w:sz w:val="20"/>
                <w:szCs w:val="20"/>
                <w:color w:val="auto"/>
              </w:rPr>
            </w:pPr>
            <w:r>
              <w:rPr>
                <w:rFonts w:ascii="Arial" w:cs="Arial" w:eastAsia="Arial" w:hAnsi="Arial"/>
                <w:sz w:val="19"/>
                <w:szCs w:val="19"/>
                <w:b w:val="1"/>
                <w:bCs w:val="1"/>
                <w:color w:val="FFFFFF"/>
              </w:rPr>
              <w:t>Result</w:t>
            </w:r>
          </w:p>
        </w:tc>
        <w:tc>
          <w:tcPr>
            <w:tcW w:w="1020" w:type="dxa"/>
            <w:vAlign w:val="bottom"/>
            <w:vMerge w:val="continue"/>
            <w:shd w:val="clear" w:color="auto" w:fill="314A72"/>
          </w:tcPr>
          <w:p>
            <w:pPr>
              <w:spacing w:after="0"/>
              <w:rPr>
                <w:sz w:val="18"/>
                <w:szCs w:val="18"/>
                <w:color w:val="auto"/>
              </w:rPr>
            </w:pPr>
          </w:p>
        </w:tc>
        <w:tc>
          <w:tcPr>
            <w:tcW w:w="980" w:type="dxa"/>
            <w:vAlign w:val="bottom"/>
            <w:vMerge w:val="restart"/>
            <w:shd w:val="clear" w:color="auto" w:fill="314A72"/>
          </w:tcPr>
          <w:p>
            <w:pPr>
              <w:jc w:val="center"/>
              <w:spacing w:after="0"/>
              <w:rPr>
                <w:sz w:val="20"/>
                <w:szCs w:val="20"/>
                <w:color w:val="auto"/>
              </w:rPr>
            </w:pPr>
            <w:r>
              <w:rPr>
                <w:rFonts w:ascii="Arial" w:cs="Arial" w:eastAsia="Arial" w:hAnsi="Arial"/>
                <w:sz w:val="19"/>
                <w:szCs w:val="19"/>
                <w:b w:val="1"/>
                <w:bCs w:val="1"/>
                <w:color w:val="FFFFFF"/>
                <w:w w:val="99"/>
              </w:rPr>
              <w:t>Factor</w:t>
            </w:r>
          </w:p>
        </w:tc>
        <w:tc>
          <w:tcPr>
            <w:tcW w:w="1420" w:type="dxa"/>
            <w:vAlign w:val="bottom"/>
            <w:shd w:val="clear" w:color="auto" w:fill="314A72"/>
          </w:tcPr>
          <w:p>
            <w:pPr>
              <w:ind w:left="160"/>
              <w:spacing w:after="0" w:line="208" w:lineRule="exact"/>
              <w:rPr>
                <w:sz w:val="20"/>
                <w:szCs w:val="20"/>
                <w:color w:val="auto"/>
              </w:rPr>
            </w:pPr>
            <w:r>
              <w:rPr>
                <w:rFonts w:ascii="Arial" w:cs="Arial" w:eastAsia="Arial" w:hAnsi="Arial"/>
                <w:sz w:val="19"/>
                <w:szCs w:val="19"/>
                <w:b w:val="1"/>
                <w:bCs w:val="1"/>
                <w:color w:val="FFFFFF"/>
                <w:w w:val="97"/>
              </w:rPr>
              <w:t>Performance </w:t>
            </w:r>
          </w:p>
        </w:tc>
        <w:tc>
          <w:tcPr>
            <w:tcW w:w="0" w:type="dxa"/>
            <w:vAlign w:val="bottom"/>
          </w:tcPr>
          <w:p>
            <w:pPr>
              <w:spacing w:after="0"/>
              <w:rPr>
                <w:sz w:val="1"/>
                <w:szCs w:val="1"/>
                <w:color w:val="auto"/>
              </w:rPr>
            </w:pPr>
          </w:p>
        </w:tc>
      </w:tr>
      <w:tr>
        <w:trPr>
          <w:trHeight w:val="302"/>
        </w:trPr>
        <w:tc>
          <w:tcPr>
            <w:tcW w:w="2060" w:type="dxa"/>
            <w:vAlign w:val="bottom"/>
            <w:tcBorders>
              <w:bottom w:val="single" w:sz="8" w:color="314A72"/>
            </w:tcBorders>
            <w:vMerge w:val="continue"/>
            <w:shd w:val="clear" w:color="auto" w:fill="314A72"/>
          </w:tcPr>
          <w:p>
            <w:pPr>
              <w:spacing w:after="0"/>
              <w:rPr>
                <w:sz w:val="24"/>
                <w:szCs w:val="24"/>
                <w:color w:val="auto"/>
              </w:rPr>
            </w:pPr>
          </w:p>
        </w:tc>
        <w:tc>
          <w:tcPr>
            <w:tcW w:w="1820" w:type="dxa"/>
            <w:vAlign w:val="bottom"/>
            <w:tcBorders>
              <w:bottom w:val="single" w:sz="8" w:color="314A72"/>
            </w:tcBorders>
            <w:shd w:val="clear" w:color="auto" w:fill="314A72"/>
          </w:tcPr>
          <w:p>
            <w:pPr>
              <w:ind w:left="520"/>
              <w:spacing w:after="0"/>
              <w:rPr>
                <w:sz w:val="20"/>
                <w:szCs w:val="20"/>
                <w:color w:val="auto"/>
              </w:rPr>
            </w:pPr>
            <w:r>
              <w:rPr>
                <w:rFonts w:ascii="Arial" w:cs="Arial" w:eastAsia="Arial" w:hAnsi="Arial"/>
                <w:sz w:val="19"/>
                <w:szCs w:val="19"/>
                <w:b w:val="1"/>
                <w:bCs w:val="1"/>
                <w:color w:val="FFFFFF"/>
              </w:rPr>
              <w:t>&amp; Goals</w:t>
            </w:r>
          </w:p>
        </w:tc>
        <w:tc>
          <w:tcPr>
            <w:tcW w:w="1460" w:type="dxa"/>
            <w:vAlign w:val="bottom"/>
            <w:tcBorders>
              <w:bottom w:val="single" w:sz="8" w:color="314A72"/>
            </w:tcBorders>
            <w:vMerge w:val="continue"/>
            <w:shd w:val="clear" w:color="auto" w:fill="314A72"/>
          </w:tcPr>
          <w:p>
            <w:pPr>
              <w:spacing w:after="0"/>
              <w:rPr>
                <w:sz w:val="24"/>
                <w:szCs w:val="24"/>
                <w:color w:val="auto"/>
              </w:rPr>
            </w:pPr>
          </w:p>
        </w:tc>
        <w:tc>
          <w:tcPr>
            <w:tcW w:w="1020" w:type="dxa"/>
            <w:vAlign w:val="bottom"/>
            <w:tcBorders>
              <w:bottom w:val="single" w:sz="8" w:color="314A72"/>
            </w:tcBorders>
            <w:shd w:val="clear" w:color="auto" w:fill="314A72"/>
          </w:tcPr>
          <w:p>
            <w:pPr>
              <w:jc w:val="center"/>
              <w:ind w:right="36"/>
              <w:spacing w:after="0"/>
              <w:rPr>
                <w:sz w:val="20"/>
                <w:szCs w:val="20"/>
                <w:color w:val="auto"/>
              </w:rPr>
            </w:pPr>
            <w:r>
              <w:rPr>
                <w:rFonts w:ascii="Arial" w:cs="Arial" w:eastAsia="Arial" w:hAnsi="Arial"/>
                <w:sz w:val="19"/>
                <w:szCs w:val="19"/>
                <w:b w:val="1"/>
                <w:bCs w:val="1"/>
                <w:color w:val="FFFFFF"/>
                <w:w w:val="97"/>
              </w:rPr>
              <w:t>Weight</w:t>
            </w:r>
          </w:p>
        </w:tc>
        <w:tc>
          <w:tcPr>
            <w:tcW w:w="980" w:type="dxa"/>
            <w:vAlign w:val="bottom"/>
            <w:tcBorders>
              <w:bottom w:val="single" w:sz="8" w:color="314A72"/>
            </w:tcBorders>
            <w:vMerge w:val="continue"/>
            <w:shd w:val="clear" w:color="auto" w:fill="314A72"/>
          </w:tcPr>
          <w:p>
            <w:pPr>
              <w:spacing w:after="0"/>
              <w:rPr>
                <w:sz w:val="24"/>
                <w:szCs w:val="24"/>
                <w:color w:val="auto"/>
              </w:rPr>
            </w:pPr>
          </w:p>
        </w:tc>
        <w:tc>
          <w:tcPr>
            <w:tcW w:w="1420" w:type="dxa"/>
            <w:vAlign w:val="bottom"/>
            <w:tcBorders>
              <w:bottom w:val="single" w:sz="8" w:color="314A72"/>
            </w:tcBorders>
            <w:shd w:val="clear" w:color="auto" w:fill="314A72"/>
          </w:tcPr>
          <w:p>
            <w:pPr>
              <w:jc w:val="center"/>
              <w:spacing w:after="0"/>
              <w:rPr>
                <w:sz w:val="20"/>
                <w:szCs w:val="20"/>
                <w:color w:val="auto"/>
              </w:rPr>
            </w:pPr>
            <w:r>
              <w:rPr>
                <w:rFonts w:ascii="Arial" w:cs="Arial" w:eastAsia="Arial" w:hAnsi="Arial"/>
                <w:sz w:val="19"/>
                <w:szCs w:val="19"/>
                <w:b w:val="1"/>
                <w:bCs w:val="1"/>
                <w:color w:val="FFFFFF"/>
              </w:rPr>
              <w:t>Factor</w:t>
            </w:r>
          </w:p>
        </w:tc>
        <w:tc>
          <w:tcPr>
            <w:tcW w:w="0" w:type="dxa"/>
            <w:vAlign w:val="bottom"/>
          </w:tcPr>
          <w:p>
            <w:pPr>
              <w:spacing w:after="0"/>
              <w:rPr>
                <w:sz w:val="1"/>
                <w:szCs w:val="1"/>
                <w:color w:val="auto"/>
              </w:rPr>
            </w:pPr>
          </w:p>
        </w:tc>
      </w:tr>
      <w:tr>
        <w:trPr>
          <w:trHeight w:val="274"/>
        </w:trPr>
        <w:tc>
          <w:tcPr>
            <w:tcW w:w="3880" w:type="dxa"/>
            <w:vAlign w:val="bottom"/>
            <w:gridSpan w:val="2"/>
          </w:tcPr>
          <w:p>
            <w:pPr>
              <w:ind w:left="120"/>
              <w:spacing w:after="0"/>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5"/>
                <w:szCs w:val="15"/>
                <w:color w:val="auto"/>
              </w:rPr>
              <w:t>Threshold: $3.01</w:t>
            </w:r>
          </w:p>
        </w:tc>
        <w:tc>
          <w:tcPr>
            <w:tcW w:w="1460" w:type="dxa"/>
            <w:vAlign w:val="bottom"/>
          </w:tcPr>
          <w:p>
            <w:pPr>
              <w:jc w:val="center"/>
              <w:ind w:right="101"/>
              <w:spacing w:after="0"/>
              <w:rPr>
                <w:sz w:val="20"/>
                <w:szCs w:val="20"/>
                <w:color w:val="auto"/>
              </w:rPr>
            </w:pPr>
            <w:r>
              <w:rPr>
                <w:rFonts w:ascii="Arial" w:cs="Arial" w:eastAsia="Arial" w:hAnsi="Arial"/>
                <w:sz w:val="16"/>
                <w:szCs w:val="16"/>
                <w:b w:val="1"/>
                <w:bCs w:val="1"/>
                <w:color w:val="auto"/>
                <w:w w:val="90"/>
              </w:rPr>
              <w:t xml:space="preserve">$3.16 </w:t>
            </w:r>
            <w:r>
              <w:rPr>
                <w:rFonts w:ascii="Arial" w:cs="Arial" w:eastAsia="Arial" w:hAnsi="Arial"/>
                <w:sz w:val="23"/>
                <w:szCs w:val="23"/>
                <w:b w:val="1"/>
                <w:bCs w:val="1"/>
                <w:color w:val="auto"/>
                <w:w w:val="90"/>
                <w:vertAlign w:val="superscript"/>
              </w:rPr>
              <w:t>12</w:t>
            </w:r>
          </w:p>
        </w:tc>
        <w:tc>
          <w:tcPr>
            <w:tcW w:w="1020" w:type="dxa"/>
            <w:vAlign w:val="bottom"/>
          </w:tcPr>
          <w:p>
            <w:pPr>
              <w:jc w:val="center"/>
              <w:ind w:right="36"/>
              <w:spacing w:after="0"/>
              <w:rPr>
                <w:sz w:val="20"/>
                <w:szCs w:val="20"/>
                <w:color w:val="auto"/>
              </w:rPr>
            </w:pPr>
            <w:r>
              <w:rPr>
                <w:rFonts w:ascii="Arial" w:cs="Arial" w:eastAsia="Arial" w:hAnsi="Arial"/>
                <w:sz w:val="16"/>
                <w:szCs w:val="16"/>
                <w:color w:val="auto"/>
                <w:w w:val="93"/>
              </w:rPr>
              <w:t>40%</w:t>
            </w:r>
          </w:p>
        </w:tc>
        <w:tc>
          <w:tcPr>
            <w:tcW w:w="980" w:type="dxa"/>
            <w:vAlign w:val="bottom"/>
          </w:tcPr>
          <w:p>
            <w:pPr>
              <w:jc w:val="center"/>
              <w:spacing w:after="0"/>
              <w:rPr>
                <w:sz w:val="20"/>
                <w:szCs w:val="20"/>
                <w:color w:val="auto"/>
              </w:rPr>
            </w:pPr>
            <w:r>
              <w:rPr>
                <w:rFonts w:ascii="Arial" w:cs="Arial" w:eastAsia="Arial" w:hAnsi="Arial"/>
                <w:sz w:val="16"/>
                <w:szCs w:val="16"/>
                <w:color w:val="auto"/>
                <w:w w:val="96"/>
              </w:rPr>
              <w:t>1.44</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3"/>
              </w:rPr>
              <w:t>58%</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1820" w:type="dxa"/>
            <w:vAlign w:val="bottom"/>
          </w:tcPr>
          <w:p>
            <w:pPr>
              <w:ind w:left="60"/>
              <w:spacing w:after="0" w:line="182" w:lineRule="exact"/>
              <w:rPr>
                <w:sz w:val="20"/>
                <w:szCs w:val="20"/>
                <w:color w:val="auto"/>
              </w:rPr>
            </w:pPr>
            <w:r>
              <w:rPr>
                <w:rFonts w:ascii="Arial" w:cs="Arial" w:eastAsia="Arial" w:hAnsi="Arial"/>
                <w:sz w:val="16"/>
                <w:szCs w:val="16"/>
                <w:color w:val="auto"/>
              </w:rPr>
              <w:t>Target: $3.09</w:t>
            </w:r>
          </w:p>
        </w:tc>
        <w:tc>
          <w:tcPr>
            <w:tcW w:w="1460" w:type="dxa"/>
            <w:vAlign w:val="bottom"/>
            <w:vMerge w:val="restart"/>
          </w:tcPr>
          <w:p>
            <w:pPr>
              <w:jc w:val="right"/>
              <w:ind w:right="81"/>
              <w:spacing w:after="0"/>
              <w:rPr>
                <w:sz w:val="20"/>
                <w:szCs w:val="20"/>
                <w:color w:val="auto"/>
              </w:rPr>
            </w:pPr>
            <w:r>
              <w:rPr>
                <w:rFonts w:ascii="Arial" w:cs="Arial" w:eastAsia="Arial" w:hAnsi="Arial"/>
                <w:sz w:val="16"/>
                <w:szCs w:val="16"/>
                <w:i w:val="1"/>
                <w:iCs w:val="1"/>
                <w:color w:val="auto"/>
              </w:rPr>
              <w:t>[above target,</w:t>
            </w: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60" w:type="dxa"/>
            <w:vAlign w:val="bottom"/>
          </w:tcPr>
          <w:p>
            <w:pPr>
              <w:spacing w:after="0"/>
              <w:rPr>
                <w:sz w:val="10"/>
                <w:szCs w:val="10"/>
                <w:color w:val="auto"/>
              </w:rPr>
            </w:pPr>
          </w:p>
        </w:tc>
        <w:tc>
          <w:tcPr>
            <w:tcW w:w="1820" w:type="dxa"/>
            <w:vAlign w:val="bottom"/>
            <w:vMerge w:val="restart"/>
          </w:tcPr>
          <w:p>
            <w:pPr>
              <w:ind w:left="60"/>
              <w:spacing w:after="0"/>
              <w:rPr>
                <w:sz w:val="20"/>
                <w:szCs w:val="20"/>
                <w:color w:val="auto"/>
              </w:rPr>
            </w:pPr>
            <w:r>
              <w:rPr>
                <w:rFonts w:ascii="Arial" w:cs="Arial" w:eastAsia="Arial" w:hAnsi="Arial"/>
                <w:sz w:val="16"/>
                <w:szCs w:val="16"/>
                <w:color w:val="auto"/>
              </w:rPr>
              <w:t>Maximum: $3.17</w:t>
            </w:r>
          </w:p>
        </w:tc>
        <w:tc>
          <w:tcPr>
            <w:tcW w:w="14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460" w:type="dxa"/>
            <w:vAlign w:val="bottom"/>
            <w:vMerge w:val="restart"/>
          </w:tcPr>
          <w:p>
            <w:pPr>
              <w:jc w:val="right"/>
              <w:ind w:right="81"/>
              <w:spacing w:after="0"/>
              <w:rPr>
                <w:sz w:val="20"/>
                <w:szCs w:val="20"/>
                <w:color w:val="auto"/>
              </w:rPr>
            </w:pPr>
            <w:r>
              <w:rPr>
                <w:rFonts w:ascii="Arial" w:cs="Arial" w:eastAsia="Arial" w:hAnsi="Arial"/>
                <w:sz w:val="16"/>
                <w:szCs w:val="16"/>
                <w:i w:val="1"/>
                <w:iCs w:val="1"/>
                <w:color w:val="auto"/>
              </w:rPr>
              <w:t>below maximum]</w:t>
            </w: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60" w:type="dxa"/>
            <w:vAlign w:val="bottom"/>
            <w:tcBorders>
              <w:bottom w:val="single" w:sz="8" w:color="314A72"/>
            </w:tcBorders>
          </w:tcPr>
          <w:p>
            <w:pPr>
              <w:spacing w:after="0"/>
              <w:rPr>
                <w:sz w:val="10"/>
                <w:szCs w:val="10"/>
                <w:color w:val="auto"/>
              </w:rPr>
            </w:pPr>
          </w:p>
        </w:tc>
        <w:tc>
          <w:tcPr>
            <w:tcW w:w="1820" w:type="dxa"/>
            <w:vAlign w:val="bottom"/>
            <w:tcBorders>
              <w:bottom w:val="single" w:sz="8" w:color="314A72"/>
            </w:tcBorders>
          </w:tcPr>
          <w:p>
            <w:pPr>
              <w:spacing w:after="0"/>
              <w:rPr>
                <w:sz w:val="10"/>
                <w:szCs w:val="10"/>
                <w:color w:val="auto"/>
              </w:rPr>
            </w:pPr>
          </w:p>
        </w:tc>
        <w:tc>
          <w:tcPr>
            <w:tcW w:w="1460" w:type="dxa"/>
            <w:vAlign w:val="bottom"/>
            <w:tcBorders>
              <w:bottom w:val="single" w:sz="8" w:color="314A72"/>
            </w:tcBorders>
          </w:tcPr>
          <w:p>
            <w:pPr>
              <w:spacing w:after="0"/>
              <w:rPr>
                <w:sz w:val="10"/>
                <w:szCs w:val="10"/>
                <w:color w:val="auto"/>
              </w:rPr>
            </w:pPr>
          </w:p>
        </w:tc>
        <w:tc>
          <w:tcPr>
            <w:tcW w:w="1020" w:type="dxa"/>
            <w:vAlign w:val="bottom"/>
            <w:tcBorders>
              <w:bottom w:val="single" w:sz="8" w:color="314A72"/>
            </w:tcBorders>
          </w:tcPr>
          <w:p>
            <w:pPr>
              <w:spacing w:after="0"/>
              <w:rPr>
                <w:sz w:val="10"/>
                <w:szCs w:val="10"/>
                <w:color w:val="auto"/>
              </w:rPr>
            </w:pPr>
          </w:p>
        </w:tc>
        <w:tc>
          <w:tcPr>
            <w:tcW w:w="980" w:type="dxa"/>
            <w:vAlign w:val="bottom"/>
            <w:tcBorders>
              <w:bottom w:val="single" w:sz="8" w:color="314A72"/>
            </w:tcBorders>
          </w:tcPr>
          <w:p>
            <w:pPr>
              <w:spacing w:after="0"/>
              <w:rPr>
                <w:sz w:val="10"/>
                <w:szCs w:val="10"/>
                <w:color w:val="auto"/>
              </w:rPr>
            </w:pPr>
          </w:p>
        </w:tc>
        <w:tc>
          <w:tcPr>
            <w:tcW w:w="1420" w:type="dxa"/>
            <w:vAlign w:val="bottom"/>
            <w:tcBorders>
              <w:bottom w:val="single" w:sz="8" w:color="314A72"/>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060" w:type="dxa"/>
            <w:vAlign w:val="bottom"/>
          </w:tcPr>
          <w:p>
            <w:pPr>
              <w:ind w:left="120"/>
              <w:spacing w:after="0"/>
              <w:rPr>
                <w:sz w:val="20"/>
                <w:szCs w:val="20"/>
                <w:color w:val="auto"/>
              </w:rPr>
            </w:pPr>
            <w:r>
              <w:rPr>
                <w:rFonts w:ascii="Arial" w:cs="Arial" w:eastAsia="Arial" w:hAnsi="Arial"/>
                <w:sz w:val="17"/>
                <w:szCs w:val="17"/>
                <w:b w:val="1"/>
                <w:bCs w:val="1"/>
                <w:color w:val="auto"/>
              </w:rPr>
              <w:t>Gas Safety</w:t>
            </w:r>
          </w:p>
        </w:tc>
        <w:tc>
          <w:tcPr>
            <w:tcW w:w="1820" w:type="dxa"/>
            <w:vAlign w:val="bottom"/>
          </w:tcPr>
          <w:p>
            <w:pPr>
              <w:ind w:left="60"/>
              <w:spacing w:after="0"/>
              <w:rPr>
                <w:sz w:val="20"/>
                <w:szCs w:val="20"/>
                <w:color w:val="auto"/>
              </w:rPr>
            </w:pPr>
            <w:r>
              <w:rPr>
                <w:rFonts w:ascii="Arial" w:cs="Arial" w:eastAsia="Arial" w:hAnsi="Arial"/>
                <w:sz w:val="16"/>
                <w:szCs w:val="16"/>
                <w:color w:val="auto"/>
              </w:rPr>
              <w:t>Threshold: 84%</w:t>
            </w:r>
          </w:p>
        </w:tc>
        <w:tc>
          <w:tcPr>
            <w:tcW w:w="1460" w:type="dxa"/>
            <w:vAlign w:val="bottom"/>
          </w:tcPr>
          <w:p>
            <w:pPr>
              <w:jc w:val="center"/>
              <w:ind w:right="121"/>
              <w:spacing w:after="0"/>
              <w:rPr>
                <w:sz w:val="20"/>
                <w:szCs w:val="20"/>
                <w:color w:val="auto"/>
              </w:rPr>
            </w:pPr>
            <w:r>
              <w:rPr>
                <w:rFonts w:ascii="Arial" w:cs="Arial" w:eastAsia="Arial" w:hAnsi="Arial"/>
                <w:sz w:val="16"/>
                <w:szCs w:val="16"/>
                <w:b w:val="1"/>
                <w:bCs w:val="1"/>
                <w:color w:val="auto"/>
                <w:w w:val="99"/>
              </w:rPr>
              <w:t>91.43%</w:t>
            </w:r>
          </w:p>
        </w:tc>
        <w:tc>
          <w:tcPr>
            <w:tcW w:w="1020" w:type="dxa"/>
            <w:vAlign w:val="bottom"/>
          </w:tcPr>
          <w:p>
            <w:pPr>
              <w:jc w:val="center"/>
              <w:ind w:right="36"/>
              <w:spacing w:after="0"/>
              <w:rPr>
                <w:sz w:val="20"/>
                <w:szCs w:val="20"/>
                <w:color w:val="auto"/>
              </w:rPr>
            </w:pPr>
            <w:r>
              <w:rPr>
                <w:rFonts w:ascii="Arial" w:cs="Arial" w:eastAsia="Arial" w:hAnsi="Arial"/>
                <w:sz w:val="16"/>
                <w:szCs w:val="16"/>
                <w:color w:val="auto"/>
                <w:w w:val="93"/>
              </w:rPr>
              <w:t>10%</w:t>
            </w:r>
          </w:p>
        </w:tc>
        <w:tc>
          <w:tcPr>
            <w:tcW w:w="980" w:type="dxa"/>
            <w:vAlign w:val="bottom"/>
          </w:tcPr>
          <w:p>
            <w:pPr>
              <w:jc w:val="center"/>
              <w:spacing w:after="0"/>
              <w:rPr>
                <w:sz w:val="20"/>
                <w:szCs w:val="20"/>
                <w:color w:val="auto"/>
              </w:rPr>
            </w:pPr>
            <w:r>
              <w:rPr>
                <w:rFonts w:ascii="Arial" w:cs="Arial" w:eastAsia="Arial" w:hAnsi="Arial"/>
                <w:sz w:val="16"/>
                <w:szCs w:val="16"/>
                <w:color w:val="auto"/>
                <w:w w:val="96"/>
              </w:rPr>
              <w:t>1.50</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3"/>
              </w:rPr>
              <w:t>15%</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1820" w:type="dxa"/>
            <w:vAlign w:val="bottom"/>
          </w:tcPr>
          <w:p>
            <w:pPr>
              <w:ind w:left="60"/>
              <w:spacing w:after="0" w:line="182" w:lineRule="exact"/>
              <w:rPr>
                <w:sz w:val="20"/>
                <w:szCs w:val="20"/>
                <w:color w:val="auto"/>
              </w:rPr>
            </w:pPr>
            <w:r>
              <w:rPr>
                <w:rFonts w:ascii="Arial" w:cs="Arial" w:eastAsia="Arial" w:hAnsi="Arial"/>
                <w:sz w:val="16"/>
                <w:szCs w:val="16"/>
                <w:color w:val="auto"/>
              </w:rPr>
              <w:t>Target: 86%</w:t>
            </w:r>
          </w:p>
        </w:tc>
        <w:tc>
          <w:tcPr>
            <w:tcW w:w="1460" w:type="dxa"/>
            <w:vAlign w:val="bottom"/>
            <w:vMerge w:val="restart"/>
          </w:tcPr>
          <w:p>
            <w:pPr>
              <w:jc w:val="right"/>
              <w:ind w:right="81"/>
              <w:spacing w:after="0"/>
              <w:rPr>
                <w:sz w:val="20"/>
                <w:szCs w:val="20"/>
                <w:color w:val="auto"/>
              </w:rPr>
            </w:pPr>
            <w:r>
              <w:rPr>
                <w:rFonts w:ascii="Arial" w:cs="Arial" w:eastAsia="Arial" w:hAnsi="Arial"/>
                <w:sz w:val="16"/>
                <w:szCs w:val="16"/>
                <w:i w:val="1"/>
                <w:iCs w:val="1"/>
                <w:color w:val="auto"/>
              </w:rPr>
              <w:t>[maximum]</w:t>
            </w: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60" w:type="dxa"/>
            <w:vAlign w:val="bottom"/>
          </w:tcPr>
          <w:p>
            <w:pPr>
              <w:spacing w:after="0"/>
              <w:rPr>
                <w:sz w:val="12"/>
                <w:szCs w:val="12"/>
                <w:color w:val="auto"/>
              </w:rPr>
            </w:pPr>
          </w:p>
        </w:tc>
        <w:tc>
          <w:tcPr>
            <w:tcW w:w="1820" w:type="dxa"/>
            <w:vAlign w:val="bottom"/>
            <w:vMerge w:val="restart"/>
          </w:tcPr>
          <w:p>
            <w:pPr>
              <w:ind w:left="60"/>
              <w:spacing w:after="0"/>
              <w:rPr>
                <w:sz w:val="20"/>
                <w:szCs w:val="20"/>
                <w:color w:val="auto"/>
              </w:rPr>
            </w:pPr>
            <w:r>
              <w:rPr>
                <w:rFonts w:ascii="Arial" w:cs="Arial" w:eastAsia="Arial" w:hAnsi="Arial"/>
                <w:sz w:val="16"/>
                <w:szCs w:val="16"/>
                <w:color w:val="auto"/>
              </w:rPr>
              <w:t>Maximum: 88%</w:t>
            </w:r>
          </w:p>
        </w:tc>
        <w:tc>
          <w:tcPr>
            <w:tcW w:w="14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60" w:type="dxa"/>
            <w:vAlign w:val="bottom"/>
            <w:tcBorders>
              <w:bottom w:val="single" w:sz="8" w:color="314A72"/>
            </w:tcBorders>
          </w:tcPr>
          <w:p>
            <w:pPr>
              <w:spacing w:after="0"/>
              <w:rPr>
                <w:sz w:val="10"/>
                <w:szCs w:val="10"/>
                <w:color w:val="auto"/>
              </w:rPr>
            </w:pPr>
          </w:p>
        </w:tc>
        <w:tc>
          <w:tcPr>
            <w:tcW w:w="1820" w:type="dxa"/>
            <w:vAlign w:val="bottom"/>
            <w:tcBorders>
              <w:bottom w:val="single" w:sz="8" w:color="314A72"/>
            </w:tcBorders>
          </w:tcPr>
          <w:p>
            <w:pPr>
              <w:spacing w:after="0"/>
              <w:rPr>
                <w:sz w:val="10"/>
                <w:szCs w:val="10"/>
                <w:color w:val="auto"/>
              </w:rPr>
            </w:pPr>
          </w:p>
        </w:tc>
        <w:tc>
          <w:tcPr>
            <w:tcW w:w="1460" w:type="dxa"/>
            <w:vAlign w:val="bottom"/>
            <w:tcBorders>
              <w:bottom w:val="single" w:sz="8" w:color="314A72"/>
            </w:tcBorders>
          </w:tcPr>
          <w:p>
            <w:pPr>
              <w:spacing w:after="0"/>
              <w:rPr>
                <w:sz w:val="10"/>
                <w:szCs w:val="10"/>
                <w:color w:val="auto"/>
              </w:rPr>
            </w:pPr>
          </w:p>
        </w:tc>
        <w:tc>
          <w:tcPr>
            <w:tcW w:w="1020" w:type="dxa"/>
            <w:vAlign w:val="bottom"/>
            <w:tcBorders>
              <w:bottom w:val="single" w:sz="8" w:color="314A72"/>
            </w:tcBorders>
          </w:tcPr>
          <w:p>
            <w:pPr>
              <w:spacing w:after="0"/>
              <w:rPr>
                <w:sz w:val="10"/>
                <w:szCs w:val="10"/>
                <w:color w:val="auto"/>
              </w:rPr>
            </w:pPr>
          </w:p>
        </w:tc>
        <w:tc>
          <w:tcPr>
            <w:tcW w:w="980" w:type="dxa"/>
            <w:vAlign w:val="bottom"/>
            <w:tcBorders>
              <w:bottom w:val="single" w:sz="8" w:color="314A72"/>
            </w:tcBorders>
          </w:tcPr>
          <w:p>
            <w:pPr>
              <w:spacing w:after="0"/>
              <w:rPr>
                <w:sz w:val="10"/>
                <w:szCs w:val="10"/>
                <w:color w:val="auto"/>
              </w:rPr>
            </w:pPr>
          </w:p>
        </w:tc>
        <w:tc>
          <w:tcPr>
            <w:tcW w:w="1420" w:type="dxa"/>
            <w:vAlign w:val="bottom"/>
            <w:tcBorders>
              <w:bottom w:val="single" w:sz="8" w:color="314A72"/>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060" w:type="dxa"/>
            <w:vAlign w:val="bottom"/>
          </w:tcPr>
          <w:p>
            <w:pPr>
              <w:ind w:left="120"/>
              <w:spacing w:after="0"/>
              <w:rPr>
                <w:sz w:val="20"/>
                <w:szCs w:val="20"/>
                <w:color w:val="auto"/>
              </w:rPr>
            </w:pPr>
            <w:r>
              <w:rPr>
                <w:rFonts w:ascii="Arial" w:cs="Arial" w:eastAsia="Arial" w:hAnsi="Arial"/>
                <w:sz w:val="17"/>
                <w:szCs w:val="17"/>
                <w:b w:val="1"/>
                <w:bCs w:val="1"/>
                <w:color w:val="auto"/>
              </w:rPr>
              <w:t>Electric Reliability</w:t>
            </w:r>
          </w:p>
        </w:tc>
        <w:tc>
          <w:tcPr>
            <w:tcW w:w="1820" w:type="dxa"/>
            <w:vAlign w:val="bottom"/>
          </w:tcPr>
          <w:p>
            <w:pPr>
              <w:ind w:left="60"/>
              <w:spacing w:after="0"/>
              <w:rPr>
                <w:sz w:val="20"/>
                <w:szCs w:val="20"/>
                <w:color w:val="auto"/>
              </w:rPr>
            </w:pPr>
            <w:r>
              <w:rPr>
                <w:rFonts w:ascii="Arial" w:cs="Arial" w:eastAsia="Arial" w:hAnsi="Arial"/>
                <w:sz w:val="16"/>
                <w:szCs w:val="16"/>
                <w:color w:val="auto"/>
              </w:rPr>
              <w:t>Threshold: 166 minutes</w:t>
            </w:r>
          </w:p>
        </w:tc>
        <w:tc>
          <w:tcPr>
            <w:tcW w:w="1460" w:type="dxa"/>
            <w:vAlign w:val="bottom"/>
          </w:tcPr>
          <w:p>
            <w:pPr>
              <w:jc w:val="right"/>
              <w:ind w:right="241"/>
              <w:spacing w:after="0"/>
              <w:rPr>
                <w:sz w:val="20"/>
                <w:szCs w:val="20"/>
                <w:color w:val="auto"/>
              </w:rPr>
            </w:pPr>
            <w:r>
              <w:rPr>
                <w:rFonts w:ascii="Arial" w:cs="Arial" w:eastAsia="Arial" w:hAnsi="Arial"/>
                <w:sz w:val="16"/>
                <w:szCs w:val="16"/>
                <w:b w:val="1"/>
                <w:bCs w:val="1"/>
                <w:color w:val="auto"/>
              </w:rPr>
              <w:t>85.23 minutes</w:t>
            </w:r>
          </w:p>
        </w:tc>
        <w:tc>
          <w:tcPr>
            <w:tcW w:w="1020" w:type="dxa"/>
            <w:vAlign w:val="bottom"/>
          </w:tcPr>
          <w:p>
            <w:pPr>
              <w:jc w:val="center"/>
              <w:ind w:right="36"/>
              <w:spacing w:after="0"/>
              <w:rPr>
                <w:sz w:val="20"/>
                <w:szCs w:val="20"/>
                <w:color w:val="auto"/>
              </w:rPr>
            </w:pPr>
            <w:r>
              <w:rPr>
                <w:rFonts w:ascii="Arial" w:cs="Arial" w:eastAsia="Arial" w:hAnsi="Arial"/>
                <w:sz w:val="16"/>
                <w:szCs w:val="16"/>
                <w:color w:val="auto"/>
                <w:w w:val="93"/>
              </w:rPr>
              <w:t>10%</w:t>
            </w:r>
          </w:p>
        </w:tc>
        <w:tc>
          <w:tcPr>
            <w:tcW w:w="980" w:type="dxa"/>
            <w:vAlign w:val="bottom"/>
          </w:tcPr>
          <w:p>
            <w:pPr>
              <w:jc w:val="center"/>
              <w:spacing w:after="0"/>
              <w:rPr>
                <w:sz w:val="20"/>
                <w:szCs w:val="20"/>
                <w:color w:val="auto"/>
              </w:rPr>
            </w:pPr>
            <w:r>
              <w:rPr>
                <w:rFonts w:ascii="Arial" w:cs="Arial" w:eastAsia="Arial" w:hAnsi="Arial"/>
                <w:sz w:val="16"/>
                <w:szCs w:val="16"/>
                <w:color w:val="auto"/>
                <w:w w:val="96"/>
              </w:rPr>
              <w:t>1.50</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3"/>
              </w:rPr>
              <w:t>15%</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1820" w:type="dxa"/>
            <w:vAlign w:val="bottom"/>
          </w:tcPr>
          <w:p>
            <w:pPr>
              <w:ind w:left="60"/>
              <w:spacing w:after="0" w:line="182" w:lineRule="exact"/>
              <w:rPr>
                <w:sz w:val="20"/>
                <w:szCs w:val="20"/>
                <w:color w:val="auto"/>
              </w:rPr>
            </w:pPr>
            <w:r>
              <w:rPr>
                <w:rFonts w:ascii="Arial" w:cs="Arial" w:eastAsia="Arial" w:hAnsi="Arial"/>
                <w:sz w:val="16"/>
                <w:szCs w:val="16"/>
                <w:color w:val="auto"/>
              </w:rPr>
              <w:t>Target: 128 minutes</w:t>
            </w:r>
          </w:p>
        </w:tc>
        <w:tc>
          <w:tcPr>
            <w:tcW w:w="1460" w:type="dxa"/>
            <w:vAlign w:val="bottom"/>
            <w:vMerge w:val="restart"/>
          </w:tcPr>
          <w:p>
            <w:pPr>
              <w:jc w:val="right"/>
              <w:ind w:right="81"/>
              <w:spacing w:after="0"/>
              <w:rPr>
                <w:sz w:val="20"/>
                <w:szCs w:val="20"/>
                <w:color w:val="auto"/>
              </w:rPr>
            </w:pPr>
            <w:r>
              <w:rPr>
                <w:rFonts w:ascii="Arial" w:cs="Arial" w:eastAsia="Arial" w:hAnsi="Arial"/>
                <w:sz w:val="16"/>
                <w:szCs w:val="16"/>
                <w:i w:val="1"/>
                <w:iCs w:val="1"/>
                <w:color w:val="auto"/>
              </w:rPr>
              <w:t>[maximum]</w:t>
            </w: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60" w:type="dxa"/>
            <w:vAlign w:val="bottom"/>
          </w:tcPr>
          <w:p>
            <w:pPr>
              <w:spacing w:after="0"/>
              <w:rPr>
                <w:sz w:val="12"/>
                <w:szCs w:val="12"/>
                <w:color w:val="auto"/>
              </w:rPr>
            </w:pPr>
          </w:p>
        </w:tc>
        <w:tc>
          <w:tcPr>
            <w:tcW w:w="1820" w:type="dxa"/>
            <w:vAlign w:val="bottom"/>
            <w:vMerge w:val="restart"/>
          </w:tcPr>
          <w:p>
            <w:pPr>
              <w:ind w:left="60"/>
              <w:spacing w:after="0"/>
              <w:rPr>
                <w:sz w:val="20"/>
                <w:szCs w:val="20"/>
                <w:color w:val="auto"/>
              </w:rPr>
            </w:pPr>
            <w:r>
              <w:rPr>
                <w:rFonts w:ascii="Arial" w:cs="Arial" w:eastAsia="Arial" w:hAnsi="Arial"/>
                <w:sz w:val="16"/>
                <w:szCs w:val="16"/>
                <w:color w:val="auto"/>
              </w:rPr>
              <w:t>Maximum: 90 minutes</w:t>
            </w:r>
          </w:p>
        </w:tc>
        <w:tc>
          <w:tcPr>
            <w:tcW w:w="14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60" w:type="dxa"/>
            <w:vAlign w:val="bottom"/>
            <w:tcBorders>
              <w:bottom w:val="single" w:sz="8" w:color="314A72"/>
            </w:tcBorders>
          </w:tcPr>
          <w:p>
            <w:pPr>
              <w:spacing w:after="0"/>
              <w:rPr>
                <w:sz w:val="10"/>
                <w:szCs w:val="10"/>
                <w:color w:val="auto"/>
              </w:rPr>
            </w:pPr>
          </w:p>
        </w:tc>
        <w:tc>
          <w:tcPr>
            <w:tcW w:w="1820" w:type="dxa"/>
            <w:vAlign w:val="bottom"/>
            <w:tcBorders>
              <w:bottom w:val="single" w:sz="8" w:color="314A72"/>
            </w:tcBorders>
          </w:tcPr>
          <w:p>
            <w:pPr>
              <w:spacing w:after="0"/>
              <w:rPr>
                <w:sz w:val="10"/>
                <w:szCs w:val="10"/>
                <w:color w:val="auto"/>
              </w:rPr>
            </w:pPr>
          </w:p>
        </w:tc>
        <w:tc>
          <w:tcPr>
            <w:tcW w:w="1460" w:type="dxa"/>
            <w:vAlign w:val="bottom"/>
            <w:tcBorders>
              <w:bottom w:val="single" w:sz="8" w:color="314A72"/>
            </w:tcBorders>
          </w:tcPr>
          <w:p>
            <w:pPr>
              <w:spacing w:after="0"/>
              <w:rPr>
                <w:sz w:val="10"/>
                <w:szCs w:val="10"/>
                <w:color w:val="auto"/>
              </w:rPr>
            </w:pPr>
          </w:p>
        </w:tc>
        <w:tc>
          <w:tcPr>
            <w:tcW w:w="1020" w:type="dxa"/>
            <w:vAlign w:val="bottom"/>
            <w:tcBorders>
              <w:bottom w:val="single" w:sz="8" w:color="314A72"/>
            </w:tcBorders>
          </w:tcPr>
          <w:p>
            <w:pPr>
              <w:spacing w:after="0"/>
              <w:rPr>
                <w:sz w:val="10"/>
                <w:szCs w:val="10"/>
                <w:color w:val="auto"/>
              </w:rPr>
            </w:pPr>
          </w:p>
        </w:tc>
        <w:tc>
          <w:tcPr>
            <w:tcW w:w="980" w:type="dxa"/>
            <w:vAlign w:val="bottom"/>
            <w:tcBorders>
              <w:bottom w:val="single" w:sz="8" w:color="314A72"/>
            </w:tcBorders>
          </w:tcPr>
          <w:p>
            <w:pPr>
              <w:spacing w:after="0"/>
              <w:rPr>
                <w:sz w:val="10"/>
                <w:szCs w:val="10"/>
                <w:color w:val="auto"/>
              </w:rPr>
            </w:pPr>
          </w:p>
        </w:tc>
        <w:tc>
          <w:tcPr>
            <w:tcW w:w="1420" w:type="dxa"/>
            <w:vAlign w:val="bottom"/>
            <w:tcBorders>
              <w:bottom w:val="single" w:sz="8" w:color="314A72"/>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060" w:type="dxa"/>
            <w:vAlign w:val="bottom"/>
          </w:tcPr>
          <w:p>
            <w:pPr>
              <w:ind w:left="120"/>
              <w:spacing w:after="0"/>
              <w:rPr>
                <w:sz w:val="20"/>
                <w:szCs w:val="20"/>
                <w:color w:val="auto"/>
              </w:rPr>
            </w:pPr>
            <w:r>
              <w:rPr>
                <w:rFonts w:ascii="Arial" w:cs="Arial" w:eastAsia="Arial" w:hAnsi="Arial"/>
                <w:sz w:val="17"/>
                <w:szCs w:val="17"/>
                <w:b w:val="1"/>
                <w:bCs w:val="1"/>
                <w:color w:val="auto"/>
              </w:rPr>
              <w:t>Customer Satisfaction</w:t>
            </w:r>
          </w:p>
        </w:tc>
        <w:tc>
          <w:tcPr>
            <w:tcW w:w="1820" w:type="dxa"/>
            <w:vAlign w:val="bottom"/>
          </w:tcPr>
          <w:p>
            <w:pPr>
              <w:ind w:left="60"/>
              <w:spacing w:after="0"/>
              <w:rPr>
                <w:sz w:val="20"/>
                <w:szCs w:val="20"/>
                <w:color w:val="auto"/>
              </w:rPr>
            </w:pPr>
            <w:r>
              <w:rPr>
                <w:rFonts w:ascii="Arial" w:cs="Arial" w:eastAsia="Arial" w:hAnsi="Arial"/>
                <w:sz w:val="16"/>
                <w:szCs w:val="16"/>
                <w:color w:val="auto"/>
              </w:rPr>
              <w:t>Threshold: 78%</w:t>
            </w:r>
          </w:p>
        </w:tc>
        <w:tc>
          <w:tcPr>
            <w:tcW w:w="1460" w:type="dxa"/>
            <w:vAlign w:val="bottom"/>
          </w:tcPr>
          <w:p>
            <w:pPr>
              <w:jc w:val="center"/>
              <w:ind w:right="121"/>
              <w:spacing w:after="0"/>
              <w:rPr>
                <w:sz w:val="20"/>
                <w:szCs w:val="20"/>
                <w:color w:val="auto"/>
              </w:rPr>
            </w:pPr>
            <w:r>
              <w:rPr>
                <w:rFonts w:ascii="Arial" w:cs="Arial" w:eastAsia="Arial" w:hAnsi="Arial"/>
                <w:sz w:val="16"/>
                <w:szCs w:val="16"/>
                <w:b w:val="1"/>
                <w:bCs w:val="1"/>
                <w:color w:val="auto"/>
                <w:w w:val="99"/>
              </w:rPr>
              <w:t>87.00%</w:t>
            </w:r>
          </w:p>
        </w:tc>
        <w:tc>
          <w:tcPr>
            <w:tcW w:w="1020" w:type="dxa"/>
            <w:vAlign w:val="bottom"/>
          </w:tcPr>
          <w:p>
            <w:pPr>
              <w:jc w:val="center"/>
              <w:ind w:right="36"/>
              <w:spacing w:after="0"/>
              <w:rPr>
                <w:sz w:val="20"/>
                <w:szCs w:val="20"/>
                <w:color w:val="auto"/>
              </w:rPr>
            </w:pPr>
            <w:r>
              <w:rPr>
                <w:rFonts w:ascii="Arial" w:cs="Arial" w:eastAsia="Arial" w:hAnsi="Arial"/>
                <w:sz w:val="16"/>
                <w:szCs w:val="16"/>
                <w:color w:val="auto"/>
                <w:w w:val="93"/>
              </w:rPr>
              <w:t>10%</w:t>
            </w:r>
          </w:p>
        </w:tc>
        <w:tc>
          <w:tcPr>
            <w:tcW w:w="980" w:type="dxa"/>
            <w:vAlign w:val="bottom"/>
          </w:tcPr>
          <w:p>
            <w:pPr>
              <w:jc w:val="center"/>
              <w:spacing w:after="0"/>
              <w:rPr>
                <w:sz w:val="20"/>
                <w:szCs w:val="20"/>
                <w:color w:val="auto"/>
              </w:rPr>
            </w:pPr>
            <w:r>
              <w:rPr>
                <w:rFonts w:ascii="Arial" w:cs="Arial" w:eastAsia="Arial" w:hAnsi="Arial"/>
                <w:sz w:val="16"/>
                <w:szCs w:val="16"/>
                <w:color w:val="auto"/>
                <w:w w:val="96"/>
              </w:rPr>
              <w:t>1.40</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3"/>
              </w:rPr>
              <w:t>14%</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1820" w:type="dxa"/>
            <w:vAlign w:val="bottom"/>
          </w:tcPr>
          <w:p>
            <w:pPr>
              <w:ind w:left="60"/>
              <w:spacing w:after="0" w:line="182" w:lineRule="exact"/>
              <w:rPr>
                <w:sz w:val="20"/>
                <w:szCs w:val="20"/>
                <w:color w:val="auto"/>
              </w:rPr>
            </w:pPr>
            <w:r>
              <w:rPr>
                <w:rFonts w:ascii="Arial" w:cs="Arial" w:eastAsia="Arial" w:hAnsi="Arial"/>
                <w:sz w:val="16"/>
                <w:szCs w:val="16"/>
                <w:color w:val="auto"/>
              </w:rPr>
              <w:t>Target: 83%</w:t>
            </w:r>
          </w:p>
        </w:tc>
        <w:tc>
          <w:tcPr>
            <w:tcW w:w="1460" w:type="dxa"/>
            <w:vAlign w:val="bottom"/>
            <w:vMerge w:val="restart"/>
          </w:tcPr>
          <w:p>
            <w:pPr>
              <w:jc w:val="right"/>
              <w:ind w:right="81"/>
              <w:spacing w:after="0"/>
              <w:rPr>
                <w:sz w:val="20"/>
                <w:szCs w:val="20"/>
                <w:color w:val="auto"/>
              </w:rPr>
            </w:pPr>
            <w:r>
              <w:rPr>
                <w:rFonts w:ascii="Arial" w:cs="Arial" w:eastAsia="Arial" w:hAnsi="Arial"/>
                <w:sz w:val="16"/>
                <w:szCs w:val="16"/>
                <w:i w:val="1"/>
                <w:iCs w:val="1"/>
                <w:color w:val="auto"/>
              </w:rPr>
              <w:t>[above target,</w:t>
            </w: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60" w:type="dxa"/>
            <w:vAlign w:val="bottom"/>
          </w:tcPr>
          <w:p>
            <w:pPr>
              <w:spacing w:after="0"/>
              <w:rPr>
                <w:sz w:val="10"/>
                <w:szCs w:val="10"/>
                <w:color w:val="auto"/>
              </w:rPr>
            </w:pPr>
          </w:p>
        </w:tc>
        <w:tc>
          <w:tcPr>
            <w:tcW w:w="1820" w:type="dxa"/>
            <w:vAlign w:val="bottom"/>
            <w:vMerge w:val="restart"/>
          </w:tcPr>
          <w:p>
            <w:pPr>
              <w:ind w:left="60"/>
              <w:spacing w:after="0"/>
              <w:rPr>
                <w:sz w:val="20"/>
                <w:szCs w:val="20"/>
                <w:color w:val="auto"/>
              </w:rPr>
            </w:pPr>
            <w:r>
              <w:rPr>
                <w:rFonts w:ascii="Arial" w:cs="Arial" w:eastAsia="Arial" w:hAnsi="Arial"/>
                <w:sz w:val="16"/>
                <w:szCs w:val="16"/>
                <w:color w:val="auto"/>
              </w:rPr>
              <w:t>Maximum: 88%</w:t>
            </w:r>
          </w:p>
        </w:tc>
        <w:tc>
          <w:tcPr>
            <w:tcW w:w="14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460" w:type="dxa"/>
            <w:vAlign w:val="bottom"/>
            <w:vMerge w:val="restart"/>
          </w:tcPr>
          <w:p>
            <w:pPr>
              <w:jc w:val="right"/>
              <w:ind w:right="81"/>
              <w:spacing w:after="0"/>
              <w:rPr>
                <w:sz w:val="20"/>
                <w:szCs w:val="20"/>
                <w:color w:val="auto"/>
              </w:rPr>
            </w:pPr>
            <w:r>
              <w:rPr>
                <w:rFonts w:ascii="Arial" w:cs="Arial" w:eastAsia="Arial" w:hAnsi="Arial"/>
                <w:sz w:val="16"/>
                <w:szCs w:val="16"/>
                <w:i w:val="1"/>
                <w:iCs w:val="1"/>
                <w:color w:val="auto"/>
              </w:rPr>
              <w:t>below maximum]</w:t>
            </w:r>
          </w:p>
        </w:tc>
        <w:tc>
          <w:tcPr>
            <w:tcW w:w="1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60" w:type="dxa"/>
            <w:vAlign w:val="bottom"/>
            <w:tcBorders>
              <w:bottom w:val="single" w:sz="8" w:color="314A72"/>
            </w:tcBorders>
          </w:tcPr>
          <w:p>
            <w:pPr>
              <w:spacing w:after="0"/>
              <w:rPr>
                <w:sz w:val="10"/>
                <w:szCs w:val="10"/>
                <w:color w:val="auto"/>
              </w:rPr>
            </w:pPr>
          </w:p>
        </w:tc>
        <w:tc>
          <w:tcPr>
            <w:tcW w:w="1820" w:type="dxa"/>
            <w:vAlign w:val="bottom"/>
            <w:tcBorders>
              <w:bottom w:val="single" w:sz="8" w:color="314A72"/>
            </w:tcBorders>
          </w:tcPr>
          <w:p>
            <w:pPr>
              <w:spacing w:after="0"/>
              <w:rPr>
                <w:sz w:val="10"/>
                <w:szCs w:val="10"/>
                <w:color w:val="auto"/>
              </w:rPr>
            </w:pPr>
          </w:p>
        </w:tc>
        <w:tc>
          <w:tcPr>
            <w:tcW w:w="1460" w:type="dxa"/>
            <w:vAlign w:val="bottom"/>
            <w:tcBorders>
              <w:bottom w:val="single" w:sz="8" w:color="314A72"/>
            </w:tcBorders>
            <w:vMerge w:val="continue"/>
          </w:tcPr>
          <w:p>
            <w:pPr>
              <w:spacing w:after="0"/>
              <w:rPr>
                <w:sz w:val="10"/>
                <w:szCs w:val="10"/>
                <w:color w:val="auto"/>
              </w:rPr>
            </w:pPr>
          </w:p>
        </w:tc>
        <w:tc>
          <w:tcPr>
            <w:tcW w:w="1020" w:type="dxa"/>
            <w:vAlign w:val="bottom"/>
            <w:tcBorders>
              <w:bottom w:val="single" w:sz="8" w:color="314A72"/>
            </w:tcBorders>
          </w:tcPr>
          <w:p>
            <w:pPr>
              <w:spacing w:after="0"/>
              <w:rPr>
                <w:sz w:val="10"/>
                <w:szCs w:val="10"/>
                <w:color w:val="auto"/>
              </w:rPr>
            </w:pPr>
          </w:p>
        </w:tc>
        <w:tc>
          <w:tcPr>
            <w:tcW w:w="980" w:type="dxa"/>
            <w:vAlign w:val="bottom"/>
            <w:tcBorders>
              <w:bottom w:val="single" w:sz="8" w:color="314A72"/>
            </w:tcBorders>
          </w:tcPr>
          <w:p>
            <w:pPr>
              <w:spacing w:after="0"/>
              <w:rPr>
                <w:sz w:val="10"/>
                <w:szCs w:val="10"/>
                <w:color w:val="auto"/>
              </w:rPr>
            </w:pPr>
          </w:p>
        </w:tc>
        <w:tc>
          <w:tcPr>
            <w:tcW w:w="1420" w:type="dxa"/>
            <w:vAlign w:val="bottom"/>
            <w:tcBorders>
              <w:bottom w:val="single" w:sz="8" w:color="314A72"/>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060" w:type="dxa"/>
            <w:vAlign w:val="bottom"/>
          </w:tcPr>
          <w:p>
            <w:pPr>
              <w:ind w:left="120"/>
              <w:spacing w:after="0"/>
              <w:rPr>
                <w:sz w:val="20"/>
                <w:szCs w:val="20"/>
                <w:color w:val="auto"/>
              </w:rPr>
            </w:pPr>
            <w:r>
              <w:rPr>
                <w:rFonts w:ascii="Arial" w:cs="Arial" w:eastAsia="Arial" w:hAnsi="Arial"/>
                <w:sz w:val="17"/>
                <w:szCs w:val="17"/>
                <w:b w:val="1"/>
                <w:bCs w:val="1"/>
                <w:color w:val="auto"/>
              </w:rPr>
              <w:t>Cost Per Customer</w:t>
            </w:r>
          </w:p>
        </w:tc>
        <w:tc>
          <w:tcPr>
            <w:tcW w:w="1820" w:type="dxa"/>
            <w:vAlign w:val="bottom"/>
          </w:tcPr>
          <w:p>
            <w:pPr>
              <w:ind w:left="60"/>
              <w:spacing w:after="0"/>
              <w:rPr>
                <w:sz w:val="20"/>
                <w:szCs w:val="20"/>
                <w:color w:val="auto"/>
              </w:rPr>
            </w:pPr>
            <w:r>
              <w:rPr>
                <w:rFonts w:ascii="Arial" w:cs="Arial" w:eastAsia="Arial" w:hAnsi="Arial"/>
                <w:sz w:val="16"/>
                <w:szCs w:val="16"/>
                <w:b w:val="1"/>
                <w:bCs w:val="1"/>
                <w:color w:val="auto"/>
              </w:rPr>
              <w:t>Electric</w:t>
            </w:r>
          </w:p>
        </w:tc>
        <w:tc>
          <w:tcPr>
            <w:tcW w:w="1460" w:type="dxa"/>
            <w:vAlign w:val="bottom"/>
          </w:tcPr>
          <w:p>
            <w:pPr>
              <w:jc w:val="center"/>
              <w:ind w:right="101"/>
              <w:spacing w:after="0"/>
              <w:rPr>
                <w:sz w:val="20"/>
                <w:szCs w:val="20"/>
                <w:color w:val="auto"/>
              </w:rPr>
            </w:pPr>
            <w:r>
              <w:rPr>
                <w:rFonts w:ascii="Arial" w:cs="Arial" w:eastAsia="Arial" w:hAnsi="Arial"/>
                <w:sz w:val="16"/>
                <w:szCs w:val="16"/>
                <w:b w:val="1"/>
                <w:bCs w:val="1"/>
                <w:color w:val="auto"/>
                <w:w w:val="96"/>
              </w:rPr>
              <w:t>$351.41</w:t>
            </w:r>
          </w:p>
        </w:tc>
        <w:tc>
          <w:tcPr>
            <w:tcW w:w="1020" w:type="dxa"/>
            <w:vAlign w:val="bottom"/>
          </w:tcPr>
          <w:p>
            <w:pPr>
              <w:jc w:val="center"/>
              <w:ind w:right="36"/>
              <w:spacing w:after="0"/>
              <w:rPr>
                <w:sz w:val="20"/>
                <w:szCs w:val="20"/>
                <w:color w:val="auto"/>
              </w:rPr>
            </w:pPr>
            <w:r>
              <w:rPr>
                <w:rFonts w:ascii="Arial" w:cs="Arial" w:eastAsia="Arial" w:hAnsi="Arial"/>
                <w:sz w:val="16"/>
                <w:szCs w:val="16"/>
                <w:color w:val="auto"/>
                <w:w w:val="93"/>
              </w:rPr>
              <w:t>15%</w:t>
            </w:r>
          </w:p>
        </w:tc>
        <w:tc>
          <w:tcPr>
            <w:tcW w:w="980" w:type="dxa"/>
            <w:vAlign w:val="bottom"/>
          </w:tcPr>
          <w:p>
            <w:pPr>
              <w:jc w:val="center"/>
              <w:spacing w:after="0"/>
              <w:rPr>
                <w:sz w:val="20"/>
                <w:szCs w:val="20"/>
                <w:color w:val="auto"/>
              </w:rPr>
            </w:pPr>
            <w:r>
              <w:rPr>
                <w:rFonts w:ascii="Arial" w:cs="Arial" w:eastAsia="Arial" w:hAnsi="Arial"/>
                <w:sz w:val="16"/>
                <w:szCs w:val="16"/>
                <w:color w:val="auto"/>
                <w:w w:val="96"/>
              </w:rPr>
              <w:t>0.77</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3"/>
              </w:rPr>
              <w:t>12%</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1820" w:type="dxa"/>
            <w:vAlign w:val="bottom"/>
          </w:tcPr>
          <w:p>
            <w:pPr>
              <w:ind w:left="60"/>
              <w:spacing w:after="0" w:line="182" w:lineRule="exact"/>
              <w:rPr>
                <w:sz w:val="20"/>
                <w:szCs w:val="20"/>
                <w:color w:val="auto"/>
              </w:rPr>
            </w:pPr>
            <w:r>
              <w:rPr>
                <w:rFonts w:ascii="Arial" w:cs="Arial" w:eastAsia="Arial" w:hAnsi="Arial"/>
                <w:sz w:val="16"/>
                <w:szCs w:val="16"/>
                <w:color w:val="auto"/>
              </w:rPr>
              <w:t>Threshold: $358</w:t>
            </w:r>
          </w:p>
        </w:tc>
        <w:tc>
          <w:tcPr>
            <w:tcW w:w="1460" w:type="dxa"/>
            <w:vAlign w:val="bottom"/>
            <w:vMerge w:val="restart"/>
          </w:tcPr>
          <w:p>
            <w:pPr>
              <w:jc w:val="right"/>
              <w:ind w:right="81"/>
              <w:spacing w:after="0"/>
              <w:rPr>
                <w:sz w:val="20"/>
                <w:szCs w:val="20"/>
                <w:color w:val="auto"/>
              </w:rPr>
            </w:pPr>
            <w:r>
              <w:rPr>
                <w:rFonts w:ascii="Arial" w:cs="Arial" w:eastAsia="Arial" w:hAnsi="Arial"/>
                <w:sz w:val="16"/>
                <w:szCs w:val="16"/>
                <w:i w:val="1"/>
                <w:iCs w:val="1"/>
                <w:color w:val="auto"/>
              </w:rPr>
              <w:t>[above target,</w:t>
            </w: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60" w:type="dxa"/>
            <w:vAlign w:val="bottom"/>
          </w:tcPr>
          <w:p>
            <w:pPr>
              <w:spacing w:after="0"/>
              <w:rPr>
                <w:sz w:val="10"/>
                <w:szCs w:val="10"/>
                <w:color w:val="auto"/>
              </w:rPr>
            </w:pPr>
          </w:p>
        </w:tc>
        <w:tc>
          <w:tcPr>
            <w:tcW w:w="1820" w:type="dxa"/>
            <w:vAlign w:val="bottom"/>
            <w:vMerge w:val="restart"/>
          </w:tcPr>
          <w:p>
            <w:pPr>
              <w:ind w:left="60"/>
              <w:spacing w:after="0" w:line="182" w:lineRule="exact"/>
              <w:rPr>
                <w:sz w:val="20"/>
                <w:szCs w:val="20"/>
                <w:color w:val="auto"/>
              </w:rPr>
            </w:pPr>
            <w:r>
              <w:rPr>
                <w:rFonts w:ascii="Arial" w:cs="Arial" w:eastAsia="Arial" w:hAnsi="Arial"/>
                <w:sz w:val="16"/>
                <w:szCs w:val="16"/>
                <w:color w:val="auto"/>
              </w:rPr>
              <w:t>Target: $346</w:t>
            </w:r>
          </w:p>
        </w:tc>
        <w:tc>
          <w:tcPr>
            <w:tcW w:w="14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vMerge w:val="restart"/>
          </w:tcPr>
          <w:p>
            <w:pPr>
              <w:jc w:val="right"/>
              <w:ind w:right="81"/>
              <w:spacing w:after="0"/>
              <w:rPr>
                <w:sz w:val="20"/>
                <w:szCs w:val="20"/>
                <w:color w:val="auto"/>
              </w:rPr>
            </w:pPr>
            <w:r>
              <w:rPr>
                <w:rFonts w:ascii="Arial" w:cs="Arial" w:eastAsia="Arial" w:hAnsi="Arial"/>
                <w:sz w:val="16"/>
                <w:szCs w:val="16"/>
                <w:i w:val="1"/>
                <w:iCs w:val="1"/>
                <w:color w:val="auto"/>
              </w:rPr>
              <w:t>below threshold]</w:t>
            </w: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60" w:type="dxa"/>
            <w:vAlign w:val="bottom"/>
          </w:tcPr>
          <w:p>
            <w:pPr>
              <w:spacing w:after="0"/>
              <w:rPr>
                <w:sz w:val="12"/>
                <w:szCs w:val="12"/>
                <w:color w:val="auto"/>
              </w:rPr>
            </w:pPr>
          </w:p>
        </w:tc>
        <w:tc>
          <w:tcPr>
            <w:tcW w:w="1820" w:type="dxa"/>
            <w:vAlign w:val="bottom"/>
            <w:vMerge w:val="restart"/>
          </w:tcPr>
          <w:p>
            <w:pPr>
              <w:ind w:left="60"/>
              <w:spacing w:after="0"/>
              <w:rPr>
                <w:sz w:val="20"/>
                <w:szCs w:val="20"/>
                <w:color w:val="auto"/>
              </w:rPr>
            </w:pPr>
            <w:r>
              <w:rPr>
                <w:rFonts w:ascii="Arial" w:cs="Arial" w:eastAsia="Arial" w:hAnsi="Arial"/>
                <w:sz w:val="16"/>
                <w:szCs w:val="16"/>
                <w:color w:val="auto"/>
              </w:rPr>
              <w:t>Maximum: $334</w:t>
            </w:r>
          </w:p>
        </w:tc>
        <w:tc>
          <w:tcPr>
            <w:tcW w:w="14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60" w:type="dxa"/>
            <w:vAlign w:val="bottom"/>
            <w:tcBorders>
              <w:bottom w:val="single" w:sz="8" w:color="314A72"/>
            </w:tcBorders>
          </w:tcPr>
          <w:p>
            <w:pPr>
              <w:spacing w:after="0"/>
              <w:rPr>
                <w:sz w:val="10"/>
                <w:szCs w:val="10"/>
                <w:color w:val="auto"/>
              </w:rPr>
            </w:pPr>
          </w:p>
        </w:tc>
        <w:tc>
          <w:tcPr>
            <w:tcW w:w="1820" w:type="dxa"/>
            <w:vAlign w:val="bottom"/>
            <w:tcBorders>
              <w:bottom w:val="single" w:sz="8" w:color="314A72"/>
            </w:tcBorders>
          </w:tcPr>
          <w:p>
            <w:pPr>
              <w:spacing w:after="0"/>
              <w:rPr>
                <w:sz w:val="10"/>
                <w:szCs w:val="10"/>
                <w:color w:val="auto"/>
              </w:rPr>
            </w:pPr>
          </w:p>
        </w:tc>
        <w:tc>
          <w:tcPr>
            <w:tcW w:w="1460" w:type="dxa"/>
            <w:vAlign w:val="bottom"/>
            <w:tcBorders>
              <w:bottom w:val="single" w:sz="8" w:color="314A72"/>
            </w:tcBorders>
          </w:tcPr>
          <w:p>
            <w:pPr>
              <w:spacing w:after="0"/>
              <w:rPr>
                <w:sz w:val="10"/>
                <w:szCs w:val="10"/>
                <w:color w:val="auto"/>
              </w:rPr>
            </w:pPr>
          </w:p>
        </w:tc>
        <w:tc>
          <w:tcPr>
            <w:tcW w:w="1020" w:type="dxa"/>
            <w:vAlign w:val="bottom"/>
            <w:tcBorders>
              <w:bottom w:val="single" w:sz="8" w:color="314A72"/>
            </w:tcBorders>
          </w:tcPr>
          <w:p>
            <w:pPr>
              <w:spacing w:after="0"/>
              <w:rPr>
                <w:sz w:val="10"/>
                <w:szCs w:val="10"/>
                <w:color w:val="auto"/>
              </w:rPr>
            </w:pPr>
          </w:p>
        </w:tc>
        <w:tc>
          <w:tcPr>
            <w:tcW w:w="980" w:type="dxa"/>
            <w:vAlign w:val="bottom"/>
            <w:tcBorders>
              <w:bottom w:val="single" w:sz="8" w:color="314A72"/>
            </w:tcBorders>
          </w:tcPr>
          <w:p>
            <w:pPr>
              <w:spacing w:after="0"/>
              <w:rPr>
                <w:sz w:val="10"/>
                <w:szCs w:val="10"/>
                <w:color w:val="auto"/>
              </w:rPr>
            </w:pPr>
          </w:p>
        </w:tc>
        <w:tc>
          <w:tcPr>
            <w:tcW w:w="1420" w:type="dxa"/>
            <w:vAlign w:val="bottom"/>
            <w:tcBorders>
              <w:bottom w:val="single" w:sz="8" w:color="314A72"/>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060" w:type="dxa"/>
            <w:vAlign w:val="bottom"/>
          </w:tcPr>
          <w:p>
            <w:pPr>
              <w:spacing w:after="0"/>
              <w:rPr>
                <w:sz w:val="22"/>
                <w:szCs w:val="22"/>
                <w:color w:val="auto"/>
              </w:rPr>
            </w:pPr>
          </w:p>
        </w:tc>
        <w:tc>
          <w:tcPr>
            <w:tcW w:w="1820" w:type="dxa"/>
            <w:vAlign w:val="bottom"/>
          </w:tcPr>
          <w:p>
            <w:pPr>
              <w:ind w:left="60"/>
              <w:spacing w:after="0"/>
              <w:rPr>
                <w:sz w:val="20"/>
                <w:szCs w:val="20"/>
                <w:color w:val="auto"/>
              </w:rPr>
            </w:pPr>
            <w:r>
              <w:rPr>
                <w:rFonts w:ascii="Arial" w:cs="Arial" w:eastAsia="Arial" w:hAnsi="Arial"/>
                <w:sz w:val="16"/>
                <w:szCs w:val="16"/>
                <w:b w:val="1"/>
                <w:bCs w:val="1"/>
                <w:color w:val="auto"/>
              </w:rPr>
              <w:t>Gas</w:t>
            </w:r>
          </w:p>
        </w:tc>
        <w:tc>
          <w:tcPr>
            <w:tcW w:w="1460" w:type="dxa"/>
            <w:vAlign w:val="bottom"/>
          </w:tcPr>
          <w:p>
            <w:pPr>
              <w:jc w:val="center"/>
              <w:ind w:right="101"/>
              <w:spacing w:after="0"/>
              <w:rPr>
                <w:sz w:val="20"/>
                <w:szCs w:val="20"/>
                <w:color w:val="auto"/>
              </w:rPr>
            </w:pPr>
            <w:r>
              <w:rPr>
                <w:rFonts w:ascii="Arial" w:cs="Arial" w:eastAsia="Arial" w:hAnsi="Arial"/>
                <w:sz w:val="16"/>
                <w:szCs w:val="16"/>
                <w:b w:val="1"/>
                <w:bCs w:val="1"/>
                <w:color w:val="auto"/>
                <w:w w:val="96"/>
              </w:rPr>
              <w:t>$458.28</w:t>
            </w:r>
          </w:p>
        </w:tc>
        <w:tc>
          <w:tcPr>
            <w:tcW w:w="1020" w:type="dxa"/>
            <w:vAlign w:val="bottom"/>
          </w:tcPr>
          <w:p>
            <w:pPr>
              <w:jc w:val="center"/>
              <w:ind w:right="36"/>
              <w:spacing w:after="0"/>
              <w:rPr>
                <w:sz w:val="20"/>
                <w:szCs w:val="20"/>
                <w:color w:val="auto"/>
              </w:rPr>
            </w:pPr>
            <w:r>
              <w:rPr>
                <w:rFonts w:ascii="Arial" w:cs="Arial" w:eastAsia="Arial" w:hAnsi="Arial"/>
                <w:sz w:val="16"/>
                <w:szCs w:val="16"/>
                <w:color w:val="auto"/>
                <w:w w:val="93"/>
              </w:rPr>
              <w:t>15%</w:t>
            </w:r>
          </w:p>
        </w:tc>
        <w:tc>
          <w:tcPr>
            <w:tcW w:w="980" w:type="dxa"/>
            <w:vAlign w:val="bottom"/>
          </w:tcPr>
          <w:p>
            <w:pPr>
              <w:jc w:val="center"/>
              <w:spacing w:after="0"/>
              <w:rPr>
                <w:sz w:val="20"/>
                <w:szCs w:val="20"/>
                <w:color w:val="auto"/>
              </w:rPr>
            </w:pPr>
            <w:r>
              <w:rPr>
                <w:rFonts w:ascii="Arial" w:cs="Arial" w:eastAsia="Arial" w:hAnsi="Arial"/>
                <w:sz w:val="16"/>
                <w:szCs w:val="16"/>
                <w:color w:val="auto"/>
                <w:w w:val="96"/>
              </w:rPr>
              <w:t>1.50</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3"/>
              </w:rPr>
              <w:t>23%</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1820" w:type="dxa"/>
            <w:vAlign w:val="bottom"/>
          </w:tcPr>
          <w:p>
            <w:pPr>
              <w:ind w:left="60"/>
              <w:spacing w:after="0" w:line="182" w:lineRule="exact"/>
              <w:rPr>
                <w:sz w:val="20"/>
                <w:szCs w:val="20"/>
                <w:color w:val="auto"/>
              </w:rPr>
            </w:pPr>
            <w:r>
              <w:rPr>
                <w:rFonts w:ascii="Arial" w:cs="Arial" w:eastAsia="Arial" w:hAnsi="Arial"/>
                <w:sz w:val="16"/>
                <w:szCs w:val="16"/>
                <w:color w:val="auto"/>
              </w:rPr>
              <w:t>Threshold: $501</w:t>
            </w:r>
          </w:p>
        </w:tc>
        <w:tc>
          <w:tcPr>
            <w:tcW w:w="1460" w:type="dxa"/>
            <w:vAlign w:val="bottom"/>
            <w:vMerge w:val="restart"/>
          </w:tcPr>
          <w:p>
            <w:pPr>
              <w:jc w:val="right"/>
              <w:ind w:right="81"/>
              <w:spacing w:after="0"/>
              <w:rPr>
                <w:sz w:val="20"/>
                <w:szCs w:val="20"/>
                <w:color w:val="auto"/>
              </w:rPr>
            </w:pPr>
            <w:r>
              <w:rPr>
                <w:rFonts w:ascii="Arial" w:cs="Arial" w:eastAsia="Arial" w:hAnsi="Arial"/>
                <w:sz w:val="16"/>
                <w:szCs w:val="16"/>
                <w:i w:val="1"/>
                <w:iCs w:val="1"/>
                <w:color w:val="auto"/>
              </w:rPr>
              <w:t>[maximum]</w:t>
            </w: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60" w:type="dxa"/>
            <w:vAlign w:val="bottom"/>
          </w:tcPr>
          <w:p>
            <w:pPr>
              <w:spacing w:after="0"/>
              <w:rPr>
                <w:sz w:val="12"/>
                <w:szCs w:val="12"/>
                <w:color w:val="auto"/>
              </w:rPr>
            </w:pPr>
          </w:p>
        </w:tc>
        <w:tc>
          <w:tcPr>
            <w:tcW w:w="1820" w:type="dxa"/>
            <w:vAlign w:val="bottom"/>
            <w:vMerge w:val="restart"/>
          </w:tcPr>
          <w:p>
            <w:pPr>
              <w:ind w:left="60"/>
              <w:spacing w:after="0" w:line="182" w:lineRule="exact"/>
              <w:rPr>
                <w:sz w:val="20"/>
                <w:szCs w:val="20"/>
                <w:color w:val="auto"/>
              </w:rPr>
            </w:pPr>
            <w:r>
              <w:rPr>
                <w:rFonts w:ascii="Arial" w:cs="Arial" w:eastAsia="Arial" w:hAnsi="Arial"/>
                <w:sz w:val="16"/>
                <w:szCs w:val="16"/>
                <w:color w:val="auto"/>
              </w:rPr>
              <w:t>Target: $486</w:t>
            </w:r>
          </w:p>
        </w:tc>
        <w:tc>
          <w:tcPr>
            <w:tcW w:w="14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6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1820" w:type="dxa"/>
            <w:vAlign w:val="bottom"/>
          </w:tcPr>
          <w:p>
            <w:pPr>
              <w:ind w:left="60"/>
              <w:spacing w:after="0"/>
              <w:rPr>
                <w:sz w:val="20"/>
                <w:szCs w:val="20"/>
                <w:color w:val="auto"/>
              </w:rPr>
            </w:pPr>
            <w:r>
              <w:rPr>
                <w:rFonts w:ascii="Arial" w:cs="Arial" w:eastAsia="Arial" w:hAnsi="Arial"/>
                <w:sz w:val="16"/>
                <w:szCs w:val="16"/>
                <w:color w:val="auto"/>
              </w:rPr>
              <w:t>Maximum: $472</w:t>
            </w: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60" w:type="dxa"/>
            <w:vAlign w:val="bottom"/>
            <w:tcBorders>
              <w:bottom w:val="single" w:sz="8" w:color="314A72"/>
            </w:tcBorders>
          </w:tcPr>
          <w:p>
            <w:pPr>
              <w:spacing w:after="0"/>
              <w:rPr>
                <w:sz w:val="10"/>
                <w:szCs w:val="10"/>
                <w:color w:val="auto"/>
              </w:rPr>
            </w:pPr>
          </w:p>
        </w:tc>
        <w:tc>
          <w:tcPr>
            <w:tcW w:w="1820" w:type="dxa"/>
            <w:vAlign w:val="bottom"/>
            <w:tcBorders>
              <w:bottom w:val="single" w:sz="8" w:color="314A72"/>
            </w:tcBorders>
          </w:tcPr>
          <w:p>
            <w:pPr>
              <w:spacing w:after="0"/>
              <w:rPr>
                <w:sz w:val="10"/>
                <w:szCs w:val="10"/>
                <w:color w:val="auto"/>
              </w:rPr>
            </w:pPr>
          </w:p>
        </w:tc>
        <w:tc>
          <w:tcPr>
            <w:tcW w:w="1460" w:type="dxa"/>
            <w:vAlign w:val="bottom"/>
            <w:tcBorders>
              <w:bottom w:val="single" w:sz="8" w:color="314A72"/>
            </w:tcBorders>
          </w:tcPr>
          <w:p>
            <w:pPr>
              <w:spacing w:after="0"/>
              <w:rPr>
                <w:sz w:val="10"/>
                <w:szCs w:val="10"/>
                <w:color w:val="auto"/>
              </w:rPr>
            </w:pPr>
          </w:p>
        </w:tc>
        <w:tc>
          <w:tcPr>
            <w:tcW w:w="1020" w:type="dxa"/>
            <w:vAlign w:val="bottom"/>
            <w:tcBorders>
              <w:bottom w:val="single" w:sz="8" w:color="314A72"/>
            </w:tcBorders>
          </w:tcPr>
          <w:p>
            <w:pPr>
              <w:spacing w:after="0"/>
              <w:rPr>
                <w:sz w:val="10"/>
                <w:szCs w:val="10"/>
                <w:color w:val="auto"/>
              </w:rPr>
            </w:pPr>
          </w:p>
        </w:tc>
        <w:tc>
          <w:tcPr>
            <w:tcW w:w="980" w:type="dxa"/>
            <w:vAlign w:val="bottom"/>
            <w:tcBorders>
              <w:bottom w:val="single" w:sz="8" w:color="314A72"/>
            </w:tcBorders>
          </w:tcPr>
          <w:p>
            <w:pPr>
              <w:spacing w:after="0"/>
              <w:rPr>
                <w:sz w:val="10"/>
                <w:szCs w:val="10"/>
                <w:color w:val="auto"/>
              </w:rPr>
            </w:pPr>
          </w:p>
        </w:tc>
        <w:tc>
          <w:tcPr>
            <w:tcW w:w="1420" w:type="dxa"/>
            <w:vAlign w:val="bottom"/>
            <w:tcBorders>
              <w:bottom w:val="single" w:sz="8" w:color="314A72"/>
            </w:tcBorders>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2060" w:type="dxa"/>
            <w:vAlign w:val="bottom"/>
            <w:tcBorders>
              <w:bottom w:val="single" w:sz="8" w:color="314A72"/>
            </w:tcBorders>
          </w:tcPr>
          <w:p>
            <w:pPr>
              <w:ind w:left="200"/>
              <w:spacing w:after="0"/>
              <w:rPr>
                <w:sz w:val="20"/>
                <w:szCs w:val="20"/>
                <w:color w:val="auto"/>
              </w:rPr>
            </w:pPr>
            <w:r>
              <w:rPr>
                <w:rFonts w:ascii="Arial" w:cs="Arial" w:eastAsia="Arial" w:hAnsi="Arial"/>
                <w:sz w:val="19"/>
                <w:szCs w:val="19"/>
                <w:b w:val="1"/>
                <w:bCs w:val="1"/>
                <w:color w:val="auto"/>
              </w:rPr>
              <w:t>TOTAL</w:t>
            </w:r>
          </w:p>
        </w:tc>
        <w:tc>
          <w:tcPr>
            <w:tcW w:w="1820" w:type="dxa"/>
            <w:vAlign w:val="bottom"/>
            <w:tcBorders>
              <w:bottom w:val="single" w:sz="8" w:color="314A72"/>
            </w:tcBorders>
          </w:tcPr>
          <w:p>
            <w:pPr>
              <w:spacing w:after="0"/>
              <w:rPr>
                <w:sz w:val="24"/>
                <w:szCs w:val="24"/>
                <w:color w:val="auto"/>
              </w:rPr>
            </w:pPr>
          </w:p>
        </w:tc>
        <w:tc>
          <w:tcPr>
            <w:tcW w:w="1460" w:type="dxa"/>
            <w:vAlign w:val="bottom"/>
            <w:tcBorders>
              <w:bottom w:val="single" w:sz="8" w:color="314A72"/>
            </w:tcBorders>
          </w:tcPr>
          <w:p>
            <w:pPr>
              <w:spacing w:after="0"/>
              <w:rPr>
                <w:sz w:val="24"/>
                <w:szCs w:val="24"/>
                <w:color w:val="auto"/>
              </w:rPr>
            </w:pPr>
          </w:p>
        </w:tc>
        <w:tc>
          <w:tcPr>
            <w:tcW w:w="1020" w:type="dxa"/>
            <w:vAlign w:val="bottom"/>
            <w:tcBorders>
              <w:bottom w:val="single" w:sz="8" w:color="314A72"/>
            </w:tcBorders>
          </w:tcPr>
          <w:p>
            <w:pPr>
              <w:jc w:val="center"/>
              <w:ind w:right="16"/>
              <w:spacing w:after="0"/>
              <w:rPr>
                <w:sz w:val="20"/>
                <w:szCs w:val="20"/>
                <w:color w:val="auto"/>
              </w:rPr>
            </w:pPr>
            <w:r>
              <w:rPr>
                <w:rFonts w:ascii="Arial" w:cs="Arial" w:eastAsia="Arial" w:hAnsi="Arial"/>
                <w:sz w:val="19"/>
                <w:szCs w:val="19"/>
                <w:b w:val="1"/>
                <w:bCs w:val="1"/>
                <w:color w:val="auto"/>
                <w:w w:val="98"/>
              </w:rPr>
              <w:t>100%</w:t>
            </w:r>
          </w:p>
        </w:tc>
        <w:tc>
          <w:tcPr>
            <w:tcW w:w="980" w:type="dxa"/>
            <w:vAlign w:val="bottom"/>
            <w:tcBorders>
              <w:bottom w:val="single" w:sz="8" w:color="314A72"/>
            </w:tcBorders>
          </w:tcPr>
          <w:p>
            <w:pPr>
              <w:spacing w:after="0"/>
              <w:rPr>
                <w:sz w:val="24"/>
                <w:szCs w:val="24"/>
                <w:color w:val="auto"/>
              </w:rPr>
            </w:pPr>
          </w:p>
        </w:tc>
        <w:tc>
          <w:tcPr>
            <w:tcW w:w="1420" w:type="dxa"/>
            <w:vAlign w:val="bottom"/>
            <w:tcBorders>
              <w:bottom w:val="single" w:sz="8" w:color="314A72"/>
            </w:tcBorders>
          </w:tcPr>
          <w:p>
            <w:pPr>
              <w:jc w:val="center"/>
              <w:spacing w:after="0"/>
              <w:rPr>
                <w:sz w:val="20"/>
                <w:szCs w:val="20"/>
                <w:color w:val="auto"/>
              </w:rPr>
            </w:pPr>
            <w:r>
              <w:rPr>
                <w:rFonts w:ascii="Arial" w:cs="Arial" w:eastAsia="Arial" w:hAnsi="Arial"/>
                <w:sz w:val="19"/>
                <w:szCs w:val="19"/>
                <w:b w:val="1"/>
                <w:bCs w:val="1"/>
                <w:color w:val="auto"/>
                <w:w w:val="98"/>
              </w:rPr>
              <w:t>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-3539490</wp:posOffset>
            </wp:positionV>
            <wp:extent cx="1303655" cy="33254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03655" cy="3325495"/>
                    </a:xfrm>
                    <a:prstGeom prst="rect">
                      <a:avLst/>
                    </a:prstGeom>
                    <a:noFill/>
                  </pic:spPr>
                </pic:pic>
              </a:graphicData>
            </a:graphic>
          </wp:anchor>
        </w:drawing>
      </w:r>
    </w:p>
    <w:p>
      <w:pPr>
        <w:spacing w:after="0" w:line="162" w:lineRule="exact"/>
        <w:rPr>
          <w:sz w:val="20"/>
          <w:szCs w:val="20"/>
          <w:color w:val="auto"/>
        </w:rPr>
      </w:pPr>
    </w:p>
    <w:p>
      <w:pPr>
        <w:ind w:left="640" w:right="60"/>
        <w:spacing w:after="0" w:line="248" w:lineRule="auto"/>
        <w:rPr>
          <w:sz w:val="20"/>
          <w:szCs w:val="20"/>
          <w:color w:val="auto"/>
        </w:rPr>
      </w:pPr>
      <w:r>
        <w:rPr>
          <w:rFonts w:ascii="Arial" w:cs="Arial" w:eastAsia="Arial" w:hAnsi="Arial"/>
          <w:sz w:val="21"/>
          <w:szCs w:val="21"/>
          <w:color w:val="auto"/>
        </w:rPr>
        <w:t xml:space="preserve">The Total Weighted Performance Factor of 137% for 2025 indicates the payout percentage relative to Target used to calculate the actual cash awards for Management Incentive Plan participants using the applicable formula described in the section entitled </w:t>
      </w:r>
      <w:r>
        <w:rPr>
          <w:rFonts w:ascii="Arial" w:cs="Arial" w:eastAsia="Arial" w:hAnsi="Arial"/>
          <w:sz w:val="21"/>
          <w:szCs w:val="21"/>
          <w:i w:val="1"/>
          <w:iCs w:val="1"/>
          <w:color w:val="auto"/>
        </w:rPr>
        <w:t>Incentive Compensation Formulas</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77470</wp:posOffset>
            </wp:positionV>
            <wp:extent cx="202184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142" w:lineRule="exact"/>
        <w:rPr>
          <w:sz w:val="20"/>
          <w:szCs w:val="20"/>
          <w:color w:val="auto"/>
        </w:rPr>
      </w:pPr>
    </w:p>
    <w:p>
      <w:pPr>
        <w:ind w:left="820" w:right="100" w:hanging="186"/>
        <w:spacing w:after="0" w:line="233" w:lineRule="auto"/>
        <w:tabs>
          <w:tab w:leader="none" w:pos="820" w:val="left"/>
        </w:tabs>
        <w:numPr>
          <w:ilvl w:val="0"/>
          <w:numId w:val="44"/>
        </w:numPr>
        <w:rPr>
          <w:rFonts w:ascii="Arial" w:cs="Arial" w:eastAsia="Arial" w:hAnsi="Arial"/>
          <w:sz w:val="22"/>
          <w:szCs w:val="22"/>
          <w:color w:val="auto"/>
          <w:vertAlign w:val="superscript"/>
        </w:rPr>
      </w:pPr>
      <w:r>
        <w:rPr>
          <w:rFonts w:ascii="Arial" w:cs="Arial" w:eastAsia="Arial" w:hAnsi="Arial"/>
          <w:sz w:val="15"/>
          <w:szCs w:val="15"/>
          <w:color w:val="auto"/>
        </w:rPr>
        <w:t>The Committee made the decision in January 2025, when the metrics were established, to use the reported Adjusted non-GAAP EPS for 2025 to allow for the transaction costs associated with the acquisitions of Bangor Natural Gas Company and Maine Natural Gas Corporation, both of which were completed in 2025, and the pending acquisition of Aquarion Water Company of Massachusetts, Inc., Aquarion Water Company of New Hampshire, Inc., and Abenaki Water Co., Inc. 2025 Adjusted non-GAAP EPS was $3.16, and GAAP EPS was $2.97.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151765</wp:posOffset>
            </wp:positionV>
            <wp:extent cx="6337300" cy="825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620"/>
          </w:cols>
          <w:pgMar w:left="320" w:top="470" w:right="9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2025 Key Performance Metrics and Goals: Defined</w:t>
      </w:r>
    </w:p>
    <w:p>
      <w:pPr>
        <w:spacing w:after="0" w:line="214" w:lineRule="exact"/>
        <w:rPr>
          <w:sz w:val="20"/>
          <w:szCs w:val="20"/>
          <w:color w:val="auto"/>
        </w:rPr>
      </w:pPr>
    </w:p>
    <w:p>
      <w:pPr>
        <w:ind w:left="1340"/>
        <w:spacing w:after="0"/>
        <w:rPr>
          <w:sz w:val="20"/>
          <w:szCs w:val="20"/>
          <w:color w:val="auto"/>
        </w:rPr>
      </w:pPr>
      <w:r>
        <w:rPr>
          <w:rFonts w:ascii="Arial" w:cs="Arial" w:eastAsia="Arial" w:hAnsi="Arial"/>
          <w:sz w:val="21"/>
          <w:szCs w:val="21"/>
          <w:b w:val="1"/>
          <w:bCs w:val="1"/>
          <w:color w:val="auto"/>
        </w:rPr>
        <w:t>Earnings Per Share (“EPS”)</w:t>
      </w:r>
    </w:p>
    <w:p>
      <w:pPr>
        <w:spacing w:after="0" w:line="12" w:lineRule="exact"/>
        <w:rPr>
          <w:sz w:val="20"/>
          <w:szCs w:val="20"/>
          <w:color w:val="auto"/>
        </w:rPr>
      </w:pPr>
    </w:p>
    <w:p>
      <w:pPr>
        <w:ind w:left="1340" w:right="720"/>
        <w:spacing w:after="0" w:line="234" w:lineRule="auto"/>
        <w:rPr>
          <w:sz w:val="20"/>
          <w:szCs w:val="20"/>
          <w:color w:val="auto"/>
        </w:rPr>
      </w:pPr>
      <w:r>
        <w:rPr>
          <w:rFonts w:ascii="Arial" w:cs="Arial" w:eastAsia="Arial" w:hAnsi="Arial"/>
          <w:sz w:val="21"/>
          <w:szCs w:val="21"/>
          <w:color w:val="auto"/>
        </w:rPr>
        <w:t>The goals for the EPS metric are set as a target based on the approved current year Adjusted EPS budget with a plus/minus 2.5% range to maximum and threshold, respectively, from the target value. Adjusted EPS is a non-GAAP financial measure that excludes transaction-related costs in connection with the acquisition of Bangor Natural Gas Company and Maine Natural Gas Corporation, and the pending acquisition of Aquarion Water Company of Massachusetts, Inc., Aquarion Water Company of New Hampshire, Inc., and Abenaki Water Co., Inc. The Compensation Committee set the 2025 EPS target equivalent to our budgeted 2025 EPS of $3.09 with a plus/minus 2.5% range consistent with our external guidance to investors.</w:t>
      </w:r>
    </w:p>
    <w:p>
      <w:pPr>
        <w:spacing w:after="0" w:line="278" w:lineRule="exact"/>
        <w:rPr>
          <w:sz w:val="20"/>
          <w:szCs w:val="20"/>
          <w:color w:val="auto"/>
        </w:rPr>
      </w:pPr>
    </w:p>
    <w:p>
      <w:pPr>
        <w:ind w:left="1340"/>
        <w:spacing w:after="0"/>
        <w:rPr>
          <w:sz w:val="20"/>
          <w:szCs w:val="20"/>
          <w:color w:val="auto"/>
        </w:rPr>
      </w:pPr>
      <w:r>
        <w:rPr>
          <w:rFonts w:ascii="Arial" w:cs="Arial" w:eastAsia="Arial" w:hAnsi="Arial"/>
          <w:sz w:val="21"/>
          <w:szCs w:val="21"/>
          <w:b w:val="1"/>
          <w:bCs w:val="1"/>
          <w:color w:val="auto"/>
        </w:rPr>
        <w:t>Gas Safety</w:t>
      </w:r>
    </w:p>
    <w:p>
      <w:pPr>
        <w:spacing w:after="0" w:line="12" w:lineRule="exact"/>
        <w:rPr>
          <w:sz w:val="20"/>
          <w:szCs w:val="20"/>
          <w:color w:val="auto"/>
        </w:rPr>
      </w:pPr>
    </w:p>
    <w:p>
      <w:pPr>
        <w:ind w:left="1340" w:right="800"/>
        <w:spacing w:after="0" w:line="234" w:lineRule="auto"/>
        <w:rPr>
          <w:sz w:val="20"/>
          <w:szCs w:val="20"/>
          <w:color w:val="auto"/>
        </w:rPr>
      </w:pPr>
      <w:r>
        <w:rPr>
          <w:rFonts w:ascii="Arial" w:cs="Arial" w:eastAsia="Arial" w:hAnsi="Arial"/>
          <w:sz w:val="21"/>
          <w:szCs w:val="21"/>
          <w:color w:val="auto"/>
        </w:rPr>
        <w:t>Gas safety is measured as the percentage of the response time to natural gas odor calls answered within a pre-set response time window. In 2025, the response time target is based on a best-in-class 30-minute response standard based on a three-year historical trend. Similar to electric reliability, described below, the shorter the response time standard, the more rigorous the target. In defining the threshold, the Committee considered the minimum acceptable percentage to be not less than 84% and the maximum percentage to be at least 88% of the natural gas odor calls responded to in person be within 30 minutes. For 2025, we responded to 91.43% of our natural gas odor calls within the 30-minute pre-set response time window.</w:t>
      </w:r>
    </w:p>
    <w:p>
      <w:pPr>
        <w:spacing w:after="0" w:line="278" w:lineRule="exact"/>
        <w:rPr>
          <w:sz w:val="20"/>
          <w:szCs w:val="20"/>
          <w:color w:val="auto"/>
        </w:rPr>
      </w:pPr>
    </w:p>
    <w:p>
      <w:pPr>
        <w:ind w:left="1340"/>
        <w:spacing w:after="0"/>
        <w:rPr>
          <w:sz w:val="20"/>
          <w:szCs w:val="20"/>
          <w:color w:val="auto"/>
        </w:rPr>
      </w:pPr>
      <w:r>
        <w:rPr>
          <w:rFonts w:ascii="Arial" w:cs="Arial" w:eastAsia="Arial" w:hAnsi="Arial"/>
          <w:sz w:val="21"/>
          <w:szCs w:val="21"/>
          <w:b w:val="1"/>
          <w:bCs w:val="1"/>
          <w:color w:val="auto"/>
        </w:rPr>
        <w:t>Electric Reliability</w:t>
      </w:r>
    </w:p>
    <w:p>
      <w:pPr>
        <w:spacing w:after="0" w:line="12" w:lineRule="exact"/>
        <w:rPr>
          <w:sz w:val="20"/>
          <w:szCs w:val="20"/>
          <w:color w:val="auto"/>
        </w:rPr>
      </w:pPr>
    </w:p>
    <w:p>
      <w:pPr>
        <w:ind w:left="1340" w:right="720"/>
        <w:spacing w:after="0" w:line="234" w:lineRule="auto"/>
        <w:rPr>
          <w:sz w:val="20"/>
          <w:szCs w:val="20"/>
          <w:color w:val="auto"/>
        </w:rPr>
      </w:pPr>
      <w:r>
        <w:rPr>
          <w:rFonts w:ascii="Arial" w:cs="Arial" w:eastAsia="Arial" w:hAnsi="Arial"/>
          <w:sz w:val="21"/>
          <w:szCs w:val="21"/>
          <w:color w:val="auto"/>
        </w:rPr>
        <w:t>Electric reliability is benchmarked using an industry standard index, SAIDI (System Average Interruption Duration Index). SAIDI represents the total length of time the average customer is without electric service during the year, measured in minutes. For added perspective on this metric, a lower number of minutes (without electric service) equates to a more stringent target. The target for reliability performance is set using the rolling five-year average of the median of peer group reliability based on the national Institute of Electrical and Electronics Engineers (“IEEE”) benchmarking survey.</w:t>
      </w:r>
      <w:r>
        <w:rPr>
          <w:rFonts w:ascii="Arial" w:cs="Arial" w:eastAsia="Arial" w:hAnsi="Arial"/>
          <w:sz w:val="15"/>
          <w:szCs w:val="15"/>
          <w:color w:val="auto"/>
        </w:rPr>
        <w:t>13</w:t>
      </w:r>
      <w:r>
        <w:rPr>
          <w:rFonts w:ascii="Arial" w:cs="Arial" w:eastAsia="Arial" w:hAnsi="Arial"/>
          <w:sz w:val="21"/>
          <w:szCs w:val="21"/>
          <w:color w:val="auto"/>
        </w:rPr>
        <w:t xml:space="preserve"> In 2025, we achieved exceptional electric service reliability with a SAIDI of 85.23 minutes, marking four consecutive years of top-quartile reliability performance.</w:t>
      </w:r>
    </w:p>
    <w:p>
      <w:pPr>
        <w:spacing w:after="0" w:line="278" w:lineRule="exact"/>
        <w:rPr>
          <w:sz w:val="20"/>
          <w:szCs w:val="20"/>
          <w:color w:val="auto"/>
        </w:rPr>
      </w:pPr>
    </w:p>
    <w:p>
      <w:pPr>
        <w:ind w:left="1340"/>
        <w:spacing w:after="0"/>
        <w:rPr>
          <w:sz w:val="20"/>
          <w:szCs w:val="20"/>
          <w:color w:val="auto"/>
        </w:rPr>
      </w:pPr>
      <w:r>
        <w:rPr>
          <w:rFonts w:ascii="Arial" w:cs="Arial" w:eastAsia="Arial" w:hAnsi="Arial"/>
          <w:sz w:val="21"/>
          <w:szCs w:val="21"/>
          <w:b w:val="1"/>
          <w:bCs w:val="1"/>
          <w:color w:val="auto"/>
        </w:rPr>
        <w:t>Customer Satisfaction</w:t>
      </w:r>
    </w:p>
    <w:p>
      <w:pPr>
        <w:spacing w:after="0" w:line="12" w:lineRule="exact"/>
        <w:rPr>
          <w:sz w:val="20"/>
          <w:szCs w:val="20"/>
          <w:color w:val="auto"/>
        </w:rPr>
      </w:pPr>
    </w:p>
    <w:p>
      <w:pPr>
        <w:ind w:left="1340" w:right="720"/>
        <w:spacing w:after="0" w:line="234" w:lineRule="auto"/>
        <w:rPr>
          <w:sz w:val="20"/>
          <w:szCs w:val="20"/>
          <w:color w:val="auto"/>
        </w:rPr>
      </w:pPr>
      <w:r>
        <w:rPr>
          <w:rFonts w:ascii="Arial" w:cs="Arial" w:eastAsia="Arial" w:hAnsi="Arial"/>
          <w:sz w:val="21"/>
          <w:szCs w:val="21"/>
          <w:color w:val="auto"/>
        </w:rPr>
        <w:t xml:space="preserve">Customer satisfaction is measured using direct customer survey feedback to the question </w:t>
      </w:r>
      <w:r>
        <w:rPr>
          <w:rFonts w:ascii="Arial" w:cs="Arial" w:eastAsia="Arial" w:hAnsi="Arial"/>
          <w:sz w:val="21"/>
          <w:szCs w:val="21"/>
          <w:i w:val="1"/>
          <w:iCs w:val="1"/>
          <w:color w:val="auto"/>
        </w:rPr>
        <w:t xml:space="preserve">“How satisfied are you with the service, excluding price, you are receiving from Unitil?” </w:t>
      </w:r>
      <w:r>
        <w:rPr>
          <w:rFonts w:ascii="Arial" w:cs="Arial" w:eastAsia="Arial" w:hAnsi="Arial"/>
          <w:sz w:val="21"/>
          <w:szCs w:val="21"/>
          <w:color w:val="auto"/>
        </w:rPr>
        <w:t>as</w:t>
      </w:r>
      <w:r>
        <w:rPr>
          <w:rFonts w:ascii="Arial" w:cs="Arial" w:eastAsia="Arial" w:hAnsi="Arial"/>
          <w:sz w:val="21"/>
          <w:szCs w:val="21"/>
          <w:i w:val="1"/>
          <w:iCs w:val="1"/>
          <w:color w:val="auto"/>
        </w:rPr>
        <w:t xml:space="preserve"> </w:t>
      </w:r>
      <w:r>
        <w:rPr>
          <w:rFonts w:ascii="Arial" w:cs="Arial" w:eastAsia="Arial" w:hAnsi="Arial"/>
          <w:sz w:val="21"/>
          <w:szCs w:val="21"/>
          <w:color w:val="auto"/>
        </w:rPr>
        <w:t>compared to the current national benchmark for residential customer satisfaction as compiled by an independent human behavior and analytics firm. The survey is conducted twice each year by a system-generated random selection of customers from our database. The national benchmark in 2025 was 83%, which was set as the target, with maximum and threshold at plus or minus 5%, respectively. In 2025, despite comparatively high energy costs in the New England region and heightened national attention on energy affordability, we exceeded the target with 87% in overall customer satisfaction. From a benchmarking perspective, compared to our defined utility peer groups (eastern U.S. and northeast U.S. regions), in overall customer satisfaction, Unitil ranked as the #2 utility in the Northeast and continued to rank first in the Northeast as “a company you can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74930</wp:posOffset>
            </wp:positionV>
            <wp:extent cx="20218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137" w:lineRule="exact"/>
        <w:rPr>
          <w:sz w:val="20"/>
          <w:szCs w:val="20"/>
          <w:color w:val="auto"/>
        </w:rPr>
      </w:pPr>
    </w:p>
    <w:p>
      <w:pPr>
        <w:ind w:left="820" w:right="200" w:hanging="186"/>
        <w:spacing w:after="0" w:line="207" w:lineRule="auto"/>
        <w:tabs>
          <w:tab w:leader="none" w:pos="820" w:val="left"/>
        </w:tabs>
        <w:numPr>
          <w:ilvl w:val="0"/>
          <w:numId w:val="45"/>
        </w:numPr>
        <w:rPr>
          <w:rFonts w:ascii="Arial" w:cs="Arial" w:eastAsia="Arial" w:hAnsi="Arial"/>
          <w:sz w:val="23"/>
          <w:szCs w:val="23"/>
          <w:color w:val="auto"/>
          <w:vertAlign w:val="superscript"/>
        </w:rPr>
      </w:pPr>
      <w:r>
        <w:rPr>
          <w:rFonts w:ascii="Arial" w:cs="Arial" w:eastAsia="Arial" w:hAnsi="Arial"/>
          <w:sz w:val="16"/>
          <w:szCs w:val="16"/>
          <w:color w:val="auto"/>
        </w:rPr>
        <w:t>The national IEEE benchmarking survey collects information from participants anonymously; therefore specific peer company information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149860</wp:posOffset>
            </wp:positionV>
            <wp:extent cx="6337300" cy="825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ectPr>
          <w:pgSz w:w="11900" w:h="16838" w:orient="portrait"/>
          <w:cols w:equalWidth="0" w:num="1">
            <w:col w:w="10620"/>
          </w:cols>
          <w:pgMar w:left="320" w:top="470" w:right="95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620"/>
          </w:cols>
          <w:pgMar w:left="320" w:top="470" w:right="9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1340"/>
        <w:spacing w:after="0"/>
        <w:rPr>
          <w:sz w:val="20"/>
          <w:szCs w:val="20"/>
          <w:color w:val="auto"/>
        </w:rPr>
      </w:pPr>
      <w:r>
        <w:rPr>
          <w:rFonts w:ascii="Arial" w:cs="Arial" w:eastAsia="Arial" w:hAnsi="Arial"/>
          <w:sz w:val="21"/>
          <w:szCs w:val="21"/>
          <w:b w:val="1"/>
          <w:bCs w:val="1"/>
          <w:color w:val="auto"/>
        </w:rPr>
        <w:t>Cost Per Customer</w:t>
      </w:r>
    </w:p>
    <w:p>
      <w:pPr>
        <w:spacing w:after="0" w:line="12" w:lineRule="exact"/>
        <w:rPr>
          <w:sz w:val="20"/>
          <w:szCs w:val="20"/>
          <w:color w:val="auto"/>
        </w:rPr>
      </w:pPr>
    </w:p>
    <w:p>
      <w:pPr>
        <w:ind w:left="1340" w:right="800"/>
        <w:spacing w:after="0" w:line="235" w:lineRule="auto"/>
        <w:rPr>
          <w:sz w:val="20"/>
          <w:szCs w:val="20"/>
          <w:color w:val="auto"/>
        </w:rPr>
      </w:pPr>
      <w:r>
        <w:rPr>
          <w:rFonts w:ascii="Arial" w:cs="Arial" w:eastAsia="Arial" w:hAnsi="Arial"/>
          <w:sz w:val="21"/>
          <w:szCs w:val="21"/>
          <w:color w:val="auto"/>
        </w:rPr>
        <w:t>Distribution cost per customer is measured against our same-year approved operations and maintenance (“O&amp;M”) cost per customer budget. Results are weighted as 50% electric and 50% gas. The minimum and maximum range stretch factors are determined from the previous 10 years’ O&amp;M budget variance standard deviation. Target is determined using a stretch factor of zero. For added perspective on this metric, a lower cost per customer equates to a more stringent target. For 2025, our O&amp;M cost per customer for electric division customers was $351.41, and $458.28 for gas division customers.</w:t>
      </w:r>
    </w:p>
    <w:p>
      <w:pPr>
        <w:spacing w:after="0" w:line="278"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Cash Incentive Compensation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59" w:lineRule="exact"/>
        <w:rPr>
          <w:sz w:val="20"/>
          <w:szCs w:val="20"/>
          <w:color w:val="auto"/>
        </w:rPr>
      </w:pPr>
    </w:p>
    <w:p>
      <w:pPr>
        <w:ind w:left="640" w:right="2300"/>
        <w:spacing w:after="0" w:line="236" w:lineRule="auto"/>
        <w:rPr>
          <w:sz w:val="20"/>
          <w:szCs w:val="20"/>
          <w:color w:val="auto"/>
        </w:rPr>
      </w:pPr>
      <w:r>
        <w:rPr>
          <w:rFonts w:ascii="Arial" w:cs="Arial" w:eastAsia="Arial" w:hAnsi="Arial"/>
          <w:sz w:val="21"/>
          <w:szCs w:val="21"/>
          <w:color w:val="auto"/>
        </w:rPr>
        <w:t>Our cash incentive compensation award formula is based on the Weighted Performance Factor, which is the total actual quantitative performance calculation derived by multiplying the “target weight” of each performance metric by the corresponding “factor.” The “factor” is based upon where the actual performance results fall on the continuum of threshold—target—maximum, with “target” assigned a “factor” of 100%, “threshold” assigned a “factor” of 50%, and “maximum” assigned a “factor” of 150%. The total Weighted Performance Factor is the sum of the Weighted Performance Factor of each performance metric. Additional credit, or “weight,” is not provided for performance that achieves values greater than the maximum determined by the Committee, and no credit is given for performance that fails to achieve the threshold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-1641475</wp:posOffset>
            </wp:positionV>
            <wp:extent cx="1204595" cy="22110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04595" cy="221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The Role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right="40"/>
        <w:spacing w:after="0" w:line="235" w:lineRule="auto"/>
        <w:rPr>
          <w:sz w:val="20"/>
          <w:szCs w:val="20"/>
          <w:color w:val="auto"/>
        </w:rPr>
      </w:pPr>
      <w:r>
        <w:rPr>
          <w:rFonts w:ascii="Arial" w:cs="Arial" w:eastAsia="Arial" w:hAnsi="Arial"/>
          <w:sz w:val="21"/>
          <w:szCs w:val="21"/>
          <w:color w:val="auto"/>
        </w:rPr>
        <w:t>The Compensation Committee Charter provides the Committee with the authority to approve annual cash incentive and long-term compensation plan restricted stock awards in light of the established corporate goals and strategic objectives; to determine whether annual and/or long-term incentive compensation plan awards have been earned; and to apply a qualitative adjustment to increase or decrease the annual cash incentive award under the Management Incentive Plan. The Committee has in the past exercised discretion to both increase and decrease award payments when such calculation did not properly balance the interests of employees and shareholders and chose not to do so in 2021, 2022, 2023 or 2025. The Committee exercised its authority to adjust the cash incentive award in 2024. For the purpose of calculating the performance of the 2024 “EPS” metric, the Committee made a $0.04 adjustment to the reported 2024 EPS result of $2.93 to account for the financial impact of the transaction costs incurred in 2024 associated with our then-pending acquisition of Bangor Natural Gas Company, which occurred in January 2025. For the purpose of calculating the 2025 performance of the “EPS” metric, the Committee made the decision in January 2025, when the metrics were established, to use the reported Adjusted non-GAAP EPS for 2025</w:t>
      </w:r>
      <w:r>
        <w:rPr>
          <w:rFonts w:ascii="Arial" w:cs="Arial" w:eastAsia="Arial" w:hAnsi="Arial"/>
          <w:sz w:val="15"/>
          <w:szCs w:val="15"/>
          <w:color w:val="auto"/>
        </w:rPr>
        <w:t>14</w:t>
      </w:r>
      <w:r>
        <w:rPr>
          <w:rFonts w:ascii="Arial" w:cs="Arial" w:eastAsia="Arial" w:hAnsi="Arial"/>
          <w:sz w:val="21"/>
          <w:szCs w:val="21"/>
          <w:color w:val="auto"/>
        </w:rPr>
        <w:t xml:space="preserv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84455</wp:posOffset>
            </wp:positionV>
            <wp:extent cx="202184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94" w:lineRule="exact"/>
        <w:rPr>
          <w:sz w:val="20"/>
          <w:szCs w:val="20"/>
          <w:color w:val="auto"/>
        </w:rPr>
      </w:pPr>
    </w:p>
    <w:p>
      <w:pPr>
        <w:ind w:left="820" w:hanging="186"/>
        <w:spacing w:after="0"/>
        <w:tabs>
          <w:tab w:leader="none" w:pos="820" w:val="left"/>
        </w:tabs>
        <w:numPr>
          <w:ilvl w:val="0"/>
          <w:numId w:val="46"/>
        </w:numPr>
        <w:rPr>
          <w:rFonts w:ascii="Arial" w:cs="Arial" w:eastAsia="Arial" w:hAnsi="Arial"/>
          <w:sz w:val="23"/>
          <w:szCs w:val="23"/>
          <w:color w:val="auto"/>
          <w:vertAlign w:val="superscript"/>
        </w:rPr>
      </w:pPr>
      <w:r>
        <w:rPr>
          <w:rFonts w:ascii="Arial" w:cs="Arial" w:eastAsia="Arial" w:hAnsi="Arial"/>
          <w:sz w:val="16"/>
          <w:szCs w:val="16"/>
          <w:color w:val="auto"/>
        </w:rPr>
        <w:t>2025 Adjusted non-GAAP EPS was $3.16, and GAAP EPS was $2.97.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149860</wp:posOffset>
            </wp:positionV>
            <wp:extent cx="6337300" cy="825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620"/>
          </w:cols>
          <w:pgMar w:left="320" w:top="470" w:right="9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180"/>
        <w:spacing w:after="0" w:line="239" w:lineRule="auto"/>
        <w:rPr>
          <w:sz w:val="20"/>
          <w:szCs w:val="20"/>
          <w:color w:val="auto"/>
        </w:rPr>
      </w:pPr>
      <w:r>
        <w:rPr>
          <w:rFonts w:ascii="Arial" w:cs="Arial" w:eastAsia="Arial" w:hAnsi="Arial"/>
          <w:sz w:val="21"/>
          <w:szCs w:val="21"/>
          <w:color w:val="auto"/>
        </w:rPr>
        <w:t xml:space="preserve">allow for the transaction costs associated with the acquisitions of Bangor Natural Gas Company and Maine Natural Gas Corporation, both of which were completed in 2025, and the pending acquisition of Aquarion Water Company of Massachusetts, Inc., Aquarion Water Company of New Hampshire, Inc., and Abenaki Water Co., Inc. For additional information on the Committee’s decision to adjust the cash incentive award, please see the section entitled </w:t>
      </w:r>
      <w:r>
        <w:rPr>
          <w:rFonts w:ascii="Arial" w:cs="Arial" w:eastAsia="Arial" w:hAnsi="Arial"/>
          <w:sz w:val="21"/>
          <w:szCs w:val="21"/>
          <w:i w:val="1"/>
          <w:iCs w:val="1"/>
          <w:color w:val="auto"/>
        </w:rPr>
        <w:t>Management Incentive Compensation Performance Metrics and Goals,</w:t>
      </w:r>
      <w:r>
        <w:rPr>
          <w:rFonts w:ascii="Arial" w:cs="Arial" w:eastAsia="Arial" w:hAnsi="Arial"/>
          <w:sz w:val="21"/>
          <w:szCs w:val="21"/>
          <w:color w:val="auto"/>
        </w:rPr>
        <w:t xml:space="preserve"> above.</w:t>
      </w:r>
    </w:p>
    <w:p>
      <w:pPr>
        <w:spacing w:after="0" w:line="168" w:lineRule="exact"/>
        <w:rPr>
          <w:sz w:val="20"/>
          <w:szCs w:val="20"/>
          <w:color w:val="auto"/>
        </w:rPr>
      </w:pPr>
    </w:p>
    <w:p>
      <w:pPr>
        <w:ind w:left="640" w:right="140"/>
        <w:spacing w:after="0" w:line="238" w:lineRule="auto"/>
        <w:rPr>
          <w:sz w:val="20"/>
          <w:szCs w:val="20"/>
          <w:color w:val="auto"/>
        </w:rPr>
      </w:pPr>
      <w:r>
        <w:rPr>
          <w:rFonts w:ascii="Arial" w:cs="Arial" w:eastAsia="Arial" w:hAnsi="Arial"/>
          <w:sz w:val="21"/>
          <w:szCs w:val="21"/>
          <w:color w:val="auto"/>
        </w:rPr>
        <w:t xml:space="preserve">The Committee meets annually in the first fiscal quarter to review the performance metrics and results for the previous year, and approve the annual cash incentive awards, as well as the annual grant of restricted stock awards under the Third Amended Stock Plan. The Committee approved the annual cash incentive awards under the Management Incentive Plan for 2025 performance on January 27, 2026. The Committee approved the grant of restricted stock awards under the Third Amended Stock Plan on January 28, 2025. For additional information see the section entitled </w:t>
      </w:r>
      <w:r>
        <w:rPr>
          <w:rFonts w:ascii="Arial" w:cs="Arial" w:eastAsia="Arial" w:hAnsi="Arial"/>
          <w:sz w:val="21"/>
          <w:szCs w:val="21"/>
          <w:i w:val="1"/>
          <w:iCs w:val="1"/>
          <w:color w:val="auto"/>
        </w:rPr>
        <w:t>Elements of Compensation – Long-Term Equity Incentive</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Compensation Program </w:t>
      </w:r>
      <w:r>
        <w:rPr>
          <w:rFonts w:ascii="Arial" w:cs="Arial" w:eastAsia="Arial" w:hAnsi="Arial"/>
          <w:sz w:val="21"/>
          <w:szCs w:val="21"/>
          <w:color w:val="auto"/>
        </w:rPr>
        <w:t>of this proxy statement.</w:t>
      </w:r>
    </w:p>
    <w:p>
      <w:pPr>
        <w:spacing w:after="0" w:line="200" w:lineRule="exact"/>
        <w:rPr>
          <w:sz w:val="20"/>
          <w:szCs w:val="20"/>
          <w:color w:val="auto"/>
        </w:rPr>
      </w:pPr>
    </w:p>
    <w:p>
      <w:pPr>
        <w:spacing w:after="0" w:line="284"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Unitil Corporation Retirement Plan</w:t>
      </w:r>
    </w:p>
    <w:p>
      <w:pPr>
        <w:spacing w:after="0" w:line="200" w:lineRule="exact"/>
        <w:rPr>
          <w:sz w:val="20"/>
          <w:szCs w:val="20"/>
          <w:color w:val="auto"/>
        </w:rPr>
      </w:pPr>
    </w:p>
    <w:p>
      <w:pPr>
        <w:ind w:left="640" w:right="60"/>
        <w:spacing w:after="0" w:line="237" w:lineRule="auto"/>
        <w:rPr>
          <w:sz w:val="20"/>
          <w:szCs w:val="20"/>
          <w:color w:val="auto"/>
        </w:rPr>
      </w:pPr>
      <w:r>
        <w:rPr>
          <w:rFonts w:ascii="Arial" w:cs="Arial" w:eastAsia="Arial" w:hAnsi="Arial"/>
          <w:sz w:val="21"/>
          <w:szCs w:val="21"/>
          <w:color w:val="auto"/>
        </w:rPr>
        <w:t>The Unitil Corporation Retirement Plan (the “Retirement Plan”) is a traditional Defined Benefit Pension Plan covering certain employees of Unitil and our subsidiary companies that provides retirement income benefits based upon years of service, age at retirement and final five-year average salary. The Retirement Plan is closed to new participants, effective January 1, 2010. Employees hired after January 1, 2010, participate in an enhanced 401(k) plan instead of the Retirement Plan. In addition, at the time of closure of the Retirement Plan, existing employee participants were offered a one-time opportunity to elect to remain an active participant in the Retirement Plan, or to accept a frozen Retirement Plan benefit and move to the enhanced 401(k) Plan.</w:t>
      </w:r>
    </w:p>
    <w:p>
      <w:pPr>
        <w:sectPr>
          <w:pgSz w:w="11900" w:h="16838" w:orient="portrait"/>
          <w:cols w:equalWidth="0" w:num="1">
            <w:col w:w="10620"/>
          </w:cols>
          <w:pgMar w:left="320" w:top="470" w:right="95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Supplemental Executive Retirement Plan</w:t>
      </w:r>
    </w:p>
    <w:p>
      <w:pPr>
        <w:spacing w:after="0" w:line="109" w:lineRule="exact"/>
        <w:rPr>
          <w:sz w:val="20"/>
          <w:szCs w:val="20"/>
          <w:color w:val="auto"/>
        </w:rPr>
      </w:pPr>
    </w:p>
    <w:p>
      <w:pPr>
        <w:ind w:left="640"/>
        <w:spacing w:after="0" w:line="235" w:lineRule="auto"/>
        <w:rPr>
          <w:sz w:val="20"/>
          <w:szCs w:val="20"/>
          <w:color w:val="auto"/>
        </w:rPr>
      </w:pPr>
      <w:r>
        <w:rPr>
          <w:rFonts w:ascii="Arial" w:cs="Arial" w:eastAsia="Arial" w:hAnsi="Arial"/>
          <w:sz w:val="21"/>
          <w:szCs w:val="21"/>
          <w:color w:val="auto"/>
        </w:rPr>
        <w:t xml:space="preserve">The purpose of the Supplemental Executive Retirement Plan (the “SERP”) is to provide enhanced retirement benefits to certain key executives selected by the Board in order to encourage continued service by these executives until retirement. Currently, Mr. Meissner is the only active employee participant in the SERP. The SERP was closed to any new entrants in 2018. See also the Pension Benefits Table in the section entitled </w:t>
      </w:r>
      <w:r>
        <w:rPr>
          <w:rFonts w:ascii="Arial" w:cs="Arial" w:eastAsia="Arial" w:hAnsi="Arial"/>
          <w:sz w:val="21"/>
          <w:szCs w:val="21"/>
          <w:i w:val="1"/>
          <w:iCs w:val="1"/>
          <w:color w:val="auto"/>
        </w:rPr>
        <w:t>Compensation - Compensation of Named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Executive Officers </w:t>
      </w:r>
      <w:r>
        <w:rPr>
          <w:rFonts w:ascii="Arial" w:cs="Arial" w:eastAsia="Arial" w:hAnsi="Arial"/>
          <w:sz w:val="21"/>
          <w:szCs w:val="21"/>
          <w:color w:val="auto"/>
        </w:rPr>
        <w:t>for the present value of the</w:t>
      </w:r>
      <w:r>
        <w:rPr>
          <w:rFonts w:ascii="Arial" w:cs="Arial" w:eastAsia="Arial" w:hAnsi="Arial"/>
          <w:sz w:val="21"/>
          <w:szCs w:val="21"/>
          <w:i w:val="1"/>
          <w:iCs w:val="1"/>
          <w:color w:val="auto"/>
        </w:rPr>
        <w:t xml:space="preserve"> </w:t>
      </w:r>
      <w:r>
        <w:rPr>
          <w:rFonts w:ascii="Arial" w:cs="Arial" w:eastAsia="Arial" w:hAnsi="Arial"/>
          <w:sz w:val="21"/>
          <w:szCs w:val="21"/>
          <w:color w:val="auto"/>
        </w:rPr>
        <w:t>accumulated benefit for each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210185</wp:posOffset>
            </wp:positionV>
            <wp:extent cx="29210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921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SERP Enhanced Retirement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-301625</wp:posOffset>
            </wp:positionV>
            <wp:extent cx="3358515" cy="20053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58515" cy="200533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    all cash compensation towards the benefits formula is</w:t>
      </w:r>
    </w:p>
    <w:p>
      <w:pPr>
        <w:spacing w:after="0" w:line="93" w:lineRule="exact"/>
        <w:rPr>
          <w:sz w:val="20"/>
          <w:szCs w:val="20"/>
          <w:color w:val="auto"/>
        </w:rPr>
      </w:pPr>
    </w:p>
    <w:p>
      <w:pPr>
        <w:ind w:left="340" w:right="440"/>
        <w:spacing w:after="0" w:line="249" w:lineRule="auto"/>
        <w:rPr>
          <w:sz w:val="20"/>
          <w:szCs w:val="20"/>
          <w:color w:val="auto"/>
        </w:rPr>
      </w:pPr>
      <w:r>
        <w:rPr>
          <w:rFonts w:ascii="Arial" w:cs="Arial" w:eastAsia="Arial" w:hAnsi="Arial"/>
          <w:sz w:val="17"/>
          <w:szCs w:val="17"/>
          <w:color w:val="auto"/>
        </w:rPr>
        <w:t>counted which provides a bypass to the compensation limits imposed by the Internal Revenue Service (the “IRS”)</w:t>
      </w:r>
    </w:p>
    <w:p>
      <w:pPr>
        <w:spacing w:after="0" w:line="91" w:lineRule="exact"/>
        <w:rPr>
          <w:sz w:val="20"/>
          <w:szCs w:val="20"/>
          <w:color w:val="auto"/>
        </w:rPr>
      </w:pPr>
    </w:p>
    <w:p>
      <w:pPr>
        <w:ind w:left="340" w:right="540" w:hanging="254"/>
        <w:spacing w:after="0" w:line="359" w:lineRule="auto"/>
        <w:rPr>
          <w:sz w:val="20"/>
          <w:szCs w:val="20"/>
          <w:color w:val="auto"/>
        </w:rPr>
      </w:pPr>
      <w:r>
        <w:rPr>
          <w:rFonts w:ascii="Arial" w:cs="Arial" w:eastAsia="Arial" w:hAnsi="Arial"/>
          <w:sz w:val="17"/>
          <w:szCs w:val="17"/>
          <w:color w:val="auto"/>
        </w:rPr>
        <w:t>    compensation received from the annual cash incentive awards in the benefits calculation is included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    a final three-year average of salary and annual cash</w:t>
      </w:r>
    </w:p>
    <w:p>
      <w:pPr>
        <w:spacing w:after="0" w:line="93" w:lineRule="exact"/>
        <w:rPr>
          <w:sz w:val="20"/>
          <w:szCs w:val="20"/>
          <w:color w:val="auto"/>
        </w:rPr>
      </w:pPr>
    </w:p>
    <w:p>
      <w:pPr>
        <w:ind w:left="340" w:right="240"/>
        <w:spacing w:after="0" w:line="260" w:lineRule="auto"/>
        <w:rPr>
          <w:sz w:val="20"/>
          <w:szCs w:val="20"/>
          <w:color w:val="auto"/>
        </w:rPr>
      </w:pPr>
      <w:r>
        <w:rPr>
          <w:rFonts w:ascii="Arial" w:cs="Arial" w:eastAsia="Arial" w:hAnsi="Arial"/>
          <w:sz w:val="17"/>
          <w:szCs w:val="17"/>
          <w:color w:val="auto"/>
        </w:rPr>
        <w:t>incentive compensation is used to determine the benefits from the 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243205</wp:posOffset>
            </wp:positionV>
            <wp:extent cx="3325495" cy="825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25495" cy="82550"/>
                    </a:xfrm>
                    <a:prstGeom prst="rect">
                      <a:avLst/>
                    </a:prstGeom>
                    <a:noFill/>
                  </pic:spPr>
                </pic:pic>
              </a:graphicData>
            </a:graphic>
          </wp:anchor>
        </w:drawing>
      </w:r>
    </w:p>
    <w:p>
      <w:pPr>
        <w:spacing w:after="0" w:line="343" w:lineRule="exact"/>
        <w:rPr>
          <w:sz w:val="20"/>
          <w:szCs w:val="20"/>
          <w:color w:val="auto"/>
        </w:rPr>
      </w:pPr>
    </w:p>
    <w:p>
      <w:pPr>
        <w:sectPr>
          <w:pgSz w:w="11900" w:h="16838" w:orient="portrait"/>
          <w:cols w:equalWidth="0" w:num="2">
            <w:col w:w="5260" w:space="420"/>
            <w:col w:w="4940"/>
          </w:cols>
          <w:pgMar w:left="320" w:top="470" w:right="959" w:bottom="1440" w:gutter="0" w:footer="0" w:header="0"/>
          <w:type w:val="continuous"/>
        </w:sectPr>
      </w:pPr>
    </w:p>
    <w:p>
      <w:pPr>
        <w:spacing w:after="0" w:line="257"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620"/>
          </w:cols>
          <w:pgMar w:left="320" w:top="470" w:right="95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Deferred Compensation Plan</w:t>
      </w:r>
    </w:p>
    <w:p>
      <w:pPr>
        <w:spacing w:after="0" w:line="200" w:lineRule="exact"/>
        <w:rPr>
          <w:sz w:val="20"/>
          <w:szCs w:val="20"/>
          <w:color w:val="auto"/>
        </w:rPr>
      </w:pPr>
    </w:p>
    <w:p>
      <w:pPr>
        <w:ind w:left="640" w:right="40"/>
        <w:spacing w:after="0" w:line="236" w:lineRule="auto"/>
        <w:rPr>
          <w:sz w:val="20"/>
          <w:szCs w:val="20"/>
          <w:color w:val="auto"/>
        </w:rPr>
      </w:pPr>
      <w:r>
        <w:rPr>
          <w:rFonts w:ascii="Arial" w:cs="Arial" w:eastAsia="Arial" w:hAnsi="Arial"/>
          <w:sz w:val="21"/>
          <w:szCs w:val="21"/>
          <w:color w:val="auto"/>
        </w:rPr>
        <w:t>The Unitil Corporation Deferred Compensation Plan (the “DC Plan”) is a non-qualified deferred compensation plan that provides a vehicle for participants to accumulate tax-deferred savings to supplement retirement income. The DC Plan is open to senior management or other highly compensated employees with a salary grade of 23 or higher who do not participate in the SERP. The DC Plan may also be used as a tool for recruitment and retention purposes for newly hired senior executives. The DC Plan design mirrors our Tax Deferred Savings and Investment Plan formula, but provides for contributions on compensation above the IRS limit, which allows participants to defer up to 85% of base salary, and up to 85% of any cash incentive, for retirement. The Board may also elect to make discretionary contributions on behalf of any participant in an amount determined by the Board. Mr. Hevert, Mr. Hurstak, Mr. Eisfeller and Mr. LeBlanc currently participate in the DC Plan.</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Change of Control Agreements</w:t>
      </w:r>
    </w:p>
    <w:p>
      <w:pPr>
        <w:spacing w:after="0" w:line="200" w:lineRule="exact"/>
        <w:rPr>
          <w:sz w:val="20"/>
          <w:szCs w:val="20"/>
          <w:color w:val="auto"/>
        </w:rPr>
      </w:pPr>
    </w:p>
    <w:p>
      <w:pPr>
        <w:ind w:left="640" w:right="40"/>
        <w:spacing w:after="0" w:line="243" w:lineRule="auto"/>
        <w:rPr>
          <w:sz w:val="20"/>
          <w:szCs w:val="20"/>
          <w:color w:val="auto"/>
        </w:rPr>
      </w:pPr>
      <w:r>
        <w:rPr>
          <w:rFonts w:ascii="Arial" w:cs="Arial" w:eastAsia="Arial" w:hAnsi="Arial"/>
          <w:sz w:val="21"/>
          <w:szCs w:val="21"/>
          <w:color w:val="auto"/>
        </w:rPr>
        <w:t>We provide certain executives with protection from job loss due to a change of control in the Company in the form of Change of Control Agreements (“CC Agreements”). This protection is primarily provided so that the executives will make decisions and take actions that are in the best interest of shareholders and not unduly influenced by the fear of job loss.</w:t>
      </w:r>
    </w:p>
    <w:p>
      <w:pPr>
        <w:spacing w:after="0" w:line="165" w:lineRule="exact"/>
        <w:rPr>
          <w:sz w:val="20"/>
          <w:szCs w:val="20"/>
          <w:color w:val="auto"/>
        </w:rPr>
      </w:pPr>
    </w:p>
    <w:p>
      <w:pPr>
        <w:ind w:left="640" w:right="40"/>
        <w:spacing w:after="0" w:line="236" w:lineRule="auto"/>
        <w:rPr>
          <w:sz w:val="20"/>
          <w:szCs w:val="20"/>
          <w:color w:val="auto"/>
        </w:rPr>
      </w:pPr>
      <w:r>
        <w:rPr>
          <w:rFonts w:ascii="Arial" w:cs="Arial" w:eastAsia="Arial" w:hAnsi="Arial"/>
          <w:sz w:val="21"/>
          <w:szCs w:val="21"/>
          <w:color w:val="auto"/>
        </w:rPr>
        <w:t xml:space="preserve">All existing CC Agreements are two-year “double trigger” agreements, meaning that two events must occur in order for payments to be made: (i) a change of control must occur; and (ii) an adverse employment action must occur, meaning that we must terminate the executive’s employment other than for cause or disability or the executive must terminate his or her employment for good reason. Double trigger agreements were chosen to protect the shareholders from executives choosing to resign as result of a change of control where there is no adverse employment action. No existing CC Agreements contain any excise tax or other gross up provision of any kind. We believe that all CC Agreements comply with the provisions of IRS Code Section 409A. See also the section entitled </w:t>
      </w:r>
      <w:r>
        <w:rPr>
          <w:rFonts w:ascii="Arial" w:cs="Arial" w:eastAsia="Arial" w:hAnsi="Arial"/>
          <w:sz w:val="21"/>
          <w:szCs w:val="21"/>
          <w:i w:val="1"/>
          <w:iCs w:val="1"/>
          <w:color w:val="auto"/>
        </w:rPr>
        <w:t>Compensation—Compensation of Named Executive Officers</w:t>
      </w:r>
      <w:r>
        <w:rPr>
          <w:rFonts w:ascii="Arial" w:cs="Arial" w:eastAsia="Arial" w:hAnsi="Arial"/>
          <w:sz w:val="21"/>
          <w:szCs w:val="21"/>
          <w:color w:val="auto"/>
        </w:rPr>
        <w:t xml:space="preserve"> – </w:t>
      </w:r>
      <w:r>
        <w:rPr>
          <w:rFonts w:ascii="Arial" w:cs="Arial" w:eastAsia="Arial" w:hAnsi="Arial"/>
          <w:sz w:val="21"/>
          <w:szCs w:val="21"/>
          <w:i w:val="1"/>
          <w:iCs w:val="1"/>
          <w:color w:val="auto"/>
        </w:rPr>
        <w:t xml:space="preserve">Potential Payments Upon Termination or Change of Control </w:t>
      </w:r>
      <w:r>
        <w:rPr>
          <w:rFonts w:ascii="Arial" w:cs="Arial" w:eastAsia="Arial" w:hAnsi="Arial"/>
          <w:sz w:val="21"/>
          <w:szCs w:val="21"/>
          <w:color w:val="auto"/>
        </w:rPr>
        <w:t>for a full description of “change of control” as</w:t>
      </w:r>
      <w:r>
        <w:rPr>
          <w:rFonts w:ascii="Arial" w:cs="Arial" w:eastAsia="Arial" w:hAnsi="Arial"/>
          <w:sz w:val="21"/>
          <w:szCs w:val="21"/>
          <w:i w:val="1"/>
          <w:iCs w:val="1"/>
          <w:color w:val="auto"/>
        </w:rPr>
        <w:t xml:space="preserve"> </w:t>
      </w:r>
      <w:r>
        <w:rPr>
          <w:rFonts w:ascii="Arial" w:cs="Arial" w:eastAsia="Arial" w:hAnsi="Arial"/>
          <w:sz w:val="21"/>
          <w:szCs w:val="21"/>
          <w:color w:val="auto"/>
        </w:rPr>
        <w:t>defined in the CC Agreements.</w:t>
      </w:r>
    </w:p>
    <w:p>
      <w:pPr>
        <w:spacing w:after="0" w:line="200" w:lineRule="exact"/>
        <w:rPr>
          <w:sz w:val="20"/>
          <w:szCs w:val="20"/>
          <w:color w:val="auto"/>
        </w:rPr>
      </w:pPr>
    </w:p>
    <w:p>
      <w:pPr>
        <w:spacing w:after="0" w:line="284"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Employment Agreement – Thomas P. Meissner, Jr.</w:t>
      </w:r>
    </w:p>
    <w:p>
      <w:pPr>
        <w:spacing w:after="0" w:line="96" w:lineRule="exact"/>
        <w:rPr>
          <w:sz w:val="20"/>
          <w:szCs w:val="20"/>
          <w:color w:val="auto"/>
        </w:rPr>
      </w:pPr>
    </w:p>
    <w:p>
      <w:pPr>
        <w:ind w:left="640" w:right="300"/>
        <w:spacing w:after="0" w:line="239" w:lineRule="auto"/>
        <w:rPr>
          <w:sz w:val="20"/>
          <w:szCs w:val="20"/>
          <w:color w:val="auto"/>
        </w:rPr>
      </w:pPr>
      <w:r>
        <w:rPr>
          <w:rFonts w:ascii="Arial" w:cs="Arial" w:eastAsia="Arial" w:hAnsi="Arial"/>
          <w:sz w:val="21"/>
          <w:szCs w:val="21"/>
          <w:color w:val="auto"/>
        </w:rPr>
        <w:t xml:space="preserve">We entered into an employment agreement (the “Employment Agreement”) with Mr. Meissner on April 25, 2024, for a term of three years, which is a renewal of his prior employment agreement that expired on April 24, 2024. For a detailed description of the Employment Agreement, see the sections entitled </w:t>
      </w:r>
      <w:r>
        <w:rPr>
          <w:rFonts w:ascii="Arial" w:cs="Arial" w:eastAsia="Arial" w:hAnsi="Arial"/>
          <w:sz w:val="21"/>
          <w:szCs w:val="21"/>
          <w:i w:val="1"/>
          <w:iCs w:val="1"/>
          <w:color w:val="auto"/>
        </w:rPr>
        <w:t xml:space="preserve">Compensation—Compensation of Named Executive Officers </w:t>
      </w:r>
      <w:r>
        <w:rPr>
          <w:rFonts w:ascii="Arial" w:cs="Arial" w:eastAsia="Arial" w:hAnsi="Arial"/>
          <w:sz w:val="21"/>
          <w:szCs w:val="21"/>
          <w:color w:val="auto"/>
        </w:rPr>
        <w:t>–</w:t>
      </w:r>
      <w:r>
        <w:rPr>
          <w:rFonts w:ascii="Arial" w:cs="Arial" w:eastAsia="Arial" w:hAnsi="Arial"/>
          <w:sz w:val="21"/>
          <w:szCs w:val="21"/>
          <w:i w:val="1"/>
          <w:iCs w:val="1"/>
          <w:color w:val="auto"/>
        </w:rPr>
        <w:t xml:space="preserve"> Employment Agreement of the Chief Executive Officer </w:t>
      </w:r>
      <w:r>
        <w:rPr>
          <w:rFonts w:ascii="Arial" w:cs="Arial" w:eastAsia="Arial" w:hAnsi="Arial"/>
          <w:sz w:val="21"/>
          <w:szCs w:val="21"/>
          <w:color w:val="auto"/>
        </w:rPr>
        <w:t>and</w:t>
      </w:r>
      <w:r>
        <w:rPr>
          <w:rFonts w:ascii="Arial" w:cs="Arial" w:eastAsia="Arial" w:hAnsi="Arial"/>
          <w:sz w:val="21"/>
          <w:szCs w:val="21"/>
          <w:i w:val="1"/>
          <w:iCs w:val="1"/>
          <w:color w:val="auto"/>
        </w:rPr>
        <w:t xml:space="preserve"> Compensation—Compensation of Named Executive Officers </w:t>
      </w:r>
      <w:r>
        <w:rPr>
          <w:rFonts w:ascii="Arial" w:cs="Arial" w:eastAsia="Arial" w:hAnsi="Arial"/>
          <w:sz w:val="21"/>
          <w:szCs w:val="21"/>
          <w:color w:val="auto"/>
        </w:rPr>
        <w:t>–</w:t>
      </w:r>
      <w:r>
        <w:rPr>
          <w:rFonts w:ascii="Arial" w:cs="Arial" w:eastAsia="Arial" w:hAnsi="Arial"/>
          <w:sz w:val="21"/>
          <w:szCs w:val="21"/>
          <w:i w:val="1"/>
          <w:iCs w:val="1"/>
          <w:color w:val="auto"/>
        </w:rPr>
        <w:t xml:space="preserve"> Potential Payments Upon Termination or Change of Control</w:t>
      </w:r>
      <w:r>
        <w:rPr>
          <w:rFonts w:ascii="Arial" w:cs="Arial" w:eastAsia="Arial" w:hAnsi="Arial"/>
          <w:sz w:val="21"/>
          <w:szCs w:val="21"/>
          <w:color w:val="auto"/>
        </w:rPr>
        <w:t>.</w:t>
      </w:r>
    </w:p>
    <w:p>
      <w:pPr>
        <w:spacing w:after="0" w:line="200" w:lineRule="exact"/>
        <w:rPr>
          <w:sz w:val="20"/>
          <w:szCs w:val="20"/>
          <w:color w:val="auto"/>
        </w:rPr>
      </w:pPr>
    </w:p>
    <w:p>
      <w:pPr>
        <w:spacing w:after="0" w:line="280"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Executive Perquisites</w:t>
      </w:r>
    </w:p>
    <w:p>
      <w:pPr>
        <w:spacing w:after="0" w:line="200" w:lineRule="exact"/>
        <w:rPr>
          <w:sz w:val="20"/>
          <w:szCs w:val="20"/>
          <w:color w:val="auto"/>
        </w:rPr>
      </w:pPr>
    </w:p>
    <w:p>
      <w:pPr>
        <w:ind w:left="640" w:right="200"/>
        <w:spacing w:after="0" w:line="290" w:lineRule="auto"/>
        <w:rPr>
          <w:sz w:val="20"/>
          <w:szCs w:val="20"/>
          <w:color w:val="auto"/>
        </w:rPr>
      </w:pPr>
      <w:r>
        <w:rPr>
          <w:rFonts w:ascii="Arial" w:cs="Arial" w:eastAsia="Arial" w:hAnsi="Arial"/>
          <w:sz w:val="20"/>
          <w:szCs w:val="20"/>
          <w:color w:val="auto"/>
        </w:rPr>
        <w:t>We limit the use of perquisites as a method of compensation. In 2025, Mr. Meissner received a monthly automobile allowance, and Mr. LeBlanc was provided with a Company-owned automobile for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117475</wp:posOffset>
            </wp:positionV>
            <wp:extent cx="6337300" cy="825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620"/>
          </w:cols>
          <w:pgMar w:left="320" w:top="470" w:right="959" w:bottom="1440" w:gutter="0" w:footer="0" w:header="0"/>
        </w:sectPr>
      </w:pPr>
    </w:p>
    <w:bookmarkStart w:id="74" w:name="page75"/>
    <w:bookmarkEnd w:id="74"/>
    <w:p>
      <w:pPr>
        <w:spacing w:after="0" w:line="231" w:lineRule="auto"/>
        <w:framePr w:w="2340" w:h="378" w:wrap="auto" w:vAnchor="page" w:hAnchor="page" w:x="7320" w:y="6727"/>
        <w:rPr>
          <w:rFonts w:ascii="Arial" w:cs="Arial" w:eastAsia="Arial" w:hAnsi="Arial"/>
          <w:sz w:val="17"/>
          <w:szCs w:val="17"/>
          <w:color w:val="auto"/>
        </w:rPr>
      </w:pPr>
      <w:r>
        <w:rPr>
          <w:rFonts w:ascii="Arial" w:cs="Arial" w:eastAsia="Arial" w:hAnsi="Arial"/>
          <w:sz w:val="17"/>
          <w:szCs w:val="17"/>
          <w:color w:val="auto"/>
        </w:rPr>
        <w:t>   Healthcare Insurance Plans    Dental Insurance Plan</w:t>
      </w:r>
    </w:p>
    <w:p>
      <w:pPr>
        <w:spacing w:after="0" w:line="192" w:lineRule="auto"/>
        <w:framePr w:w="1880" w:h="157" w:wrap="auto" w:vAnchor="page" w:hAnchor="page" w:x="7320" w:y="7169"/>
        <w:rPr>
          <w:rFonts w:ascii="Arial" w:cs="Arial" w:eastAsia="Arial" w:hAnsi="Arial"/>
          <w:sz w:val="17"/>
          <w:szCs w:val="17"/>
          <w:color w:val="auto"/>
        </w:rPr>
      </w:pPr>
      <w:r>
        <w:rPr>
          <w:rFonts w:ascii="Arial" w:cs="Arial" w:eastAsia="Arial" w:hAnsi="Arial"/>
          <w:sz w:val="17"/>
          <w:szCs w:val="17"/>
          <w:color w:val="auto"/>
        </w:rPr>
        <w:t>   Vision Insurance Plan</w:t>
      </w:r>
    </w:p>
    <w:p>
      <w:pPr>
        <w:jc w:val="both"/>
        <w:spacing w:after="0" w:line="213" w:lineRule="auto"/>
        <w:framePr w:w="3180" w:h="521" w:wrap="auto" w:vAnchor="page" w:hAnchor="page" w:x="7320" w:y="7390"/>
        <w:rPr>
          <w:rFonts w:ascii="Arial" w:cs="Arial" w:eastAsia="Arial" w:hAnsi="Arial"/>
          <w:sz w:val="17"/>
          <w:szCs w:val="17"/>
          <w:color w:val="auto"/>
        </w:rPr>
      </w:pPr>
      <w:r>
        <w:rPr>
          <w:rFonts w:ascii="Arial" w:cs="Arial" w:eastAsia="Arial" w:hAnsi="Arial"/>
          <w:sz w:val="17"/>
          <w:szCs w:val="17"/>
          <w:color w:val="auto"/>
        </w:rPr>
        <w:t>   Group Life and Supplemental Life, and Accident and Supplemental Accident Insurance Plans</w:t>
      </w:r>
    </w:p>
    <w:p>
      <w:pPr>
        <w:spacing w:after="0" w:line="231" w:lineRule="auto"/>
        <w:framePr w:w="3200" w:h="378" w:wrap="auto" w:vAnchor="page" w:hAnchor="page" w:x="7320" w:y="7975"/>
        <w:rPr>
          <w:rFonts w:ascii="Arial" w:cs="Arial" w:eastAsia="Arial" w:hAnsi="Arial"/>
          <w:sz w:val="17"/>
          <w:szCs w:val="17"/>
          <w:color w:val="auto"/>
        </w:rPr>
      </w:pPr>
      <w:r>
        <w:rPr>
          <w:rFonts w:ascii="Arial" w:cs="Arial" w:eastAsia="Arial" w:hAnsi="Arial"/>
          <w:sz w:val="17"/>
          <w:szCs w:val="17"/>
          <w:color w:val="auto"/>
        </w:rPr>
        <w:t>   Sick Pay and Short-Term Disability Pay    Long-Term Disability Insurance</w:t>
      </w:r>
    </w:p>
    <w:p>
      <w:pPr>
        <w:spacing w:after="0" w:line="192" w:lineRule="auto"/>
        <w:framePr w:w="2460" w:h="157" w:wrap="auto" w:vAnchor="page" w:hAnchor="page" w:x="7320" w:y="8417"/>
        <w:rPr>
          <w:rFonts w:ascii="Arial" w:cs="Arial" w:eastAsia="Arial" w:hAnsi="Arial"/>
          <w:sz w:val="17"/>
          <w:szCs w:val="17"/>
          <w:color w:val="auto"/>
        </w:rPr>
      </w:pPr>
      <w:r>
        <w:rPr>
          <w:rFonts w:ascii="Arial" w:cs="Arial" w:eastAsia="Arial" w:hAnsi="Arial"/>
          <w:sz w:val="17"/>
          <w:szCs w:val="17"/>
          <w:color w:val="auto"/>
        </w:rPr>
        <w:t>   Defined Benefit Pension Plan</w:t>
      </w:r>
    </w:p>
    <w:p>
      <w:pPr>
        <w:spacing w:after="0" w:line="192" w:lineRule="auto"/>
        <w:framePr w:w="2660" w:h="157" w:wrap="auto" w:vAnchor="page" w:hAnchor="page" w:x="7320" w:y="8638"/>
        <w:rPr>
          <w:rFonts w:ascii="Arial" w:cs="Arial" w:eastAsia="Arial" w:hAnsi="Arial"/>
          <w:sz w:val="17"/>
          <w:szCs w:val="17"/>
          <w:color w:val="auto"/>
        </w:rPr>
      </w:pPr>
      <w:r>
        <w:rPr>
          <w:rFonts w:ascii="Arial" w:cs="Arial" w:eastAsia="Arial" w:hAnsi="Arial"/>
          <w:sz w:val="17"/>
          <w:szCs w:val="17"/>
          <w:color w:val="auto"/>
        </w:rPr>
        <w:t>   401(k) Retirement Savings Plan</w:t>
      </w:r>
    </w:p>
    <w:p>
      <w:pPr>
        <w:spacing w:after="0" w:line="213" w:lineRule="auto"/>
        <w:framePr w:w="3600" w:h="521" w:wrap="auto" w:vAnchor="page" w:hAnchor="page" w:x="7320" w:y="8858"/>
        <w:rPr>
          <w:rFonts w:ascii="Arial" w:cs="Arial" w:eastAsia="Arial" w:hAnsi="Arial"/>
          <w:sz w:val="17"/>
          <w:szCs w:val="17"/>
          <w:color w:val="auto"/>
        </w:rPr>
      </w:pPr>
      <w:r>
        <w:rPr>
          <w:rFonts w:ascii="Arial" w:cs="Arial" w:eastAsia="Arial" w:hAnsi="Arial"/>
          <w:sz w:val="17"/>
          <w:szCs w:val="17"/>
          <w:color w:val="auto"/>
        </w:rPr>
        <w:t>   Flexible Spending Accounts: Flexible Spending Account and Healthcare Savings Account</w:t>
      </w:r>
    </w:p>
    <w:p>
      <w:pPr>
        <w:spacing w:after="0" w:line="192" w:lineRule="auto"/>
        <w:framePr w:w="1640" w:h="157" w:wrap="auto" w:vAnchor="page" w:hAnchor="page" w:x="7320" w:y="9443"/>
        <w:rPr>
          <w:rFonts w:ascii="Arial" w:cs="Arial" w:eastAsia="Arial" w:hAnsi="Arial"/>
          <w:sz w:val="17"/>
          <w:szCs w:val="17"/>
          <w:color w:val="auto"/>
        </w:rPr>
      </w:pPr>
      <w:r>
        <w:rPr>
          <w:rFonts w:ascii="Arial" w:cs="Arial" w:eastAsia="Arial" w:hAnsi="Arial"/>
          <w:sz w:val="17"/>
          <w:szCs w:val="17"/>
          <w:color w:val="auto"/>
        </w:rPr>
        <w:t>   Paid Family Leave</w:t>
      </w:r>
    </w:p>
    <w:p>
      <w:pPr>
        <w:spacing w:after="0" w:line="231" w:lineRule="auto"/>
        <w:framePr w:w="2480" w:h="378" w:wrap="auto" w:vAnchor="page" w:hAnchor="page" w:x="7320" w:y="9664"/>
        <w:rPr>
          <w:rFonts w:ascii="Arial" w:cs="Arial" w:eastAsia="Arial" w:hAnsi="Arial"/>
          <w:sz w:val="17"/>
          <w:szCs w:val="17"/>
          <w:color w:val="auto"/>
        </w:rPr>
      </w:pPr>
      <w:r>
        <w:rPr>
          <w:rFonts w:ascii="Arial" w:cs="Arial" w:eastAsia="Arial" w:hAnsi="Arial"/>
          <w:sz w:val="17"/>
          <w:szCs w:val="17"/>
          <w:color w:val="auto"/>
        </w:rPr>
        <w:t>   Retirement Planning Services    Wellness Program</w:t>
      </w:r>
    </w:p>
    <w:p>
      <w:pPr>
        <w:spacing w:after="0" w:line="231" w:lineRule="auto"/>
        <w:framePr w:w="3220" w:h="378" w:wrap="auto" w:vAnchor="page" w:hAnchor="page" w:x="7320" w:y="10106"/>
        <w:rPr>
          <w:rFonts w:ascii="Arial" w:cs="Arial" w:eastAsia="Arial" w:hAnsi="Arial"/>
          <w:sz w:val="17"/>
          <w:szCs w:val="17"/>
          <w:color w:val="auto"/>
        </w:rPr>
      </w:pPr>
      <w:r>
        <w:rPr>
          <w:rFonts w:ascii="Arial" w:cs="Arial" w:eastAsia="Arial" w:hAnsi="Arial"/>
          <w:sz w:val="17"/>
          <w:szCs w:val="17"/>
          <w:color w:val="auto"/>
        </w:rPr>
        <w:t>   Payroll Deduction Stock Purchase Plan    Education Assistance</w:t>
      </w:r>
    </w:p>
    <w:p>
      <w:pPr>
        <w:spacing w:after="0" w:line="231" w:lineRule="auto"/>
        <w:framePr w:w="3480" w:h="378" w:wrap="auto" w:vAnchor="page" w:hAnchor="page" w:x="7320" w:y="10548"/>
        <w:rPr>
          <w:rFonts w:ascii="Arial" w:cs="Arial" w:eastAsia="Arial" w:hAnsi="Arial"/>
          <w:sz w:val="17"/>
          <w:szCs w:val="17"/>
          <w:color w:val="auto"/>
        </w:rPr>
      </w:pPr>
      <w:r>
        <w:rPr>
          <w:rFonts w:ascii="Arial" w:cs="Arial" w:eastAsia="Arial" w:hAnsi="Arial"/>
          <w:sz w:val="17"/>
          <w:szCs w:val="17"/>
          <w:color w:val="auto"/>
        </w:rPr>
        <w:t>   Employee Assistance Counseling Program    Paid Time Community Service Benefit</w:t>
      </w:r>
    </w:p>
    <w:p>
      <w:pPr>
        <w:spacing w:after="0" w:line="192" w:lineRule="auto"/>
        <w:framePr w:w="2200" w:h="157" w:wrap="auto" w:vAnchor="page" w:hAnchor="page" w:x="7940" w:y="6351"/>
        <w:rPr>
          <w:rFonts w:ascii="Arial" w:cs="Arial" w:eastAsia="Arial" w:hAnsi="Arial"/>
          <w:sz w:val="17"/>
          <w:szCs w:val="17"/>
          <w:b w:val="1"/>
          <w:bCs w:val="1"/>
          <w:color w:val="auto"/>
        </w:rPr>
      </w:pPr>
      <w:r>
        <w:rPr>
          <w:rFonts w:ascii="Arial" w:cs="Arial" w:eastAsia="Arial" w:hAnsi="Arial"/>
          <w:sz w:val="17"/>
          <w:szCs w:val="17"/>
          <w:b w:val="1"/>
          <w:bCs w:val="1"/>
          <w:color w:val="auto"/>
        </w:rPr>
        <w:t>Active Employee Benefits</w:t>
      </w:r>
    </w:p>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rFonts w:ascii="Arial" w:cs="Arial" w:eastAsia="Arial" w:hAnsi="Arial"/>
          <w:sz w:val="17"/>
          <w:szCs w:val="17"/>
          <w:b w:val="1"/>
          <w:bCs w:val="1"/>
          <w:color w:val="auto"/>
        </w:rPr>
      </w:pPr>
    </w:p>
    <w:p>
      <w:pPr>
        <w:ind w:left="640" w:right="120"/>
        <w:spacing w:after="0" w:line="243" w:lineRule="auto"/>
        <w:rPr>
          <w:sz w:val="20"/>
          <w:szCs w:val="20"/>
          <w:color w:val="auto"/>
        </w:rPr>
      </w:pPr>
      <w:r>
        <w:rPr>
          <w:rFonts w:ascii="Arial" w:cs="Arial" w:eastAsia="Arial" w:hAnsi="Arial"/>
          <w:sz w:val="21"/>
          <w:szCs w:val="21"/>
          <w:color w:val="auto"/>
        </w:rPr>
        <w:t xml:space="preserve">personal use. Please see the All Other Compensation column of the Summary Compensation Table in the section entitled </w:t>
      </w:r>
      <w:r>
        <w:rPr>
          <w:rFonts w:ascii="Arial" w:cs="Arial" w:eastAsia="Arial" w:hAnsi="Arial"/>
          <w:sz w:val="21"/>
          <w:szCs w:val="21"/>
          <w:i w:val="1"/>
          <w:iCs w:val="1"/>
          <w:color w:val="auto"/>
        </w:rPr>
        <w:t>Compensation—Compensation of Named Executive Officers</w:t>
      </w:r>
      <w:r>
        <w:rPr>
          <w:rFonts w:ascii="Arial" w:cs="Arial" w:eastAsia="Arial" w:hAnsi="Arial"/>
          <w:sz w:val="21"/>
          <w:szCs w:val="21"/>
          <w:color w:val="auto"/>
        </w:rPr>
        <w:t>. The perquisite provided to Mr. Meissner is pursuant to his employment agreement, and with the exception of Mr. LeBlanc as described above, no perquisites are provided to any other Named Executive Officer.</w:t>
      </w:r>
    </w:p>
    <w:p>
      <w:pPr>
        <w:spacing w:after="0" w:line="169" w:lineRule="exact"/>
        <w:rPr>
          <w:rFonts w:ascii="Arial" w:cs="Arial" w:eastAsia="Arial" w:hAnsi="Arial"/>
          <w:sz w:val="17"/>
          <w:szCs w:val="17"/>
          <w:b w:val="1"/>
          <w:bCs w:val="1"/>
          <w:color w:val="auto"/>
        </w:rPr>
      </w:pPr>
    </w:p>
    <w:p>
      <w:pPr>
        <w:ind w:left="640"/>
        <w:spacing w:after="0"/>
        <w:rPr>
          <w:sz w:val="20"/>
          <w:szCs w:val="20"/>
          <w:color w:val="auto"/>
        </w:rPr>
      </w:pPr>
      <w:r>
        <w:rPr>
          <w:rFonts w:ascii="Arial" w:cs="Arial" w:eastAsia="Arial" w:hAnsi="Arial"/>
          <w:sz w:val="24"/>
          <w:szCs w:val="24"/>
          <w:b w:val="1"/>
          <w:bCs w:val="1"/>
          <w:color w:val="auto"/>
        </w:rPr>
        <w:t>INTERNAL REVENUE CODE SECTION 162(M)</w:t>
      </w:r>
    </w:p>
    <w:p>
      <w:pPr>
        <w:spacing w:after="0" w:line="20" w:lineRule="exact"/>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rFonts w:ascii="Arial" w:cs="Arial" w:eastAsia="Arial" w:hAnsi="Arial"/>
          <w:sz w:val="17"/>
          <w:szCs w:val="17"/>
          <w:b w:val="1"/>
          <w:bCs w:val="1"/>
          <w:color w:val="auto"/>
        </w:rPr>
      </w:pPr>
    </w:p>
    <w:p>
      <w:pPr>
        <w:ind w:left="640" w:right="140"/>
        <w:spacing w:after="0" w:line="235" w:lineRule="auto"/>
        <w:rPr>
          <w:sz w:val="20"/>
          <w:szCs w:val="20"/>
          <w:color w:val="auto"/>
        </w:rPr>
      </w:pPr>
      <w:r>
        <w:rPr>
          <w:rFonts w:ascii="Arial" w:cs="Arial" w:eastAsia="Arial" w:hAnsi="Arial"/>
          <w:sz w:val="21"/>
          <w:szCs w:val="21"/>
          <w:color w:val="auto"/>
        </w:rPr>
        <w:t>In general, under Section 162(m) of the Internal Revenue Code of 1986, as amended (the “Code”), we cannot deduct, for federal income tax purposes, compensation in excess of $1,000,000 paid to the CEO, CFO and certain executive officers. However, for prior to the 2018 tax year, this deduction limitation did not apply to compensation that constituted “qualified performance-based compensation” within the meaning of Section 162(m) of the Code and applicable regulations, as then in effect. In 2018, the “qualified performance-based compensation” exception under Section 162(m) of the Code was eliminated, other than with respect to compensation payable pursuant to a written binding contract that was in effect on November 2, 2017, and is not materially modified after that date</w:t>
      </w:r>
      <w:r>
        <w:rPr>
          <w:rFonts w:ascii="Arial" w:cs="Arial" w:eastAsia="Arial" w:hAnsi="Arial"/>
          <w:sz w:val="21"/>
          <w:szCs w:val="21"/>
          <w:b w:val="1"/>
          <w:bCs w:val="1"/>
          <w:color w:val="auto"/>
        </w:rPr>
        <w:t>.</w:t>
      </w:r>
      <w:r>
        <w:rPr>
          <w:rFonts w:ascii="Arial" w:cs="Arial" w:eastAsia="Arial" w:hAnsi="Arial"/>
          <w:sz w:val="21"/>
          <w:szCs w:val="21"/>
          <w:color w:val="auto"/>
        </w:rPr>
        <w:t xml:space="preserve"> For the 2025 tax year, the deduction limitation applied to all Named Executive Officers. The Committee reserves its right to authorize executive compensation that may or may not be subject to the deduction limitations of Section 162(m) of the Code when it believes that such compensation is appropriate and in the best interests of our Company and our shareholders.</w:t>
      </w:r>
    </w:p>
    <w:p>
      <w:pPr>
        <w:spacing w:after="0" w:line="181" w:lineRule="exact"/>
        <w:rPr>
          <w:rFonts w:ascii="Arial" w:cs="Arial" w:eastAsia="Arial" w:hAnsi="Arial"/>
          <w:sz w:val="17"/>
          <w:szCs w:val="17"/>
          <w:b w:val="1"/>
          <w:bCs w:val="1"/>
          <w:color w:val="auto"/>
        </w:rPr>
      </w:pPr>
    </w:p>
    <w:p>
      <w:pPr>
        <w:ind w:left="640"/>
        <w:spacing w:after="0"/>
        <w:rPr>
          <w:sz w:val="20"/>
          <w:szCs w:val="20"/>
          <w:color w:val="auto"/>
        </w:rPr>
      </w:pPr>
      <w:r>
        <w:rPr>
          <w:rFonts w:ascii="Arial" w:cs="Arial" w:eastAsia="Arial" w:hAnsi="Arial"/>
          <w:sz w:val="24"/>
          <w:szCs w:val="24"/>
          <w:b w:val="1"/>
          <w:bCs w:val="1"/>
          <w:color w:val="auto"/>
        </w:rPr>
        <w:t>OTHER EMPLOYEE BENEFITS</w:t>
      </w:r>
    </w:p>
    <w:p>
      <w:pPr>
        <w:spacing w:after="0" w:line="20" w:lineRule="exact"/>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33" w:lineRule="exact"/>
        <w:rPr>
          <w:rFonts w:ascii="Arial" w:cs="Arial" w:eastAsia="Arial" w:hAnsi="Arial"/>
          <w:sz w:val="17"/>
          <w:szCs w:val="17"/>
          <w:b w:val="1"/>
          <w:bCs w:val="1"/>
          <w:color w:val="auto"/>
        </w:rPr>
      </w:pPr>
    </w:p>
    <w:p>
      <w:pPr>
        <w:ind w:left="640"/>
        <w:spacing w:after="0"/>
        <w:rPr>
          <w:sz w:val="20"/>
          <w:szCs w:val="20"/>
          <w:color w:val="auto"/>
        </w:rPr>
      </w:pPr>
      <w:r>
        <w:rPr>
          <w:rFonts w:ascii="Arial" w:cs="Arial" w:eastAsia="Arial" w:hAnsi="Arial"/>
          <w:sz w:val="21"/>
          <w:szCs w:val="21"/>
          <w:b w:val="1"/>
          <w:bCs w:val="1"/>
          <w:color w:val="auto"/>
        </w:rPr>
        <w:t>Active Employee Benefits</w:t>
      </w:r>
    </w:p>
    <w:p>
      <w:pPr>
        <w:spacing w:after="0" w:line="20" w:lineRule="exact"/>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column">
              <wp:posOffset>4284980</wp:posOffset>
            </wp:positionH>
            <wp:positionV relativeFrom="paragraph">
              <wp:posOffset>-135890</wp:posOffset>
            </wp:positionV>
            <wp:extent cx="2458720" cy="32594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458720" cy="3259455"/>
                    </a:xfrm>
                    <a:prstGeom prst="rect">
                      <a:avLst/>
                    </a:prstGeom>
                    <a:noFill/>
                  </pic:spPr>
                </pic:pic>
              </a:graphicData>
            </a:graphic>
          </wp:anchor>
        </w:drawing>
      </w:r>
    </w:p>
    <w:p>
      <w:pPr>
        <w:spacing w:after="0" w:line="219" w:lineRule="exact"/>
        <w:rPr>
          <w:rFonts w:ascii="Arial" w:cs="Arial" w:eastAsia="Arial" w:hAnsi="Arial"/>
          <w:sz w:val="17"/>
          <w:szCs w:val="17"/>
          <w:b w:val="1"/>
          <w:bCs w:val="1"/>
          <w:color w:val="auto"/>
        </w:rPr>
      </w:pPr>
    </w:p>
    <w:p>
      <w:pPr>
        <w:ind w:left="640" w:right="4060"/>
        <w:spacing w:after="0" w:line="254" w:lineRule="auto"/>
        <w:rPr>
          <w:sz w:val="20"/>
          <w:szCs w:val="20"/>
          <w:color w:val="auto"/>
        </w:rPr>
      </w:pPr>
      <w:r>
        <w:rPr>
          <w:rFonts w:ascii="Arial" w:cs="Arial" w:eastAsia="Arial" w:hAnsi="Arial"/>
          <w:sz w:val="21"/>
          <w:szCs w:val="21"/>
          <w:color w:val="auto"/>
        </w:rPr>
        <w:t>Our employees are the backbone of our Company, and finding and retaining quality, highly motivated employees is critical to sustaining our exceptional culture as well as to our overall success. Our employees reflect a long-standing dedication to inspired teamwork, constant collaboration, and the insistence on the highest possible standards for ethical business practices. To continue to attract and retain the best people, we provide a comprehensive package of employee benefits to substantially all active employees.</w:t>
      </w:r>
    </w:p>
    <w:p>
      <w:pPr>
        <w:spacing w:after="0" w:line="182" w:lineRule="exact"/>
        <w:rPr>
          <w:rFonts w:ascii="Arial" w:cs="Arial" w:eastAsia="Arial" w:hAnsi="Arial"/>
          <w:sz w:val="17"/>
          <w:szCs w:val="17"/>
          <w:b w:val="1"/>
          <w:bCs w:val="1"/>
          <w:color w:val="auto"/>
        </w:rPr>
      </w:pPr>
    </w:p>
    <w:p>
      <w:pPr>
        <w:ind w:left="640"/>
        <w:spacing w:after="0"/>
        <w:rPr>
          <w:sz w:val="20"/>
          <w:szCs w:val="20"/>
          <w:color w:val="auto"/>
        </w:rPr>
      </w:pPr>
      <w:r>
        <w:rPr>
          <w:rFonts w:ascii="Arial" w:cs="Arial" w:eastAsia="Arial" w:hAnsi="Arial"/>
          <w:sz w:val="21"/>
          <w:szCs w:val="21"/>
          <w:b w:val="1"/>
          <w:bCs w:val="1"/>
          <w:color w:val="auto"/>
        </w:rPr>
        <w:t>Retired Employee Benefits</w:t>
      </w:r>
    </w:p>
    <w:p>
      <w:pPr>
        <w:spacing w:after="0" w:line="239" w:lineRule="exact"/>
        <w:rPr>
          <w:rFonts w:ascii="Arial" w:cs="Arial" w:eastAsia="Arial" w:hAnsi="Arial"/>
          <w:sz w:val="17"/>
          <w:szCs w:val="17"/>
          <w:b w:val="1"/>
          <w:bCs w:val="1"/>
          <w:color w:val="auto"/>
        </w:rPr>
      </w:pPr>
    </w:p>
    <w:p>
      <w:pPr>
        <w:ind w:left="640" w:right="4020"/>
        <w:spacing w:after="0" w:line="265" w:lineRule="auto"/>
        <w:rPr>
          <w:sz w:val="20"/>
          <w:szCs w:val="20"/>
          <w:color w:val="auto"/>
        </w:rPr>
      </w:pPr>
      <w:r>
        <w:rPr>
          <w:rFonts w:ascii="Arial" w:cs="Arial" w:eastAsia="Arial" w:hAnsi="Arial"/>
          <w:sz w:val="20"/>
          <w:szCs w:val="20"/>
          <w:color w:val="auto"/>
        </w:rPr>
        <w:t>-We provide company-paid life insurance, as well as company-subsidized medical insurance, to qualifying retirees. For non-union employees hired before December 31, 2009, and retiring on or after January 1, 2010, we subsidize post-retirement medical premiums at the same percentage as active employees. For employees hired after December 31, 2009, this subsidy ends when the retiree reaches age 65. Post-retirement benefits for</w:t>
      </w:r>
    </w:p>
    <w:p>
      <w:pPr>
        <w:spacing w:after="0" w:line="4" w:lineRule="exact"/>
        <w:rPr>
          <w:rFonts w:ascii="Arial" w:cs="Arial" w:eastAsia="Arial" w:hAnsi="Arial"/>
          <w:sz w:val="17"/>
          <w:szCs w:val="17"/>
          <w:b w:val="1"/>
          <w:bCs w:val="1"/>
          <w:color w:val="auto"/>
        </w:rPr>
      </w:pPr>
    </w:p>
    <w:p>
      <w:pPr>
        <w:ind w:left="640" w:right="200"/>
        <w:spacing w:after="0" w:line="250" w:lineRule="auto"/>
        <w:rPr>
          <w:sz w:val="20"/>
          <w:szCs w:val="20"/>
          <w:color w:val="auto"/>
        </w:rPr>
      </w:pPr>
      <w:r>
        <w:rPr>
          <w:rFonts w:ascii="Arial" w:cs="Arial" w:eastAsia="Arial" w:hAnsi="Arial"/>
          <w:sz w:val="21"/>
          <w:szCs w:val="21"/>
          <w:color w:val="auto"/>
        </w:rPr>
        <w:t>employees represented by unions are administered in accordance with the applicable collective bargaining agreement.</w:t>
      </w:r>
    </w:p>
    <w:p>
      <w:pPr>
        <w:spacing w:after="0" w:line="20" w:lineRule="exact"/>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column">
              <wp:posOffset>407035</wp:posOffset>
            </wp:positionH>
            <wp:positionV relativeFrom="paragraph">
              <wp:posOffset>142240</wp:posOffset>
            </wp:positionV>
            <wp:extent cx="6337300" cy="908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rFonts w:ascii="Arial" w:cs="Arial" w:eastAsia="Arial" w:hAnsi="Arial"/>
          <w:sz w:val="17"/>
          <w:szCs w:val="17"/>
          <w:b w:val="1"/>
          <w:bCs w:val="1"/>
          <w:color w:val="auto"/>
        </w:rPr>
      </w:pPr>
    </w:p>
    <w:p>
      <w:pPr>
        <w:spacing w:after="0" w:line="221" w:lineRule="exact"/>
        <w:rPr>
          <w:rFonts w:ascii="Arial" w:cs="Arial" w:eastAsia="Arial" w:hAnsi="Arial"/>
          <w:sz w:val="17"/>
          <w:szCs w:val="17"/>
          <w:b w:val="1"/>
          <w:bCs w:val="1"/>
          <w:color w:val="auto"/>
        </w:rPr>
      </w:pPr>
    </w:p>
    <w:p>
      <w:pPr>
        <w:jc w:val="right"/>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620"/>
          </w:cols>
          <w:pgMar w:left="320" w:top="470" w:right="9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COMPENSATION COMMITTEE REPORT</w:t>
      </w:r>
    </w:p>
    <w:p>
      <w:pPr>
        <w:spacing w:after="0" w:line="281" w:lineRule="exact"/>
        <w:rPr>
          <w:sz w:val="20"/>
          <w:szCs w:val="20"/>
          <w:color w:val="auto"/>
        </w:rPr>
      </w:pPr>
    </w:p>
    <w:p>
      <w:pPr>
        <w:ind w:left="640" w:right="100"/>
        <w:spacing w:after="0" w:line="264" w:lineRule="auto"/>
        <w:rPr>
          <w:sz w:val="20"/>
          <w:szCs w:val="20"/>
          <w:color w:val="auto"/>
        </w:rPr>
      </w:pPr>
      <w:r>
        <w:rPr>
          <w:rFonts w:ascii="Arial" w:cs="Arial" w:eastAsia="Arial" w:hAnsi="Arial"/>
          <w:sz w:val="21"/>
          <w:szCs w:val="21"/>
          <w:color w:val="auto"/>
        </w:rPr>
        <w:t>This report is submitted by the Compensation Committee of Unitil with respect to the review and approval of the Compensation Discussion and Analysis, which appears above.</w:t>
      </w:r>
    </w:p>
    <w:p>
      <w:pPr>
        <w:spacing w:after="0" w:line="105" w:lineRule="exact"/>
        <w:rPr>
          <w:sz w:val="20"/>
          <w:szCs w:val="20"/>
          <w:color w:val="auto"/>
        </w:rPr>
      </w:pPr>
    </w:p>
    <w:p>
      <w:pPr>
        <w:ind w:left="640" w:right="280"/>
        <w:spacing w:after="0" w:line="243" w:lineRule="auto"/>
        <w:rPr>
          <w:sz w:val="20"/>
          <w:szCs w:val="20"/>
          <w:color w:val="auto"/>
        </w:rPr>
      </w:pPr>
      <w:r>
        <w:rPr>
          <w:rFonts w:ascii="Arial" w:cs="Arial" w:eastAsia="Arial" w:hAnsi="Arial"/>
          <w:sz w:val="21"/>
          <w:szCs w:val="21"/>
          <w:color w:val="auto"/>
        </w:rPr>
        <w:t>In discharging its oversight responsibility, the Compensation Committee has reviewed and discussed the Compensation Discussion and Analysis required by Item 402(b) of Regulation S-K with management, and has recommended to the Board that the Compensation Discussion and Analysis be included in this proxy statement for the Annual Meeting.</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Compensation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12065</wp:posOffset>
            </wp:positionV>
            <wp:extent cx="63373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6" w:lineRule="exact"/>
        <w:rPr>
          <w:sz w:val="20"/>
          <w:szCs w:val="20"/>
          <w:color w:val="auto"/>
        </w:rPr>
      </w:pPr>
    </w:p>
    <w:p>
      <w:pPr>
        <w:ind w:left="640" w:right="500"/>
        <w:spacing w:after="0" w:line="262" w:lineRule="auto"/>
        <w:rPr>
          <w:sz w:val="20"/>
          <w:szCs w:val="20"/>
          <w:color w:val="auto"/>
        </w:rPr>
      </w:pPr>
      <w:r>
        <w:rPr>
          <w:rFonts w:ascii="Arial" w:cs="Arial" w:eastAsia="Arial" w:hAnsi="Arial"/>
          <w:sz w:val="21"/>
          <w:szCs w:val="21"/>
          <w:i w:val="1"/>
          <w:iCs w:val="1"/>
          <w:color w:val="auto"/>
        </w:rPr>
        <w:t>Anne L. Alonzo, Neveen F. Awad, Ph.D., Winfield S. Brown (chair), Jane Lewis-Raymond, and David A. Whiteley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134620</wp:posOffset>
            </wp:positionV>
            <wp:extent cx="6337300" cy="825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620"/>
          </w:cols>
          <w:pgMar w:left="320" w:top="470" w:right="9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COMPENSATION OF NAMED EXECUTIVE OFFICERS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right="980"/>
        <w:spacing w:after="0" w:line="248" w:lineRule="auto"/>
        <w:rPr>
          <w:sz w:val="20"/>
          <w:szCs w:val="20"/>
          <w:color w:val="auto"/>
        </w:rPr>
      </w:pPr>
      <w:r>
        <w:rPr>
          <w:rFonts w:ascii="Arial" w:cs="Arial" w:eastAsia="Arial" w:hAnsi="Arial"/>
          <w:sz w:val="21"/>
          <w:szCs w:val="21"/>
          <w:color w:val="auto"/>
        </w:rPr>
        <w:t>The table below shows the information specified in paragraph (c)(2) of Item 402 of Regulation S-K concerning the compensation of the CEO, the CFO, and our three other most highly compensated officers for each of fiscal years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135255</wp:posOffset>
            </wp:positionV>
            <wp:extent cx="6793865" cy="2476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93865" cy="247650"/>
                    </a:xfrm>
                    <a:prstGeom prst="rect">
                      <a:avLst/>
                    </a:prstGeom>
                    <a:noFill/>
                  </pic:spPr>
                </pic:pic>
              </a:graphicData>
            </a:graphic>
          </wp:anchor>
        </w:drawing>
      </w:r>
    </w:p>
    <w:p>
      <w:pPr>
        <w:spacing w:after="0" w:line="287" w:lineRule="exact"/>
        <w:rPr>
          <w:sz w:val="20"/>
          <w:szCs w:val="20"/>
          <w:color w:val="auto"/>
        </w:rPr>
      </w:pPr>
    </w:p>
    <w:p>
      <w:pPr>
        <w:ind w:left="4480"/>
        <w:spacing w:after="0"/>
        <w:rPr>
          <w:sz w:val="20"/>
          <w:szCs w:val="20"/>
          <w:color w:val="auto"/>
        </w:rPr>
      </w:pPr>
      <w:r>
        <w:rPr>
          <w:rFonts w:ascii="Arial" w:cs="Arial" w:eastAsia="Arial" w:hAnsi="Arial"/>
          <w:sz w:val="19"/>
          <w:szCs w:val="19"/>
          <w:b w:val="1"/>
          <w:bCs w:val="1"/>
          <w:color w:val="FFFFFF"/>
        </w:rPr>
        <w:t>SUMMARY COMPENSATION TABLE</w:t>
      </w:r>
    </w:p>
    <w:p>
      <w:pPr>
        <w:spacing w:after="0" w:line="6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96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  Change in</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56"/>
        </w:trPr>
        <w:tc>
          <w:tcPr>
            <w:tcW w:w="196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gridSpan w:val="2"/>
          </w:tcPr>
          <w:p>
            <w:pPr>
              <w:jc w:val="center"/>
              <w:spacing w:after="0" w:line="156" w:lineRule="exact"/>
              <w:rPr>
                <w:sz w:val="20"/>
                <w:szCs w:val="20"/>
                <w:color w:val="auto"/>
              </w:rPr>
            </w:pPr>
            <w:r>
              <w:rPr>
                <w:rFonts w:ascii="Arial" w:cs="Arial" w:eastAsia="Arial" w:hAnsi="Arial"/>
                <w:sz w:val="14"/>
                <w:szCs w:val="14"/>
                <w:b w:val="1"/>
                <w:bCs w:val="1"/>
                <w:color w:val="auto"/>
                <w:w w:val="96"/>
              </w:rPr>
              <w:t>  Pension Value &amp;</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56"/>
        </w:trPr>
        <w:tc>
          <w:tcPr>
            <w:tcW w:w="196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3"/>
              </w:rPr>
              <w:t>  Non-Equity</w:t>
            </w:r>
          </w:p>
        </w:tc>
        <w:tc>
          <w:tcPr>
            <w:tcW w:w="1700" w:type="dxa"/>
            <w:vAlign w:val="bottom"/>
            <w:tcBorders>
              <w:right w:val="single" w:sz="8" w:color="auto"/>
            </w:tcBorders>
            <w:gridSpan w:val="2"/>
          </w:tcPr>
          <w:p>
            <w:pPr>
              <w:jc w:val="center"/>
              <w:spacing w:after="0" w:line="156" w:lineRule="exact"/>
              <w:rPr>
                <w:sz w:val="20"/>
                <w:szCs w:val="20"/>
                <w:color w:val="auto"/>
              </w:rPr>
            </w:pPr>
            <w:r>
              <w:rPr>
                <w:rFonts w:ascii="Arial" w:cs="Arial" w:eastAsia="Arial" w:hAnsi="Arial"/>
                <w:sz w:val="14"/>
                <w:szCs w:val="14"/>
                <w:b w:val="1"/>
                <w:bCs w:val="1"/>
                <w:color w:val="auto"/>
                <w:w w:val="95"/>
              </w:rPr>
              <w:t>  Non-Qualified</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56"/>
        </w:trPr>
        <w:tc>
          <w:tcPr>
            <w:tcW w:w="196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4"/>
              </w:rPr>
              <w:t>  Incentive</w:t>
            </w:r>
          </w:p>
        </w:tc>
        <w:tc>
          <w:tcPr>
            <w:tcW w:w="1700" w:type="dxa"/>
            <w:vAlign w:val="bottom"/>
            <w:tcBorders>
              <w:right w:val="single" w:sz="8" w:color="auto"/>
            </w:tcBorders>
            <w:gridSpan w:val="2"/>
          </w:tcPr>
          <w:p>
            <w:pPr>
              <w:jc w:val="center"/>
              <w:spacing w:after="0" w:line="156" w:lineRule="exact"/>
              <w:rPr>
                <w:sz w:val="20"/>
                <w:szCs w:val="20"/>
                <w:color w:val="auto"/>
              </w:rPr>
            </w:pPr>
            <w:r>
              <w:rPr>
                <w:rFonts w:ascii="Arial" w:cs="Arial" w:eastAsia="Arial" w:hAnsi="Arial"/>
                <w:sz w:val="14"/>
                <w:szCs w:val="14"/>
                <w:b w:val="1"/>
                <w:bCs w:val="1"/>
                <w:color w:val="auto"/>
                <w:w w:val="93"/>
              </w:rPr>
              <w:t>  Deferred</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54"/>
        </w:trPr>
        <w:tc>
          <w:tcPr>
            <w:tcW w:w="1960" w:type="dxa"/>
            <w:vAlign w:val="bottom"/>
            <w:tcBorders>
              <w:right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 Name and Principal</w:t>
            </w:r>
          </w:p>
        </w:tc>
        <w:tc>
          <w:tcPr>
            <w:tcW w:w="5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gridSpan w:val="2"/>
          </w:tcPr>
          <w:p>
            <w:pPr>
              <w:jc w:val="right"/>
              <w:ind w:right="451"/>
              <w:spacing w:after="0" w:line="154" w:lineRule="exact"/>
              <w:rPr>
                <w:sz w:val="20"/>
                <w:szCs w:val="20"/>
                <w:color w:val="auto"/>
              </w:rPr>
            </w:pPr>
            <w:r>
              <w:rPr>
                <w:rFonts w:ascii="Arial" w:cs="Arial" w:eastAsia="Arial" w:hAnsi="Arial"/>
                <w:sz w:val="14"/>
                <w:szCs w:val="14"/>
                <w:b w:val="1"/>
                <w:bCs w:val="1"/>
                <w:color w:val="auto"/>
              </w:rPr>
              <w:t>  Stock</w:t>
            </w:r>
          </w:p>
        </w:tc>
        <w:tc>
          <w:tcPr>
            <w:tcW w:w="780" w:type="dxa"/>
            <w:vAlign w:val="bottom"/>
            <w:tcBorders>
              <w:right w:val="single" w:sz="8" w:color="auto"/>
            </w:tcBorders>
          </w:tcPr>
          <w:p>
            <w:pPr>
              <w:ind w:left="100"/>
              <w:spacing w:after="0" w:line="154" w:lineRule="exact"/>
              <w:rPr>
                <w:sz w:val="20"/>
                <w:szCs w:val="20"/>
                <w:color w:val="auto"/>
              </w:rPr>
            </w:pPr>
            <w:r>
              <w:rPr>
                <w:rFonts w:ascii="Arial" w:cs="Arial" w:eastAsia="Arial" w:hAnsi="Arial"/>
                <w:sz w:val="14"/>
                <w:szCs w:val="14"/>
                <w:b w:val="1"/>
                <w:bCs w:val="1"/>
                <w:color w:val="auto"/>
              </w:rPr>
              <w:t>  Option</w:t>
            </w:r>
          </w:p>
        </w:tc>
        <w:tc>
          <w:tcPr>
            <w:tcW w:w="13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3"/>
              </w:rPr>
              <w:t>  Plan</w:t>
            </w:r>
          </w:p>
        </w:tc>
        <w:tc>
          <w:tcPr>
            <w:tcW w:w="1700" w:type="dxa"/>
            <w:vAlign w:val="bottom"/>
            <w:tcBorders>
              <w:right w:val="single" w:sz="8" w:color="auto"/>
            </w:tcBorders>
            <w:gridSpan w:val="2"/>
          </w:tcPr>
          <w:p>
            <w:pPr>
              <w:jc w:val="center"/>
              <w:spacing w:after="0" w:line="154" w:lineRule="exact"/>
              <w:rPr>
                <w:sz w:val="20"/>
                <w:szCs w:val="20"/>
                <w:color w:val="auto"/>
              </w:rPr>
            </w:pPr>
            <w:r>
              <w:rPr>
                <w:rFonts w:ascii="Arial" w:cs="Arial" w:eastAsia="Arial" w:hAnsi="Arial"/>
                <w:sz w:val="14"/>
                <w:szCs w:val="14"/>
                <w:b w:val="1"/>
                <w:bCs w:val="1"/>
                <w:color w:val="auto"/>
                <w:w w:val="90"/>
              </w:rPr>
              <w:t>  Comp</w:t>
            </w:r>
          </w:p>
        </w:tc>
        <w:tc>
          <w:tcPr>
            <w:tcW w:w="920" w:type="dxa"/>
            <w:vAlign w:val="bottom"/>
            <w:tcBorders>
              <w:right w:val="single" w:sz="8" w:color="auto"/>
            </w:tcBorders>
            <w:gridSpan w:val="4"/>
          </w:tcPr>
          <w:p>
            <w:pPr>
              <w:jc w:val="right"/>
              <w:ind w:right="160"/>
              <w:spacing w:after="0" w:line="154" w:lineRule="exact"/>
              <w:rPr>
                <w:sz w:val="20"/>
                <w:szCs w:val="20"/>
                <w:color w:val="auto"/>
              </w:rPr>
            </w:pPr>
            <w:r>
              <w:rPr>
                <w:rFonts w:ascii="Arial" w:cs="Arial" w:eastAsia="Arial" w:hAnsi="Arial"/>
                <w:sz w:val="14"/>
                <w:szCs w:val="14"/>
                <w:b w:val="1"/>
                <w:bCs w:val="1"/>
                <w:color w:val="auto"/>
              </w:rPr>
              <w:t>  All Other</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80"/>
        </w:trPr>
        <w:tc>
          <w:tcPr>
            <w:tcW w:w="1960" w:type="dxa"/>
            <w:vAlign w:val="bottom"/>
            <w:tcBorders>
              <w:bottom w:val="single" w:sz="8" w:color="314A72"/>
              <w:right w:val="single" w:sz="8" w:color="auto"/>
            </w:tcBorders>
          </w:tcPr>
          <w:p>
            <w:pPr>
              <w:spacing w:after="0" w:line="180" w:lineRule="exact"/>
              <w:rPr>
                <w:sz w:val="20"/>
                <w:szCs w:val="20"/>
                <w:color w:val="auto"/>
              </w:rPr>
            </w:pPr>
            <w:r>
              <w:rPr>
                <w:rFonts w:ascii="Arial" w:cs="Arial" w:eastAsia="Arial" w:hAnsi="Arial"/>
                <w:sz w:val="14"/>
                <w:szCs w:val="14"/>
                <w:b w:val="1"/>
                <w:bCs w:val="1"/>
                <w:color w:val="auto"/>
              </w:rPr>
              <w:t xml:space="preserve"> Position </w:t>
            </w:r>
            <w:r>
              <w:rPr>
                <w:rFonts w:ascii="Arial" w:cs="Arial" w:eastAsia="Arial" w:hAnsi="Arial"/>
                <w:sz w:val="20"/>
                <w:szCs w:val="20"/>
                <w:i w:val="1"/>
                <w:iCs w:val="1"/>
                <w:color w:val="auto"/>
                <w:vertAlign w:val="superscript"/>
              </w:rPr>
              <w:t>(1)</w:t>
            </w:r>
          </w:p>
        </w:tc>
        <w:tc>
          <w:tcPr>
            <w:tcW w:w="500" w:type="dxa"/>
            <w:vAlign w:val="bottom"/>
            <w:tcBorders>
              <w:bottom w:val="single" w:sz="8" w:color="314A72"/>
              <w:right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  Year </w:t>
            </w:r>
          </w:p>
        </w:tc>
        <w:tc>
          <w:tcPr>
            <w:tcW w:w="740" w:type="dxa"/>
            <w:vAlign w:val="bottom"/>
            <w:tcBorders>
              <w:bottom w:val="single" w:sz="8" w:color="314A72"/>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Salary </w:t>
            </w:r>
          </w:p>
        </w:tc>
        <w:tc>
          <w:tcPr>
            <w:tcW w:w="700" w:type="dxa"/>
            <w:vAlign w:val="bottom"/>
            <w:tcBorders>
              <w:bottom w:val="single" w:sz="8" w:color="314A72"/>
              <w:right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4"/>
              </w:rPr>
              <w:t>  Bonus </w:t>
            </w:r>
          </w:p>
        </w:tc>
        <w:tc>
          <w:tcPr>
            <w:tcW w:w="1400" w:type="dxa"/>
            <w:vAlign w:val="bottom"/>
            <w:tcBorders>
              <w:bottom w:val="single" w:sz="8" w:color="314A72"/>
              <w:right w:val="single" w:sz="8" w:color="auto"/>
            </w:tcBorders>
            <w:gridSpan w:val="2"/>
          </w:tcPr>
          <w:p>
            <w:pPr>
              <w:jc w:val="right"/>
              <w:ind w:right="271"/>
              <w:spacing w:after="0" w:line="180" w:lineRule="exact"/>
              <w:rPr>
                <w:sz w:val="20"/>
                <w:szCs w:val="20"/>
                <w:color w:val="auto"/>
              </w:rPr>
            </w:pPr>
            <w:r>
              <w:rPr>
                <w:rFonts w:ascii="Arial" w:cs="Arial" w:eastAsia="Arial" w:hAnsi="Arial"/>
                <w:sz w:val="14"/>
                <w:szCs w:val="14"/>
                <w:b w:val="1"/>
                <w:bCs w:val="1"/>
                <w:color w:val="auto"/>
              </w:rPr>
              <w:t xml:space="preserve">  Awards </w:t>
            </w:r>
            <w:r>
              <w:rPr>
                <w:rFonts w:ascii="Arial" w:cs="Arial" w:eastAsia="Arial" w:hAnsi="Arial"/>
                <w:sz w:val="20"/>
                <w:szCs w:val="20"/>
                <w:i w:val="1"/>
                <w:iCs w:val="1"/>
                <w:color w:val="auto"/>
                <w:vertAlign w:val="superscript"/>
              </w:rPr>
              <w:t>(2)</w:t>
            </w:r>
            <w:r>
              <w:rPr>
                <w:rFonts w:ascii="Arial" w:cs="Arial" w:eastAsia="Arial" w:hAnsi="Arial"/>
                <w:sz w:val="14"/>
                <w:szCs w:val="14"/>
                <w:b w:val="1"/>
                <w:bCs w:val="1"/>
                <w:color w:val="auto"/>
              </w:rPr>
              <w:t xml:space="preserve"> </w:t>
            </w:r>
          </w:p>
        </w:tc>
        <w:tc>
          <w:tcPr>
            <w:tcW w:w="780" w:type="dxa"/>
            <w:vAlign w:val="bottom"/>
            <w:tcBorders>
              <w:bottom w:val="single" w:sz="8" w:color="314A72"/>
              <w:right w:val="single" w:sz="8" w:color="auto"/>
            </w:tcBorders>
          </w:tcPr>
          <w:p>
            <w:pPr>
              <w:ind w:left="60"/>
              <w:spacing w:after="0"/>
              <w:rPr>
                <w:sz w:val="20"/>
                <w:szCs w:val="20"/>
                <w:color w:val="auto"/>
              </w:rPr>
            </w:pPr>
            <w:r>
              <w:rPr>
                <w:rFonts w:ascii="Arial" w:cs="Arial" w:eastAsia="Arial" w:hAnsi="Arial"/>
                <w:sz w:val="14"/>
                <w:szCs w:val="14"/>
                <w:b w:val="1"/>
                <w:bCs w:val="1"/>
                <w:color w:val="auto"/>
                <w:w w:val="99"/>
              </w:rPr>
              <w:t>  Awards </w:t>
            </w:r>
          </w:p>
        </w:tc>
        <w:tc>
          <w:tcPr>
            <w:tcW w:w="1380" w:type="dxa"/>
            <w:vAlign w:val="bottom"/>
            <w:tcBorders>
              <w:bottom w:val="single" w:sz="8" w:color="314A72"/>
              <w:right w:val="single" w:sz="8" w:color="auto"/>
            </w:tcBorders>
          </w:tcPr>
          <w:p>
            <w:pPr>
              <w:jc w:val="center"/>
              <w:spacing w:after="0" w:line="180" w:lineRule="exact"/>
              <w:rPr>
                <w:sz w:val="20"/>
                <w:szCs w:val="20"/>
                <w:color w:val="auto"/>
              </w:rPr>
            </w:pPr>
            <w:r>
              <w:rPr>
                <w:rFonts w:ascii="Arial" w:cs="Arial" w:eastAsia="Arial" w:hAnsi="Arial"/>
                <w:sz w:val="14"/>
                <w:szCs w:val="14"/>
                <w:b w:val="1"/>
                <w:bCs w:val="1"/>
                <w:color w:val="auto"/>
                <w:w w:val="87"/>
              </w:rPr>
              <w:t xml:space="preserve">  Comp </w:t>
            </w:r>
            <w:r>
              <w:rPr>
                <w:rFonts w:ascii="Arial" w:cs="Arial" w:eastAsia="Arial" w:hAnsi="Arial"/>
                <w:sz w:val="20"/>
                <w:szCs w:val="20"/>
                <w:i w:val="1"/>
                <w:iCs w:val="1"/>
                <w:color w:val="auto"/>
                <w:w w:val="87"/>
                <w:vertAlign w:val="superscript"/>
              </w:rPr>
              <w:t>(3)</w:t>
            </w:r>
          </w:p>
        </w:tc>
        <w:tc>
          <w:tcPr>
            <w:tcW w:w="1700" w:type="dxa"/>
            <w:vAlign w:val="bottom"/>
            <w:tcBorders>
              <w:bottom w:val="single" w:sz="8" w:color="314A72"/>
              <w:right w:val="single" w:sz="8" w:color="auto"/>
            </w:tcBorders>
            <w:gridSpan w:val="2"/>
          </w:tcPr>
          <w:p>
            <w:pPr>
              <w:jc w:val="center"/>
              <w:spacing w:after="0" w:line="180" w:lineRule="exact"/>
              <w:rPr>
                <w:sz w:val="20"/>
                <w:szCs w:val="20"/>
                <w:color w:val="auto"/>
              </w:rPr>
            </w:pPr>
            <w:r>
              <w:rPr>
                <w:rFonts w:ascii="Arial" w:cs="Arial" w:eastAsia="Arial" w:hAnsi="Arial"/>
                <w:sz w:val="14"/>
                <w:szCs w:val="14"/>
                <w:b w:val="1"/>
                <w:bCs w:val="1"/>
                <w:color w:val="auto"/>
                <w:w w:val="92"/>
              </w:rPr>
              <w:t xml:space="preserve">  Earnings </w:t>
            </w:r>
            <w:r>
              <w:rPr>
                <w:rFonts w:ascii="Arial" w:cs="Arial" w:eastAsia="Arial" w:hAnsi="Arial"/>
                <w:sz w:val="20"/>
                <w:szCs w:val="20"/>
                <w:i w:val="1"/>
                <w:iCs w:val="1"/>
                <w:color w:val="auto"/>
                <w:w w:val="92"/>
                <w:vertAlign w:val="superscript"/>
              </w:rPr>
              <w:t>(4)</w:t>
            </w:r>
            <w:r>
              <w:rPr>
                <w:rFonts w:ascii="Arial" w:cs="Arial" w:eastAsia="Arial" w:hAnsi="Arial"/>
                <w:sz w:val="14"/>
                <w:szCs w:val="14"/>
                <w:b w:val="1"/>
                <w:bCs w:val="1"/>
                <w:color w:val="auto"/>
                <w:w w:val="92"/>
              </w:rPr>
              <w:t xml:space="preserve"> </w:t>
            </w:r>
          </w:p>
        </w:tc>
        <w:tc>
          <w:tcPr>
            <w:tcW w:w="160" w:type="dxa"/>
            <w:vAlign w:val="bottom"/>
            <w:tcBorders>
              <w:bottom w:val="single" w:sz="8" w:color="314A72"/>
            </w:tcBorders>
          </w:tcPr>
          <w:p>
            <w:pPr>
              <w:spacing w:after="0"/>
              <w:rPr>
                <w:sz w:val="15"/>
                <w:szCs w:val="15"/>
                <w:color w:val="auto"/>
              </w:rPr>
            </w:pPr>
          </w:p>
        </w:tc>
        <w:tc>
          <w:tcPr>
            <w:tcW w:w="560" w:type="dxa"/>
            <w:vAlign w:val="bottom"/>
            <w:tcBorders>
              <w:bottom w:val="single" w:sz="8" w:color="314A72"/>
            </w:tcBorders>
          </w:tcPr>
          <w:p>
            <w:pPr>
              <w:jc w:val="right"/>
              <w:spacing w:after="0"/>
              <w:rPr>
                <w:sz w:val="20"/>
                <w:szCs w:val="20"/>
                <w:color w:val="auto"/>
              </w:rPr>
            </w:pPr>
            <w:r>
              <w:rPr>
                <w:rFonts w:ascii="Arial" w:cs="Arial" w:eastAsia="Arial" w:hAnsi="Arial"/>
                <w:sz w:val="14"/>
                <w:szCs w:val="14"/>
                <w:b w:val="1"/>
                <w:bCs w:val="1"/>
                <w:color w:val="auto"/>
                <w:w w:val="90"/>
              </w:rPr>
              <w:t>  Comp </w:t>
            </w:r>
          </w:p>
        </w:tc>
        <w:tc>
          <w:tcPr>
            <w:tcW w:w="100" w:type="dxa"/>
            <w:vAlign w:val="bottom"/>
            <w:tcBorders>
              <w:bottom w:val="single" w:sz="8" w:color="314A72"/>
            </w:tcBorders>
          </w:tcPr>
          <w:p>
            <w:pPr>
              <w:spacing w:after="0"/>
              <w:rPr>
                <w:sz w:val="15"/>
                <w:szCs w:val="15"/>
                <w:color w:val="auto"/>
              </w:rPr>
            </w:pPr>
          </w:p>
        </w:tc>
        <w:tc>
          <w:tcPr>
            <w:tcW w:w="100" w:type="dxa"/>
            <w:vAlign w:val="bottom"/>
            <w:tcBorders>
              <w:bottom w:val="single" w:sz="8" w:color="314A72"/>
              <w:right w:val="single" w:sz="8" w:color="auto"/>
            </w:tcBorders>
          </w:tcPr>
          <w:p>
            <w:pPr>
              <w:spacing w:after="0"/>
              <w:rPr>
                <w:sz w:val="15"/>
                <w:szCs w:val="15"/>
                <w:color w:val="auto"/>
              </w:rPr>
            </w:pPr>
          </w:p>
        </w:tc>
        <w:tc>
          <w:tcPr>
            <w:tcW w:w="140" w:type="dxa"/>
            <w:vAlign w:val="bottom"/>
            <w:tcBorders>
              <w:bottom w:val="single" w:sz="8" w:color="314A72"/>
            </w:tcBorders>
          </w:tcPr>
          <w:p>
            <w:pPr>
              <w:spacing w:after="0"/>
              <w:rPr>
                <w:sz w:val="15"/>
                <w:szCs w:val="15"/>
                <w:color w:val="auto"/>
              </w:rPr>
            </w:pPr>
          </w:p>
        </w:tc>
        <w:tc>
          <w:tcPr>
            <w:tcW w:w="480" w:type="dxa"/>
            <w:vAlign w:val="bottom"/>
            <w:tcBorders>
              <w:bottom w:val="single" w:sz="8" w:color="314A72"/>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49"/>
        </w:trPr>
        <w:tc>
          <w:tcPr>
            <w:tcW w:w="1960" w:type="dxa"/>
            <w:vAlign w:val="bottom"/>
            <w:tcBorders>
              <w:bottom w:val="single" w:sz="8" w:color="auto"/>
              <w:right w:val="single" w:sz="8" w:color="314A72"/>
            </w:tcBorders>
            <w:shd w:val="clear" w:color="auto" w:fill="314A72"/>
          </w:tcPr>
          <w:p>
            <w:pPr>
              <w:ind w:left="880"/>
              <w:spacing w:after="0" w:line="149" w:lineRule="exact"/>
              <w:rPr>
                <w:sz w:val="20"/>
                <w:szCs w:val="20"/>
                <w:color w:val="auto"/>
              </w:rPr>
            </w:pPr>
            <w:r>
              <w:rPr>
                <w:rFonts w:ascii="Arial" w:cs="Arial" w:eastAsia="Arial" w:hAnsi="Arial"/>
                <w:sz w:val="14"/>
                <w:szCs w:val="14"/>
                <w:b w:val="1"/>
                <w:bCs w:val="1"/>
                <w:color w:val="FFFFFF"/>
              </w:rPr>
              <w:t>(a)</w:t>
            </w:r>
          </w:p>
        </w:tc>
        <w:tc>
          <w:tcPr>
            <w:tcW w:w="500" w:type="dxa"/>
            <w:vAlign w:val="bottom"/>
            <w:tcBorders>
              <w:bottom w:val="single" w:sz="8" w:color="auto"/>
              <w:right w:val="single" w:sz="8" w:color="314A72"/>
            </w:tcBorders>
            <w:shd w:val="clear" w:color="auto" w:fill="314A72"/>
          </w:tcPr>
          <w:p>
            <w:pPr>
              <w:jc w:val="center"/>
              <w:spacing w:after="0" w:line="149" w:lineRule="exact"/>
              <w:rPr>
                <w:sz w:val="20"/>
                <w:szCs w:val="20"/>
                <w:color w:val="auto"/>
              </w:rPr>
            </w:pPr>
            <w:r>
              <w:rPr>
                <w:rFonts w:ascii="Arial" w:cs="Arial" w:eastAsia="Arial" w:hAnsi="Arial"/>
                <w:sz w:val="14"/>
                <w:szCs w:val="14"/>
                <w:b w:val="1"/>
                <w:bCs w:val="1"/>
                <w:color w:val="FFFFFF"/>
              </w:rPr>
              <w:t>(b)</w:t>
            </w:r>
          </w:p>
        </w:tc>
        <w:tc>
          <w:tcPr>
            <w:tcW w:w="740" w:type="dxa"/>
            <w:vAlign w:val="bottom"/>
            <w:tcBorders>
              <w:bottom w:val="single" w:sz="8" w:color="auto"/>
              <w:right w:val="single" w:sz="8" w:color="314A72"/>
            </w:tcBorders>
            <w:shd w:val="clear" w:color="auto" w:fill="314A72"/>
          </w:tcPr>
          <w:p>
            <w:pPr>
              <w:jc w:val="center"/>
              <w:spacing w:after="0" w:line="149" w:lineRule="exact"/>
              <w:rPr>
                <w:sz w:val="20"/>
                <w:szCs w:val="20"/>
                <w:color w:val="auto"/>
              </w:rPr>
            </w:pPr>
            <w:r>
              <w:rPr>
                <w:rFonts w:ascii="Arial" w:cs="Arial" w:eastAsia="Arial" w:hAnsi="Arial"/>
                <w:sz w:val="14"/>
                <w:szCs w:val="14"/>
                <w:b w:val="1"/>
                <w:bCs w:val="1"/>
                <w:color w:val="FFFFFF"/>
              </w:rPr>
              <w:t>(c)</w:t>
            </w:r>
          </w:p>
        </w:tc>
        <w:tc>
          <w:tcPr>
            <w:tcW w:w="700" w:type="dxa"/>
            <w:vAlign w:val="bottom"/>
            <w:tcBorders>
              <w:bottom w:val="single" w:sz="8" w:color="auto"/>
              <w:right w:val="single" w:sz="8" w:color="314A72"/>
            </w:tcBorders>
            <w:shd w:val="clear" w:color="auto" w:fill="314A72"/>
          </w:tcPr>
          <w:p>
            <w:pPr>
              <w:jc w:val="right"/>
              <w:ind w:right="191"/>
              <w:spacing w:after="0" w:line="149" w:lineRule="exact"/>
              <w:rPr>
                <w:sz w:val="20"/>
                <w:szCs w:val="20"/>
                <w:color w:val="auto"/>
              </w:rPr>
            </w:pPr>
            <w:r>
              <w:rPr>
                <w:rFonts w:ascii="Arial" w:cs="Arial" w:eastAsia="Arial" w:hAnsi="Arial"/>
                <w:sz w:val="14"/>
                <w:szCs w:val="14"/>
                <w:b w:val="1"/>
                <w:bCs w:val="1"/>
                <w:color w:val="FFFFFF"/>
              </w:rPr>
              <w:t>(d)</w:t>
            </w:r>
          </w:p>
        </w:tc>
        <w:tc>
          <w:tcPr>
            <w:tcW w:w="460" w:type="dxa"/>
            <w:vAlign w:val="bottom"/>
            <w:tcBorders>
              <w:bottom w:val="single" w:sz="8" w:color="auto"/>
            </w:tcBorders>
            <w:shd w:val="clear" w:color="auto" w:fill="314A72"/>
          </w:tcPr>
          <w:p>
            <w:pPr>
              <w:spacing w:after="0"/>
              <w:rPr>
                <w:sz w:val="12"/>
                <w:szCs w:val="12"/>
                <w:color w:val="auto"/>
              </w:rPr>
            </w:pPr>
          </w:p>
        </w:tc>
        <w:tc>
          <w:tcPr>
            <w:tcW w:w="940" w:type="dxa"/>
            <w:vAlign w:val="bottom"/>
            <w:tcBorders>
              <w:bottom w:val="single" w:sz="8" w:color="auto"/>
              <w:right w:val="single" w:sz="8" w:color="314A72"/>
            </w:tcBorders>
            <w:shd w:val="clear" w:color="auto" w:fill="314A72"/>
          </w:tcPr>
          <w:p>
            <w:pPr>
              <w:jc w:val="right"/>
              <w:ind w:right="551"/>
              <w:spacing w:after="0" w:line="149" w:lineRule="exact"/>
              <w:rPr>
                <w:sz w:val="20"/>
                <w:szCs w:val="20"/>
                <w:color w:val="auto"/>
              </w:rPr>
            </w:pPr>
            <w:r>
              <w:rPr>
                <w:rFonts w:ascii="Arial" w:cs="Arial" w:eastAsia="Arial" w:hAnsi="Arial"/>
                <w:sz w:val="14"/>
                <w:szCs w:val="14"/>
                <w:b w:val="1"/>
                <w:bCs w:val="1"/>
                <w:color w:val="FFFFFF"/>
              </w:rPr>
              <w:t>(e)</w:t>
            </w:r>
          </w:p>
        </w:tc>
        <w:tc>
          <w:tcPr>
            <w:tcW w:w="780" w:type="dxa"/>
            <w:vAlign w:val="bottom"/>
            <w:tcBorders>
              <w:bottom w:val="single" w:sz="8" w:color="auto"/>
              <w:right w:val="single" w:sz="8" w:color="314A72"/>
            </w:tcBorders>
            <w:shd w:val="clear" w:color="auto" w:fill="314A72"/>
          </w:tcPr>
          <w:p>
            <w:pPr>
              <w:ind w:left="320"/>
              <w:spacing w:after="0" w:line="149" w:lineRule="exact"/>
              <w:rPr>
                <w:sz w:val="20"/>
                <w:szCs w:val="20"/>
                <w:color w:val="auto"/>
              </w:rPr>
            </w:pPr>
            <w:r>
              <w:rPr>
                <w:rFonts w:ascii="Arial" w:cs="Arial" w:eastAsia="Arial" w:hAnsi="Arial"/>
                <w:sz w:val="14"/>
                <w:szCs w:val="14"/>
                <w:b w:val="1"/>
                <w:bCs w:val="1"/>
                <w:color w:val="FFFFFF"/>
              </w:rPr>
              <w:t>(f)</w:t>
            </w:r>
          </w:p>
        </w:tc>
        <w:tc>
          <w:tcPr>
            <w:tcW w:w="1380" w:type="dxa"/>
            <w:vAlign w:val="bottom"/>
            <w:tcBorders>
              <w:bottom w:val="single" w:sz="8" w:color="auto"/>
              <w:right w:val="single" w:sz="8" w:color="314A72"/>
            </w:tcBorders>
            <w:shd w:val="clear" w:color="auto" w:fill="314A72"/>
          </w:tcPr>
          <w:p>
            <w:pPr>
              <w:jc w:val="center"/>
              <w:spacing w:after="0" w:line="149" w:lineRule="exact"/>
              <w:rPr>
                <w:sz w:val="20"/>
                <w:szCs w:val="20"/>
                <w:color w:val="auto"/>
              </w:rPr>
            </w:pPr>
            <w:r>
              <w:rPr>
                <w:rFonts w:ascii="Arial" w:cs="Arial" w:eastAsia="Arial" w:hAnsi="Arial"/>
                <w:sz w:val="14"/>
                <w:szCs w:val="14"/>
                <w:b w:val="1"/>
                <w:bCs w:val="1"/>
                <w:color w:val="FFFFFF"/>
              </w:rPr>
              <w:t>(g)</w:t>
            </w:r>
          </w:p>
        </w:tc>
        <w:tc>
          <w:tcPr>
            <w:tcW w:w="640" w:type="dxa"/>
            <w:vAlign w:val="bottom"/>
            <w:tcBorders>
              <w:bottom w:val="single" w:sz="8" w:color="auto"/>
            </w:tcBorders>
            <w:shd w:val="clear" w:color="auto" w:fill="314A72"/>
          </w:tcPr>
          <w:p>
            <w:pPr>
              <w:spacing w:after="0"/>
              <w:rPr>
                <w:sz w:val="12"/>
                <w:szCs w:val="12"/>
                <w:color w:val="auto"/>
              </w:rPr>
            </w:pPr>
          </w:p>
        </w:tc>
        <w:tc>
          <w:tcPr>
            <w:tcW w:w="1060" w:type="dxa"/>
            <w:vAlign w:val="bottom"/>
            <w:tcBorders>
              <w:bottom w:val="single" w:sz="8" w:color="auto"/>
              <w:right w:val="single" w:sz="8" w:color="314A72"/>
            </w:tcBorders>
            <w:shd w:val="clear" w:color="auto" w:fill="314A72"/>
          </w:tcPr>
          <w:p>
            <w:pPr>
              <w:jc w:val="right"/>
              <w:ind w:right="691"/>
              <w:spacing w:after="0" w:line="149" w:lineRule="exact"/>
              <w:rPr>
                <w:sz w:val="20"/>
                <w:szCs w:val="20"/>
                <w:color w:val="auto"/>
              </w:rPr>
            </w:pPr>
            <w:r>
              <w:rPr>
                <w:rFonts w:ascii="Arial" w:cs="Arial" w:eastAsia="Arial" w:hAnsi="Arial"/>
                <w:sz w:val="14"/>
                <w:szCs w:val="14"/>
                <w:b w:val="1"/>
                <w:bCs w:val="1"/>
                <w:color w:val="FFFFFF"/>
              </w:rPr>
              <w:t>(h)</w:t>
            </w:r>
          </w:p>
        </w:tc>
        <w:tc>
          <w:tcPr>
            <w:tcW w:w="160" w:type="dxa"/>
            <w:vAlign w:val="bottom"/>
            <w:tcBorders>
              <w:bottom w:val="single" w:sz="8" w:color="auto"/>
            </w:tcBorders>
            <w:shd w:val="clear" w:color="auto" w:fill="314A72"/>
          </w:tcPr>
          <w:p>
            <w:pPr>
              <w:spacing w:after="0"/>
              <w:rPr>
                <w:sz w:val="12"/>
                <w:szCs w:val="12"/>
                <w:color w:val="auto"/>
              </w:rPr>
            </w:pPr>
          </w:p>
        </w:tc>
        <w:tc>
          <w:tcPr>
            <w:tcW w:w="560" w:type="dxa"/>
            <w:vAlign w:val="bottom"/>
            <w:tcBorders>
              <w:bottom w:val="single" w:sz="8" w:color="auto"/>
            </w:tcBorders>
            <w:shd w:val="clear" w:color="auto" w:fill="314A72"/>
          </w:tcPr>
          <w:p>
            <w:pPr>
              <w:jc w:val="right"/>
              <w:ind w:right="131"/>
              <w:spacing w:after="0" w:line="149" w:lineRule="exact"/>
              <w:rPr>
                <w:sz w:val="20"/>
                <w:szCs w:val="20"/>
                <w:color w:val="auto"/>
              </w:rPr>
            </w:pPr>
            <w:r>
              <w:rPr>
                <w:rFonts w:ascii="Arial" w:cs="Arial" w:eastAsia="Arial" w:hAnsi="Arial"/>
                <w:sz w:val="14"/>
                <w:szCs w:val="14"/>
                <w:b w:val="1"/>
                <w:bCs w:val="1"/>
                <w:color w:val="FFFFFF"/>
              </w:rPr>
              <w:t>(i)</w:t>
            </w:r>
          </w:p>
        </w:tc>
        <w:tc>
          <w:tcPr>
            <w:tcW w:w="100" w:type="dxa"/>
            <w:vAlign w:val="bottom"/>
            <w:tcBorders>
              <w:bottom w:val="single" w:sz="8" w:color="auto"/>
            </w:tcBorders>
            <w:shd w:val="clear" w:color="auto" w:fill="314A72"/>
          </w:tcPr>
          <w:p>
            <w:pPr>
              <w:spacing w:after="0"/>
              <w:rPr>
                <w:sz w:val="12"/>
                <w:szCs w:val="12"/>
                <w:color w:val="auto"/>
              </w:rPr>
            </w:pPr>
          </w:p>
        </w:tc>
        <w:tc>
          <w:tcPr>
            <w:tcW w:w="100" w:type="dxa"/>
            <w:vAlign w:val="bottom"/>
            <w:tcBorders>
              <w:bottom w:val="single" w:sz="8" w:color="auto"/>
              <w:right w:val="single" w:sz="8" w:color="314A72"/>
            </w:tcBorders>
            <w:shd w:val="clear" w:color="auto" w:fill="314A72"/>
          </w:tcPr>
          <w:p>
            <w:pPr>
              <w:spacing w:after="0"/>
              <w:rPr>
                <w:sz w:val="12"/>
                <w:szCs w:val="12"/>
                <w:color w:val="auto"/>
              </w:rPr>
            </w:pPr>
          </w:p>
        </w:tc>
        <w:tc>
          <w:tcPr>
            <w:tcW w:w="140" w:type="dxa"/>
            <w:vAlign w:val="bottom"/>
            <w:tcBorders>
              <w:bottom w:val="single" w:sz="8" w:color="auto"/>
            </w:tcBorders>
            <w:shd w:val="clear" w:color="auto" w:fill="314A72"/>
          </w:tcPr>
          <w:p>
            <w:pPr>
              <w:spacing w:after="0"/>
              <w:rPr>
                <w:sz w:val="12"/>
                <w:szCs w:val="12"/>
                <w:color w:val="auto"/>
              </w:rPr>
            </w:pPr>
          </w:p>
        </w:tc>
        <w:tc>
          <w:tcPr>
            <w:tcW w:w="480" w:type="dxa"/>
            <w:vAlign w:val="bottom"/>
            <w:tcBorders>
              <w:bottom w:val="single" w:sz="8" w:color="auto"/>
            </w:tcBorders>
            <w:shd w:val="clear" w:color="auto" w:fill="314A72"/>
          </w:tcPr>
          <w:p>
            <w:pPr>
              <w:jc w:val="right"/>
              <w:ind w:right="51"/>
              <w:spacing w:after="0" w:line="149" w:lineRule="exact"/>
              <w:rPr>
                <w:sz w:val="20"/>
                <w:szCs w:val="20"/>
                <w:color w:val="auto"/>
              </w:rPr>
            </w:pPr>
            <w:r>
              <w:rPr>
                <w:rFonts w:ascii="Arial" w:cs="Arial" w:eastAsia="Arial" w:hAnsi="Arial"/>
                <w:sz w:val="14"/>
                <w:szCs w:val="14"/>
                <w:b w:val="1"/>
                <w:bCs w:val="1"/>
                <w:color w:val="FFFFFF"/>
              </w:rPr>
              <w:t>(j)</w:t>
            </w:r>
          </w:p>
        </w:tc>
      </w:tr>
      <w:tr>
        <w:trPr>
          <w:trHeight w:val="219"/>
        </w:trPr>
        <w:tc>
          <w:tcPr>
            <w:tcW w:w="1960" w:type="dxa"/>
            <w:vAlign w:val="bottom"/>
            <w:tcBorders>
              <w:right w:val="single" w:sz="8" w:color="auto"/>
            </w:tcBorders>
            <w:shd w:val="clear" w:color="auto" w:fill="F7AB6C"/>
          </w:tcPr>
          <w:p>
            <w:pPr>
              <w:spacing w:after="0"/>
              <w:rPr>
                <w:sz w:val="20"/>
                <w:szCs w:val="20"/>
                <w:color w:val="auto"/>
              </w:rPr>
            </w:pPr>
            <w:r>
              <w:rPr>
                <w:rFonts w:ascii="Arial" w:cs="Arial" w:eastAsia="Arial" w:hAnsi="Arial"/>
                <w:sz w:val="14"/>
                <w:szCs w:val="14"/>
                <w:b w:val="1"/>
                <w:bCs w:val="1"/>
                <w:color w:val="auto"/>
              </w:rPr>
              <w:t> Thomas P. Meissner, Jr.</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$744,066 </w:t>
            </w:r>
          </w:p>
        </w:tc>
        <w:tc>
          <w:tcPr>
            <w:tcW w:w="700" w:type="dxa"/>
            <w:vAlign w:val="bottom"/>
            <w:tcBorders>
              <w:right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331"/>
              <w:spacing w:after="0"/>
              <w:rPr>
                <w:sz w:val="20"/>
                <w:szCs w:val="20"/>
                <w:color w:val="auto"/>
              </w:rPr>
            </w:pPr>
            <w:r>
              <w:rPr>
                <w:rFonts w:ascii="Arial" w:cs="Arial" w:eastAsia="Arial" w:hAnsi="Arial"/>
                <w:sz w:val="14"/>
                <w:szCs w:val="14"/>
                <w:color w:val="auto"/>
                <w:w w:val="88"/>
              </w:rPr>
              <w:t>751,842 </w:t>
            </w:r>
          </w:p>
        </w:tc>
        <w:tc>
          <w:tcPr>
            <w:tcW w:w="7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$662,591</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jc w:val="right"/>
              <w:ind w:right="491"/>
              <w:spacing w:after="0"/>
              <w:rPr>
                <w:sz w:val="20"/>
                <w:szCs w:val="20"/>
                <w:color w:val="auto"/>
              </w:rPr>
            </w:pPr>
            <w:r>
              <w:rPr>
                <w:rFonts w:ascii="Arial" w:cs="Arial" w:eastAsia="Arial" w:hAnsi="Arial"/>
                <w:sz w:val="14"/>
                <w:szCs w:val="14"/>
                <w:color w:val="auto"/>
                <w:w w:val="94"/>
              </w:rPr>
              <w:t>860,413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3"/>
          </w:tcPr>
          <w:p>
            <w:pPr>
              <w:jc w:val="right"/>
              <w:ind w:right="100"/>
              <w:spacing w:after="0" w:line="220" w:lineRule="exact"/>
              <w:rPr>
                <w:sz w:val="20"/>
                <w:szCs w:val="20"/>
                <w:color w:val="auto"/>
              </w:rPr>
            </w:pPr>
            <w:r>
              <w:rPr>
                <w:rFonts w:ascii="Arial" w:cs="Arial" w:eastAsia="Arial" w:hAnsi="Arial"/>
                <w:sz w:val="14"/>
                <w:szCs w:val="14"/>
                <w:color w:val="auto"/>
                <w:w w:val="90"/>
              </w:rPr>
              <w:t xml:space="preserve">170,204 </w:t>
            </w:r>
            <w:r>
              <w:rPr>
                <w:rFonts w:ascii="Arial" w:cs="Arial" w:eastAsia="Arial" w:hAnsi="Arial"/>
                <w:sz w:val="20"/>
                <w:szCs w:val="20"/>
                <w:i w:val="1"/>
                <w:iCs w:val="1"/>
                <w:color w:val="auto"/>
                <w:w w:val="90"/>
                <w:vertAlign w:val="superscript"/>
              </w:rPr>
              <w:t>(5)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8"/>
              </w:rPr>
              <w:t>3,189,1</w:t>
            </w:r>
          </w:p>
        </w:tc>
      </w:tr>
      <w:tr>
        <w:trPr>
          <w:trHeight w:val="156"/>
        </w:trPr>
        <w:tc>
          <w:tcPr>
            <w:tcW w:w="1960" w:type="dxa"/>
            <w:vAlign w:val="bottom"/>
            <w:tcBorders>
              <w:right w:val="single" w:sz="8" w:color="auto"/>
            </w:tcBorders>
            <w:shd w:val="clear" w:color="auto" w:fill="F7AB6C"/>
          </w:tcPr>
          <w:p>
            <w:pPr>
              <w:spacing w:after="0" w:line="156" w:lineRule="exact"/>
              <w:rPr>
                <w:sz w:val="20"/>
                <w:szCs w:val="20"/>
                <w:color w:val="auto"/>
              </w:rPr>
            </w:pPr>
            <w:r>
              <w:rPr>
                <w:rFonts w:ascii="Arial" w:cs="Arial" w:eastAsia="Arial" w:hAnsi="Arial"/>
                <w:sz w:val="14"/>
                <w:szCs w:val="14"/>
                <w:color w:val="auto"/>
                <w:w w:val="98"/>
              </w:rPr>
              <w:t> Chairman of the Board &amp; Chief</w:t>
            </w:r>
          </w:p>
        </w:tc>
        <w:tc>
          <w:tcPr>
            <w:tcW w:w="5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2024</w:t>
            </w:r>
          </w:p>
        </w:tc>
        <w:tc>
          <w:tcPr>
            <w:tcW w:w="7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3"/>
              </w:rPr>
              <w:t>$712,025 </w:t>
            </w:r>
          </w:p>
        </w:tc>
        <w:tc>
          <w:tcPr>
            <w:tcW w:w="700" w:type="dxa"/>
            <w:vAlign w:val="bottom"/>
            <w:tcBorders>
              <w:right w:val="single" w:sz="8" w:color="auto"/>
            </w:tcBorders>
          </w:tcPr>
          <w:p>
            <w:pPr>
              <w:jc w:val="right"/>
              <w:ind w:right="191"/>
              <w:spacing w:after="0" w:line="156"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331"/>
              <w:spacing w:after="0" w:line="156" w:lineRule="exact"/>
              <w:rPr>
                <w:sz w:val="20"/>
                <w:szCs w:val="20"/>
                <w:color w:val="auto"/>
              </w:rPr>
            </w:pPr>
            <w:r>
              <w:rPr>
                <w:rFonts w:ascii="Arial" w:cs="Arial" w:eastAsia="Arial" w:hAnsi="Arial"/>
                <w:sz w:val="14"/>
                <w:szCs w:val="14"/>
                <w:color w:val="auto"/>
                <w:w w:val="88"/>
              </w:rPr>
              <w:t>690,759 </w:t>
            </w:r>
          </w:p>
        </w:tc>
        <w:tc>
          <w:tcPr>
            <w:tcW w:w="780" w:type="dxa"/>
            <w:vAlign w:val="bottom"/>
            <w:tcBorders>
              <w:right w:val="single" w:sz="8" w:color="auto"/>
            </w:tcBorders>
          </w:tcPr>
          <w:p>
            <w:pPr>
              <w:ind w:left="340"/>
              <w:spacing w:after="0" w:line="156" w:lineRule="exact"/>
              <w:rPr>
                <w:sz w:val="20"/>
                <w:szCs w:val="20"/>
                <w:color w:val="auto"/>
              </w:rPr>
            </w:pPr>
            <w:r>
              <w:rPr>
                <w:rFonts w:ascii="Arial" w:cs="Arial" w:eastAsia="Arial" w:hAnsi="Arial"/>
                <w:sz w:val="14"/>
                <w:szCs w:val="14"/>
                <w:color w:val="auto"/>
              </w:rPr>
              <w:t>—</w:t>
            </w:r>
          </w:p>
        </w:tc>
        <w:tc>
          <w:tcPr>
            <w:tcW w:w="13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$518,354</w:t>
            </w: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jc w:val="right"/>
              <w:ind w:right="491"/>
              <w:spacing w:after="0" w:line="156" w:lineRule="exact"/>
              <w:rPr>
                <w:sz w:val="20"/>
                <w:szCs w:val="20"/>
                <w:color w:val="auto"/>
              </w:rPr>
            </w:pPr>
            <w:r>
              <w:rPr>
                <w:rFonts w:ascii="Arial" w:cs="Arial" w:eastAsia="Arial" w:hAnsi="Arial"/>
                <w:sz w:val="14"/>
                <w:szCs w:val="14"/>
                <w:color w:val="auto"/>
                <w:w w:val="94"/>
              </w:rPr>
              <w:t>492,404</w:t>
            </w:r>
          </w:p>
        </w:tc>
        <w:tc>
          <w:tcPr>
            <w:tcW w:w="1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158,490</w:t>
            </w: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6" w:lineRule="exact"/>
              <w:rPr>
                <w:sz w:val="20"/>
                <w:szCs w:val="20"/>
                <w:color w:val="auto"/>
              </w:rPr>
            </w:pPr>
            <w:r>
              <w:rPr>
                <w:rFonts w:ascii="Arial" w:cs="Arial" w:eastAsia="Arial" w:hAnsi="Arial"/>
                <w:sz w:val="14"/>
                <w:szCs w:val="14"/>
                <w:color w:val="auto"/>
                <w:w w:val="98"/>
              </w:rPr>
              <w:t>2,572,0</w:t>
            </w:r>
          </w:p>
        </w:tc>
      </w:tr>
      <w:tr>
        <w:trPr>
          <w:trHeight w:val="215"/>
        </w:trPr>
        <w:tc>
          <w:tcPr>
            <w:tcW w:w="1960" w:type="dxa"/>
            <w:vAlign w:val="bottom"/>
            <w:tcBorders>
              <w:bottom w:val="single" w:sz="8" w:color="F7AB6C"/>
              <w:right w:val="single" w:sz="8" w:color="auto"/>
            </w:tcBorders>
            <w:shd w:val="clear" w:color="auto" w:fill="F7AB6C"/>
          </w:tcPr>
          <w:p>
            <w:pPr>
              <w:spacing w:after="0"/>
              <w:rPr>
                <w:sz w:val="20"/>
                <w:szCs w:val="20"/>
                <w:color w:val="auto"/>
              </w:rPr>
            </w:pPr>
            <w:r>
              <w:rPr>
                <w:rFonts w:ascii="Arial" w:cs="Arial" w:eastAsia="Arial" w:hAnsi="Arial"/>
                <w:sz w:val="14"/>
                <w:szCs w:val="14"/>
                <w:color w:val="auto"/>
              </w:rPr>
              <w:t> Executive Officer</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$ 678,119 </w:t>
            </w:r>
          </w:p>
        </w:tc>
        <w:tc>
          <w:tcPr>
            <w:tcW w:w="700" w:type="dxa"/>
            <w:vAlign w:val="bottom"/>
            <w:tcBorders>
              <w:right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331"/>
              <w:spacing w:after="0"/>
              <w:rPr>
                <w:sz w:val="20"/>
                <w:szCs w:val="20"/>
                <w:color w:val="auto"/>
              </w:rPr>
            </w:pPr>
            <w:r>
              <w:rPr>
                <w:rFonts w:ascii="Arial" w:cs="Arial" w:eastAsia="Arial" w:hAnsi="Arial"/>
                <w:sz w:val="14"/>
                <w:szCs w:val="14"/>
                <w:color w:val="auto"/>
                <w:w w:val="88"/>
              </w:rPr>
              <w:t>706,961 </w:t>
            </w:r>
          </w:p>
        </w:tc>
        <w:tc>
          <w:tcPr>
            <w:tcW w:w="7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$515,709</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jc w:val="right"/>
              <w:ind w:right="491"/>
              <w:spacing w:after="0"/>
              <w:rPr>
                <w:sz w:val="20"/>
                <w:szCs w:val="20"/>
                <w:color w:val="auto"/>
              </w:rPr>
            </w:pPr>
            <w:r>
              <w:rPr>
                <w:rFonts w:ascii="Arial" w:cs="Arial" w:eastAsia="Arial" w:hAnsi="Arial"/>
                <w:sz w:val="14"/>
                <w:szCs w:val="14"/>
                <w:color w:val="auto"/>
                <w:w w:val="94"/>
              </w:rPr>
              <w:t>567,527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157,574</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8"/>
              </w:rPr>
              <w:t>2,625,8</w:t>
            </w:r>
          </w:p>
        </w:tc>
      </w:tr>
      <w:tr>
        <w:trPr>
          <w:trHeight w:val="219"/>
        </w:trPr>
        <w:tc>
          <w:tcPr>
            <w:tcW w:w="1960" w:type="dxa"/>
            <w:vAlign w:val="bottom"/>
            <w:tcBorders>
              <w:top w:val="single" w:sz="8" w:color="auto"/>
              <w:right w:val="single" w:sz="8" w:color="auto"/>
            </w:tcBorders>
            <w:shd w:val="clear" w:color="auto" w:fill="F7AB6C"/>
          </w:tcPr>
          <w:p>
            <w:pPr>
              <w:spacing w:after="0"/>
              <w:rPr>
                <w:sz w:val="20"/>
                <w:szCs w:val="20"/>
                <w:color w:val="auto"/>
              </w:rPr>
            </w:pPr>
            <w:r>
              <w:rPr>
                <w:rFonts w:ascii="Arial" w:cs="Arial" w:eastAsia="Arial" w:hAnsi="Arial"/>
                <w:sz w:val="14"/>
                <w:szCs w:val="14"/>
                <w:b w:val="1"/>
                <w:bCs w:val="1"/>
                <w:color w:val="auto"/>
              </w:rPr>
              <w:t> Robert B. Hevert</w:t>
            </w:r>
          </w:p>
        </w:tc>
        <w:tc>
          <w:tcPr>
            <w:tcW w:w="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$486,000 </w:t>
            </w:r>
          </w:p>
        </w:tc>
        <w:tc>
          <w:tcPr>
            <w:tcW w:w="700" w:type="dxa"/>
            <w:vAlign w:val="bottom"/>
            <w:tcBorders>
              <w:top w:val="single" w:sz="8" w:color="auto"/>
              <w:right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right w:val="single" w:sz="8" w:color="auto"/>
            </w:tcBorders>
          </w:tcPr>
          <w:p>
            <w:pPr>
              <w:jc w:val="right"/>
              <w:ind w:right="331"/>
              <w:spacing w:after="0"/>
              <w:rPr>
                <w:sz w:val="20"/>
                <w:szCs w:val="20"/>
                <w:color w:val="auto"/>
              </w:rPr>
            </w:pPr>
            <w:r>
              <w:rPr>
                <w:rFonts w:ascii="Arial" w:cs="Arial" w:eastAsia="Arial" w:hAnsi="Arial"/>
                <w:sz w:val="14"/>
                <w:szCs w:val="14"/>
                <w:color w:val="auto"/>
                <w:w w:val="88"/>
              </w:rPr>
              <w:t>348,543 </w:t>
            </w:r>
          </w:p>
        </w:tc>
        <w:tc>
          <w:tcPr>
            <w:tcW w:w="78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$332,910</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right w:val="single" w:sz="8" w:color="auto"/>
            </w:tcBorders>
          </w:tcPr>
          <w:p>
            <w:pPr>
              <w:jc w:val="right"/>
              <w:ind w:right="491"/>
              <w:spacing w:after="0"/>
              <w:rPr>
                <w:sz w:val="20"/>
                <w:szCs w:val="20"/>
                <w:color w:val="auto"/>
              </w:rPr>
            </w:pPr>
            <w:r>
              <w:rPr>
                <w:rFonts w:ascii="Arial" w:cs="Arial" w:eastAsia="Arial" w:hAnsi="Arial"/>
                <w:sz w:val="14"/>
                <w:szCs w:val="14"/>
                <w:color w:val="auto"/>
                <w:w w:val="94"/>
              </w:rPr>
              <w:t>154,314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293,099</w:t>
            </w:r>
          </w:p>
        </w:tc>
        <w:tc>
          <w:tcPr>
            <w:tcW w:w="200" w:type="dxa"/>
            <w:vAlign w:val="bottom"/>
            <w:tcBorders>
              <w:top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i w:val="1"/>
                <w:iCs w:val="1"/>
                <w:color w:val="auto"/>
                <w:w w:val="97"/>
              </w:rPr>
              <w:t>(6)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1,614,8</w:t>
            </w:r>
          </w:p>
        </w:tc>
      </w:tr>
      <w:tr>
        <w:trPr>
          <w:trHeight w:val="156"/>
        </w:trPr>
        <w:tc>
          <w:tcPr>
            <w:tcW w:w="1960" w:type="dxa"/>
            <w:vAlign w:val="bottom"/>
            <w:tcBorders>
              <w:right w:val="single" w:sz="8" w:color="auto"/>
            </w:tcBorders>
            <w:shd w:val="clear" w:color="auto" w:fill="F7AB6C"/>
          </w:tcPr>
          <w:p>
            <w:pPr>
              <w:spacing w:after="0" w:line="156" w:lineRule="exact"/>
              <w:rPr>
                <w:sz w:val="20"/>
                <w:szCs w:val="20"/>
                <w:color w:val="auto"/>
              </w:rPr>
            </w:pPr>
            <w:r>
              <w:rPr>
                <w:rFonts w:ascii="Arial" w:cs="Arial" w:eastAsia="Arial" w:hAnsi="Arial"/>
                <w:sz w:val="14"/>
                <w:szCs w:val="14"/>
                <w:color w:val="auto"/>
              </w:rPr>
              <w:t> President &amp; Chief</w:t>
            </w:r>
          </w:p>
        </w:tc>
        <w:tc>
          <w:tcPr>
            <w:tcW w:w="5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2024</w:t>
            </w:r>
          </w:p>
        </w:tc>
        <w:tc>
          <w:tcPr>
            <w:tcW w:w="7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3"/>
              </w:rPr>
              <w:t>$469,000 </w:t>
            </w:r>
          </w:p>
        </w:tc>
        <w:tc>
          <w:tcPr>
            <w:tcW w:w="700" w:type="dxa"/>
            <w:vAlign w:val="bottom"/>
            <w:tcBorders>
              <w:right w:val="single" w:sz="8" w:color="auto"/>
            </w:tcBorders>
          </w:tcPr>
          <w:p>
            <w:pPr>
              <w:jc w:val="right"/>
              <w:ind w:right="191"/>
              <w:spacing w:after="0" w:line="156"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331"/>
              <w:spacing w:after="0" w:line="156" w:lineRule="exact"/>
              <w:rPr>
                <w:sz w:val="20"/>
                <w:szCs w:val="20"/>
                <w:color w:val="auto"/>
              </w:rPr>
            </w:pPr>
            <w:r>
              <w:rPr>
                <w:rFonts w:ascii="Arial" w:cs="Arial" w:eastAsia="Arial" w:hAnsi="Arial"/>
                <w:sz w:val="14"/>
                <w:szCs w:val="14"/>
                <w:color w:val="auto"/>
                <w:w w:val="88"/>
              </w:rPr>
              <w:t>312,556 </w:t>
            </w:r>
          </w:p>
        </w:tc>
        <w:tc>
          <w:tcPr>
            <w:tcW w:w="780" w:type="dxa"/>
            <w:vAlign w:val="bottom"/>
            <w:tcBorders>
              <w:right w:val="single" w:sz="8" w:color="auto"/>
            </w:tcBorders>
          </w:tcPr>
          <w:p>
            <w:pPr>
              <w:ind w:left="340"/>
              <w:spacing w:after="0" w:line="156" w:lineRule="exact"/>
              <w:rPr>
                <w:sz w:val="20"/>
                <w:szCs w:val="20"/>
                <w:color w:val="auto"/>
              </w:rPr>
            </w:pPr>
            <w:r>
              <w:rPr>
                <w:rFonts w:ascii="Arial" w:cs="Arial" w:eastAsia="Arial" w:hAnsi="Arial"/>
                <w:sz w:val="14"/>
                <w:szCs w:val="14"/>
                <w:color w:val="auto"/>
              </w:rPr>
              <w:t>—</w:t>
            </w:r>
          </w:p>
        </w:tc>
        <w:tc>
          <w:tcPr>
            <w:tcW w:w="13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$262,640</w:t>
            </w: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jc w:val="right"/>
              <w:ind w:right="491"/>
              <w:spacing w:after="0" w:line="156" w:lineRule="exact"/>
              <w:rPr>
                <w:sz w:val="20"/>
                <w:szCs w:val="20"/>
                <w:color w:val="auto"/>
              </w:rPr>
            </w:pPr>
            <w:r>
              <w:rPr>
                <w:rFonts w:ascii="Arial" w:cs="Arial" w:eastAsia="Arial" w:hAnsi="Arial"/>
                <w:sz w:val="14"/>
                <w:szCs w:val="14"/>
                <w:color w:val="auto"/>
                <w:w w:val="94"/>
              </w:rPr>
              <w:t>112,494</w:t>
            </w:r>
          </w:p>
        </w:tc>
        <w:tc>
          <w:tcPr>
            <w:tcW w:w="1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162,772</w:t>
            </w: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6" w:lineRule="exact"/>
              <w:rPr>
                <w:sz w:val="20"/>
                <w:szCs w:val="20"/>
                <w:color w:val="auto"/>
              </w:rPr>
            </w:pPr>
            <w:r>
              <w:rPr>
                <w:rFonts w:ascii="Arial" w:cs="Arial" w:eastAsia="Arial" w:hAnsi="Arial"/>
                <w:sz w:val="14"/>
                <w:szCs w:val="14"/>
                <w:color w:val="auto"/>
                <w:w w:val="98"/>
              </w:rPr>
              <w:t>1,319,4</w:t>
            </w:r>
          </w:p>
        </w:tc>
      </w:tr>
      <w:tr>
        <w:trPr>
          <w:trHeight w:val="215"/>
        </w:trPr>
        <w:tc>
          <w:tcPr>
            <w:tcW w:w="1960" w:type="dxa"/>
            <w:vAlign w:val="bottom"/>
            <w:tcBorders>
              <w:bottom w:val="single" w:sz="8" w:color="F7AB6C"/>
              <w:right w:val="single" w:sz="8" w:color="auto"/>
            </w:tcBorders>
            <w:shd w:val="clear" w:color="auto" w:fill="F7AB6C"/>
          </w:tcPr>
          <w:p>
            <w:pPr>
              <w:spacing w:after="0"/>
              <w:rPr>
                <w:sz w:val="20"/>
                <w:szCs w:val="20"/>
                <w:color w:val="auto"/>
              </w:rPr>
            </w:pPr>
            <w:r>
              <w:rPr>
                <w:rFonts w:ascii="Arial" w:cs="Arial" w:eastAsia="Arial" w:hAnsi="Arial"/>
                <w:sz w:val="14"/>
                <w:szCs w:val="14"/>
                <w:color w:val="auto"/>
              </w:rPr>
              <w:t> Administrative Officer</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$431,510 </w:t>
            </w:r>
          </w:p>
        </w:tc>
        <w:tc>
          <w:tcPr>
            <w:tcW w:w="700" w:type="dxa"/>
            <w:vAlign w:val="bottom"/>
            <w:tcBorders>
              <w:right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331"/>
              <w:spacing w:after="0"/>
              <w:rPr>
                <w:sz w:val="20"/>
                <w:szCs w:val="20"/>
                <w:color w:val="auto"/>
              </w:rPr>
            </w:pPr>
            <w:r>
              <w:rPr>
                <w:rFonts w:ascii="Arial" w:cs="Arial" w:eastAsia="Arial" w:hAnsi="Arial"/>
                <w:sz w:val="14"/>
                <w:szCs w:val="14"/>
                <w:color w:val="auto"/>
                <w:w w:val="88"/>
              </w:rPr>
              <w:t>209,393 </w:t>
            </w:r>
          </w:p>
        </w:tc>
        <w:tc>
          <w:tcPr>
            <w:tcW w:w="7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$252,433</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jc w:val="right"/>
              <w:ind w:right="491"/>
              <w:spacing w:after="0"/>
              <w:rPr>
                <w:sz w:val="20"/>
                <w:szCs w:val="20"/>
                <w:color w:val="auto"/>
              </w:rPr>
            </w:pPr>
            <w:r>
              <w:rPr>
                <w:rFonts w:ascii="Arial" w:cs="Arial" w:eastAsia="Arial" w:hAnsi="Arial"/>
                <w:sz w:val="14"/>
                <w:szCs w:val="14"/>
                <w:color w:val="auto"/>
              </w:rPr>
              <w:t>63,139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131,941</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8"/>
              </w:rPr>
              <w:t>1,088,4</w:t>
            </w:r>
          </w:p>
        </w:tc>
      </w:tr>
      <w:tr>
        <w:trPr>
          <w:trHeight w:val="219"/>
        </w:trPr>
        <w:tc>
          <w:tcPr>
            <w:tcW w:w="1960" w:type="dxa"/>
            <w:vAlign w:val="bottom"/>
            <w:tcBorders>
              <w:top w:val="single" w:sz="8" w:color="auto"/>
              <w:right w:val="single" w:sz="8" w:color="auto"/>
            </w:tcBorders>
            <w:shd w:val="clear" w:color="auto" w:fill="F7AB6C"/>
          </w:tcPr>
          <w:p>
            <w:pPr>
              <w:spacing w:after="0"/>
              <w:rPr>
                <w:sz w:val="20"/>
                <w:szCs w:val="20"/>
                <w:color w:val="auto"/>
              </w:rPr>
            </w:pPr>
            <w:r>
              <w:rPr>
                <w:rFonts w:ascii="Arial" w:cs="Arial" w:eastAsia="Arial" w:hAnsi="Arial"/>
                <w:sz w:val="14"/>
                <w:szCs w:val="14"/>
                <w:b w:val="1"/>
                <w:bCs w:val="1"/>
                <w:color w:val="auto"/>
              </w:rPr>
              <w:t> Daniel J. Hurstak</w:t>
            </w:r>
          </w:p>
        </w:tc>
        <w:tc>
          <w:tcPr>
            <w:tcW w:w="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$352,892 </w:t>
            </w:r>
          </w:p>
        </w:tc>
        <w:tc>
          <w:tcPr>
            <w:tcW w:w="700" w:type="dxa"/>
            <w:vAlign w:val="bottom"/>
            <w:tcBorders>
              <w:top w:val="single" w:sz="8" w:color="auto"/>
              <w:right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right w:val="single" w:sz="8" w:color="auto"/>
            </w:tcBorders>
          </w:tcPr>
          <w:p>
            <w:pPr>
              <w:jc w:val="right"/>
              <w:ind w:right="331"/>
              <w:spacing w:after="0"/>
              <w:rPr>
                <w:sz w:val="20"/>
                <w:szCs w:val="20"/>
                <w:color w:val="auto"/>
              </w:rPr>
            </w:pPr>
            <w:r>
              <w:rPr>
                <w:rFonts w:ascii="Arial" w:cs="Arial" w:eastAsia="Arial" w:hAnsi="Arial"/>
                <w:sz w:val="14"/>
                <w:szCs w:val="14"/>
                <w:color w:val="auto"/>
                <w:w w:val="88"/>
              </w:rPr>
              <w:t>225,342 </w:t>
            </w:r>
          </w:p>
        </w:tc>
        <w:tc>
          <w:tcPr>
            <w:tcW w:w="78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$217,558</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right w:val="single" w:sz="8" w:color="auto"/>
            </w:tcBorders>
          </w:tcPr>
          <w:p>
            <w:pPr>
              <w:jc w:val="right"/>
              <w:ind w:right="491"/>
              <w:spacing w:after="0"/>
              <w:rPr>
                <w:sz w:val="20"/>
                <w:szCs w:val="20"/>
                <w:color w:val="auto"/>
              </w:rPr>
            </w:pPr>
            <w:r>
              <w:rPr>
                <w:rFonts w:ascii="Arial" w:cs="Arial" w:eastAsia="Arial" w:hAnsi="Arial"/>
                <w:sz w:val="14"/>
                <w:szCs w:val="14"/>
                <w:color w:val="auto"/>
              </w:rPr>
              <w:t>81,282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gridSpan w:val="3"/>
          </w:tcPr>
          <w:p>
            <w:pPr>
              <w:jc w:val="right"/>
              <w:ind w:right="100"/>
              <w:spacing w:after="0" w:line="220" w:lineRule="exact"/>
              <w:rPr>
                <w:sz w:val="20"/>
                <w:szCs w:val="20"/>
                <w:color w:val="auto"/>
              </w:rPr>
            </w:pPr>
            <w:r>
              <w:rPr>
                <w:rFonts w:ascii="Arial" w:cs="Arial" w:eastAsia="Arial" w:hAnsi="Arial"/>
                <w:sz w:val="14"/>
                <w:szCs w:val="14"/>
                <w:color w:val="auto"/>
                <w:w w:val="90"/>
              </w:rPr>
              <w:t xml:space="preserve">121,923 </w:t>
            </w:r>
            <w:r>
              <w:rPr>
                <w:rFonts w:ascii="Arial" w:cs="Arial" w:eastAsia="Arial" w:hAnsi="Arial"/>
                <w:sz w:val="20"/>
                <w:szCs w:val="20"/>
                <w:i w:val="1"/>
                <w:iCs w:val="1"/>
                <w:color w:val="auto"/>
                <w:w w:val="90"/>
                <w:vertAlign w:val="superscript"/>
              </w:rPr>
              <w:t>(7)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998,9</w:t>
            </w:r>
          </w:p>
        </w:tc>
      </w:tr>
      <w:tr>
        <w:trPr>
          <w:trHeight w:val="156"/>
        </w:trPr>
        <w:tc>
          <w:tcPr>
            <w:tcW w:w="1960" w:type="dxa"/>
            <w:vAlign w:val="bottom"/>
            <w:tcBorders>
              <w:right w:val="single" w:sz="8" w:color="auto"/>
            </w:tcBorders>
            <w:shd w:val="clear" w:color="auto" w:fill="F7AB6C"/>
          </w:tcPr>
          <w:p>
            <w:pPr>
              <w:spacing w:after="0" w:line="156" w:lineRule="exact"/>
              <w:rPr>
                <w:sz w:val="20"/>
                <w:szCs w:val="20"/>
                <w:color w:val="auto"/>
              </w:rPr>
            </w:pPr>
            <w:r>
              <w:rPr>
                <w:rFonts w:ascii="Arial" w:cs="Arial" w:eastAsia="Arial" w:hAnsi="Arial"/>
                <w:sz w:val="14"/>
                <w:szCs w:val="14"/>
                <w:color w:val="auto"/>
              </w:rPr>
              <w:t> Senior Vice President, Chief</w:t>
            </w:r>
          </w:p>
        </w:tc>
        <w:tc>
          <w:tcPr>
            <w:tcW w:w="5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2024</w:t>
            </w:r>
          </w:p>
        </w:tc>
        <w:tc>
          <w:tcPr>
            <w:tcW w:w="7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3"/>
              </w:rPr>
              <w:t>$330,746 </w:t>
            </w:r>
          </w:p>
        </w:tc>
        <w:tc>
          <w:tcPr>
            <w:tcW w:w="700" w:type="dxa"/>
            <w:vAlign w:val="bottom"/>
            <w:tcBorders>
              <w:right w:val="single" w:sz="8" w:color="auto"/>
            </w:tcBorders>
          </w:tcPr>
          <w:p>
            <w:pPr>
              <w:jc w:val="right"/>
              <w:ind w:right="191"/>
              <w:spacing w:after="0" w:line="156"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331"/>
              <w:spacing w:after="0" w:line="156" w:lineRule="exact"/>
              <w:rPr>
                <w:sz w:val="20"/>
                <w:szCs w:val="20"/>
                <w:color w:val="auto"/>
              </w:rPr>
            </w:pPr>
            <w:r>
              <w:rPr>
                <w:rFonts w:ascii="Arial" w:cs="Arial" w:eastAsia="Arial" w:hAnsi="Arial"/>
                <w:sz w:val="14"/>
                <w:szCs w:val="14"/>
                <w:color w:val="auto"/>
                <w:w w:val="88"/>
              </w:rPr>
              <w:t>204,778 </w:t>
            </w:r>
          </w:p>
        </w:tc>
        <w:tc>
          <w:tcPr>
            <w:tcW w:w="780" w:type="dxa"/>
            <w:vAlign w:val="bottom"/>
            <w:tcBorders>
              <w:right w:val="single" w:sz="8" w:color="auto"/>
            </w:tcBorders>
          </w:tcPr>
          <w:p>
            <w:pPr>
              <w:ind w:left="340"/>
              <w:spacing w:after="0" w:line="156" w:lineRule="exact"/>
              <w:rPr>
                <w:sz w:val="20"/>
                <w:szCs w:val="20"/>
                <w:color w:val="auto"/>
              </w:rPr>
            </w:pPr>
            <w:r>
              <w:rPr>
                <w:rFonts w:ascii="Arial" w:cs="Arial" w:eastAsia="Arial" w:hAnsi="Arial"/>
                <w:sz w:val="14"/>
                <w:szCs w:val="14"/>
                <w:color w:val="auto"/>
              </w:rPr>
              <w:t>—</w:t>
            </w:r>
          </w:p>
        </w:tc>
        <w:tc>
          <w:tcPr>
            <w:tcW w:w="13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$166,696</w:t>
            </w: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jc w:val="right"/>
              <w:ind w:right="491"/>
              <w:spacing w:after="0" w:line="156" w:lineRule="exact"/>
              <w:rPr>
                <w:sz w:val="20"/>
                <w:szCs w:val="20"/>
                <w:color w:val="auto"/>
              </w:rPr>
            </w:pPr>
            <w:r>
              <w:rPr>
                <w:rFonts w:ascii="Arial" w:cs="Arial" w:eastAsia="Arial" w:hAnsi="Arial"/>
                <w:sz w:val="14"/>
                <w:szCs w:val="14"/>
                <w:color w:val="auto"/>
              </w:rPr>
              <w:t>67,912</w:t>
            </w:r>
          </w:p>
        </w:tc>
        <w:tc>
          <w:tcPr>
            <w:tcW w:w="1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105,746</w:t>
            </w: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6" w:lineRule="exact"/>
              <w:rPr>
                <w:sz w:val="20"/>
                <w:szCs w:val="20"/>
                <w:color w:val="auto"/>
              </w:rPr>
            </w:pPr>
            <w:r>
              <w:rPr>
                <w:rFonts w:ascii="Arial" w:cs="Arial" w:eastAsia="Arial" w:hAnsi="Arial"/>
                <w:sz w:val="14"/>
                <w:szCs w:val="14"/>
                <w:color w:val="auto"/>
              </w:rPr>
              <w:t>875,8</w:t>
            </w:r>
          </w:p>
        </w:tc>
      </w:tr>
      <w:tr>
        <w:trPr>
          <w:trHeight w:val="215"/>
        </w:trPr>
        <w:tc>
          <w:tcPr>
            <w:tcW w:w="1960" w:type="dxa"/>
            <w:vAlign w:val="bottom"/>
            <w:tcBorders>
              <w:bottom w:val="single" w:sz="8" w:color="F7AB6C"/>
              <w:right w:val="single" w:sz="8" w:color="auto"/>
            </w:tcBorders>
            <w:shd w:val="clear" w:color="auto" w:fill="F7AB6C"/>
          </w:tcPr>
          <w:p>
            <w:pPr>
              <w:spacing w:after="0"/>
              <w:rPr>
                <w:sz w:val="20"/>
                <w:szCs w:val="20"/>
                <w:color w:val="auto"/>
              </w:rPr>
            </w:pPr>
            <w:r>
              <w:rPr>
                <w:rFonts w:ascii="Arial" w:cs="Arial" w:eastAsia="Arial" w:hAnsi="Arial"/>
                <w:sz w:val="14"/>
                <w:szCs w:val="14"/>
                <w:color w:val="auto"/>
              </w:rPr>
              <w:t> Financial Officer &amp; Treasurer</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$294,353 </w:t>
            </w:r>
          </w:p>
        </w:tc>
        <w:tc>
          <w:tcPr>
            <w:tcW w:w="700" w:type="dxa"/>
            <w:vAlign w:val="bottom"/>
            <w:tcBorders>
              <w:right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331"/>
              <w:spacing w:after="0"/>
              <w:rPr>
                <w:sz w:val="20"/>
                <w:szCs w:val="20"/>
                <w:color w:val="auto"/>
              </w:rPr>
            </w:pPr>
            <w:r>
              <w:rPr>
                <w:rFonts w:ascii="Arial" w:cs="Arial" w:eastAsia="Arial" w:hAnsi="Arial"/>
                <w:sz w:val="14"/>
                <w:szCs w:val="14"/>
                <w:color w:val="auto"/>
                <w:w w:val="88"/>
              </w:rPr>
              <w:t>100,550 </w:t>
            </w:r>
          </w:p>
        </w:tc>
        <w:tc>
          <w:tcPr>
            <w:tcW w:w="7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$154,977</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jc w:val="right"/>
              <w:ind w:right="491"/>
              <w:spacing w:after="0"/>
              <w:rPr>
                <w:sz w:val="20"/>
                <w:szCs w:val="20"/>
                <w:color w:val="auto"/>
              </w:rPr>
            </w:pPr>
            <w:r>
              <w:rPr>
                <w:rFonts w:ascii="Arial" w:cs="Arial" w:eastAsia="Arial" w:hAnsi="Arial"/>
                <w:sz w:val="14"/>
                <w:szCs w:val="14"/>
                <w:color w:val="auto"/>
              </w:rPr>
              <w:t>38,297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73,159</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661,3</w:t>
            </w:r>
          </w:p>
        </w:tc>
      </w:tr>
      <w:tr>
        <w:trPr>
          <w:trHeight w:val="219"/>
        </w:trPr>
        <w:tc>
          <w:tcPr>
            <w:tcW w:w="1960" w:type="dxa"/>
            <w:vAlign w:val="bottom"/>
            <w:tcBorders>
              <w:top w:val="single" w:sz="8" w:color="auto"/>
              <w:right w:val="single" w:sz="8" w:color="auto"/>
            </w:tcBorders>
            <w:shd w:val="clear" w:color="auto" w:fill="F7AB6C"/>
          </w:tcPr>
          <w:p>
            <w:pPr>
              <w:spacing w:after="0"/>
              <w:rPr>
                <w:sz w:val="20"/>
                <w:szCs w:val="20"/>
                <w:color w:val="auto"/>
              </w:rPr>
            </w:pPr>
            <w:r>
              <w:rPr>
                <w:rFonts w:ascii="Arial" w:cs="Arial" w:eastAsia="Arial" w:hAnsi="Arial"/>
                <w:sz w:val="14"/>
                <w:szCs w:val="14"/>
                <w:b w:val="1"/>
                <w:bCs w:val="1"/>
                <w:color w:val="auto"/>
              </w:rPr>
              <w:t> Justin Eisfeller</w:t>
            </w:r>
          </w:p>
        </w:tc>
        <w:tc>
          <w:tcPr>
            <w:tcW w:w="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$296,951 </w:t>
            </w:r>
          </w:p>
        </w:tc>
        <w:tc>
          <w:tcPr>
            <w:tcW w:w="700" w:type="dxa"/>
            <w:vAlign w:val="bottom"/>
            <w:tcBorders>
              <w:top w:val="single" w:sz="8" w:color="auto"/>
              <w:right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right w:val="single" w:sz="8" w:color="auto"/>
            </w:tcBorders>
          </w:tcPr>
          <w:p>
            <w:pPr>
              <w:jc w:val="right"/>
              <w:ind w:right="331"/>
              <w:spacing w:after="0"/>
              <w:rPr>
                <w:sz w:val="20"/>
                <w:szCs w:val="20"/>
                <w:color w:val="auto"/>
              </w:rPr>
            </w:pPr>
            <w:r>
              <w:rPr>
                <w:rFonts w:ascii="Arial" w:cs="Arial" w:eastAsia="Arial" w:hAnsi="Arial"/>
                <w:sz w:val="14"/>
                <w:szCs w:val="14"/>
                <w:color w:val="auto"/>
                <w:w w:val="88"/>
              </w:rPr>
              <w:t>101,088 </w:t>
            </w:r>
          </w:p>
        </w:tc>
        <w:tc>
          <w:tcPr>
            <w:tcW w:w="78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$142,388</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right w:val="single" w:sz="8" w:color="auto"/>
            </w:tcBorders>
          </w:tcPr>
          <w:p>
            <w:pPr>
              <w:jc w:val="right"/>
              <w:ind w:right="491"/>
              <w:spacing w:after="0"/>
              <w:rPr>
                <w:sz w:val="20"/>
                <w:szCs w:val="20"/>
                <w:color w:val="auto"/>
              </w:rPr>
            </w:pPr>
            <w:r>
              <w:rPr>
                <w:rFonts w:ascii="Arial" w:cs="Arial" w:eastAsia="Arial" w:hAnsi="Arial"/>
                <w:sz w:val="14"/>
                <w:szCs w:val="14"/>
                <w:color w:val="auto"/>
                <w:w w:val="94"/>
              </w:rPr>
              <w:t>170,309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gridSpan w:val="3"/>
          </w:tcPr>
          <w:p>
            <w:pPr>
              <w:jc w:val="right"/>
              <w:ind w:right="100"/>
              <w:spacing w:after="0" w:line="220" w:lineRule="exact"/>
              <w:rPr>
                <w:sz w:val="20"/>
                <w:szCs w:val="20"/>
                <w:color w:val="auto"/>
              </w:rPr>
            </w:pPr>
            <w:r>
              <w:rPr>
                <w:rFonts w:ascii="Arial" w:cs="Arial" w:eastAsia="Arial" w:hAnsi="Arial"/>
                <w:sz w:val="14"/>
                <w:szCs w:val="14"/>
                <w:color w:val="auto"/>
              </w:rPr>
              <w:t xml:space="preserve">72,149 </w:t>
            </w:r>
            <w:r>
              <w:rPr>
                <w:rFonts w:ascii="Arial" w:cs="Arial" w:eastAsia="Arial" w:hAnsi="Arial"/>
                <w:sz w:val="20"/>
                <w:szCs w:val="20"/>
                <w:i w:val="1"/>
                <w:iCs w:val="1"/>
                <w:color w:val="auto"/>
                <w:vertAlign w:val="superscript"/>
              </w:rPr>
              <w:t>(8)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782,8</w:t>
            </w:r>
          </w:p>
        </w:tc>
      </w:tr>
      <w:tr>
        <w:trPr>
          <w:trHeight w:val="156"/>
        </w:trPr>
        <w:tc>
          <w:tcPr>
            <w:tcW w:w="1960" w:type="dxa"/>
            <w:vAlign w:val="bottom"/>
            <w:tcBorders>
              <w:right w:val="single" w:sz="8" w:color="auto"/>
            </w:tcBorders>
            <w:shd w:val="clear" w:color="auto" w:fill="F7AB6C"/>
          </w:tcPr>
          <w:p>
            <w:pPr>
              <w:spacing w:after="0" w:line="156" w:lineRule="exact"/>
              <w:rPr>
                <w:sz w:val="20"/>
                <w:szCs w:val="20"/>
                <w:color w:val="auto"/>
              </w:rPr>
            </w:pPr>
            <w:r>
              <w:rPr>
                <w:rFonts w:ascii="Arial" w:cs="Arial" w:eastAsia="Arial" w:hAnsi="Arial"/>
                <w:sz w:val="14"/>
                <w:szCs w:val="14"/>
                <w:color w:val="auto"/>
              </w:rPr>
              <w:t> Vice President &amp; Chief</w:t>
            </w:r>
          </w:p>
        </w:tc>
        <w:tc>
          <w:tcPr>
            <w:tcW w:w="5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2024</w:t>
            </w:r>
          </w:p>
        </w:tc>
        <w:tc>
          <w:tcPr>
            <w:tcW w:w="7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3"/>
              </w:rPr>
              <w:t>$286,451 </w:t>
            </w:r>
          </w:p>
        </w:tc>
        <w:tc>
          <w:tcPr>
            <w:tcW w:w="700" w:type="dxa"/>
            <w:vAlign w:val="bottom"/>
            <w:tcBorders>
              <w:right w:val="single" w:sz="8" w:color="auto"/>
            </w:tcBorders>
          </w:tcPr>
          <w:p>
            <w:pPr>
              <w:jc w:val="right"/>
              <w:ind w:right="191"/>
              <w:spacing w:after="0" w:line="156"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331"/>
              <w:spacing w:after="0" w:line="156" w:lineRule="exact"/>
              <w:rPr>
                <w:sz w:val="20"/>
                <w:szCs w:val="20"/>
                <w:color w:val="auto"/>
              </w:rPr>
            </w:pPr>
            <w:r>
              <w:rPr>
                <w:rFonts w:ascii="Arial" w:cs="Arial" w:eastAsia="Arial" w:hAnsi="Arial"/>
                <w:sz w:val="14"/>
                <w:szCs w:val="14"/>
                <w:color w:val="auto"/>
              </w:rPr>
              <w:t>97,980 </w:t>
            </w:r>
          </w:p>
        </w:tc>
        <w:tc>
          <w:tcPr>
            <w:tcW w:w="780" w:type="dxa"/>
            <w:vAlign w:val="bottom"/>
            <w:tcBorders>
              <w:right w:val="single" w:sz="8" w:color="auto"/>
            </w:tcBorders>
          </w:tcPr>
          <w:p>
            <w:pPr>
              <w:ind w:left="340"/>
              <w:spacing w:after="0" w:line="156" w:lineRule="exact"/>
              <w:rPr>
                <w:sz w:val="20"/>
                <w:szCs w:val="20"/>
                <w:color w:val="auto"/>
              </w:rPr>
            </w:pPr>
            <w:r>
              <w:rPr>
                <w:rFonts w:ascii="Arial" w:cs="Arial" w:eastAsia="Arial" w:hAnsi="Arial"/>
                <w:sz w:val="14"/>
                <w:szCs w:val="14"/>
                <w:color w:val="auto"/>
              </w:rPr>
              <w:t>—</w:t>
            </w:r>
          </w:p>
        </w:tc>
        <w:tc>
          <w:tcPr>
            <w:tcW w:w="13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3"/>
              </w:rPr>
              <w:t>$ 112,289</w:t>
            </w: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jc w:val="right"/>
              <w:ind w:right="491"/>
              <w:spacing w:after="0" w:line="156" w:lineRule="exact"/>
              <w:rPr>
                <w:sz w:val="20"/>
                <w:szCs w:val="20"/>
                <w:color w:val="auto"/>
              </w:rPr>
            </w:pPr>
            <w:r>
              <w:rPr>
                <w:rFonts w:ascii="Arial" w:cs="Arial" w:eastAsia="Arial" w:hAnsi="Arial"/>
                <w:sz w:val="14"/>
                <w:szCs w:val="14"/>
                <w:color w:val="auto"/>
              </w:rPr>
              <w:t>77,934</w:t>
            </w:r>
          </w:p>
        </w:tc>
        <w:tc>
          <w:tcPr>
            <w:tcW w:w="1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90,191</w:t>
            </w: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6" w:lineRule="exact"/>
              <w:rPr>
                <w:sz w:val="20"/>
                <w:szCs w:val="20"/>
                <w:color w:val="auto"/>
              </w:rPr>
            </w:pPr>
            <w:r>
              <w:rPr>
                <w:rFonts w:ascii="Arial" w:cs="Arial" w:eastAsia="Arial" w:hAnsi="Arial"/>
                <w:sz w:val="14"/>
                <w:szCs w:val="14"/>
                <w:color w:val="auto"/>
              </w:rPr>
              <w:t>664,8</w:t>
            </w:r>
          </w:p>
        </w:tc>
      </w:tr>
      <w:tr>
        <w:trPr>
          <w:trHeight w:val="215"/>
        </w:trPr>
        <w:tc>
          <w:tcPr>
            <w:tcW w:w="1960" w:type="dxa"/>
            <w:vAlign w:val="bottom"/>
            <w:tcBorders>
              <w:bottom w:val="single" w:sz="8" w:color="F7AB6C"/>
              <w:right w:val="single" w:sz="8" w:color="auto"/>
            </w:tcBorders>
            <w:shd w:val="clear" w:color="auto" w:fill="F7AB6C"/>
          </w:tcPr>
          <w:p>
            <w:pPr>
              <w:spacing w:after="0"/>
              <w:rPr>
                <w:sz w:val="20"/>
                <w:szCs w:val="20"/>
                <w:color w:val="auto"/>
              </w:rPr>
            </w:pPr>
            <w:r>
              <w:rPr>
                <w:rFonts w:ascii="Arial" w:cs="Arial" w:eastAsia="Arial" w:hAnsi="Arial"/>
                <w:sz w:val="14"/>
                <w:szCs w:val="14"/>
                <w:color w:val="auto"/>
              </w:rPr>
              <w:t> Technology Officer</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$271,951 </w:t>
            </w:r>
          </w:p>
        </w:tc>
        <w:tc>
          <w:tcPr>
            <w:tcW w:w="700" w:type="dxa"/>
            <w:vAlign w:val="bottom"/>
            <w:tcBorders>
              <w:right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331"/>
              <w:spacing w:after="0"/>
              <w:rPr>
                <w:sz w:val="20"/>
                <w:szCs w:val="20"/>
                <w:color w:val="auto"/>
              </w:rPr>
            </w:pPr>
            <w:r>
              <w:rPr>
                <w:rFonts w:ascii="Arial" w:cs="Arial" w:eastAsia="Arial" w:hAnsi="Arial"/>
                <w:sz w:val="14"/>
                <w:szCs w:val="14"/>
                <w:color w:val="auto"/>
                <w:w w:val="88"/>
              </w:rPr>
              <w:t>100,550 </w:t>
            </w:r>
          </w:p>
        </w:tc>
        <w:tc>
          <w:tcPr>
            <w:tcW w:w="7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$ 111,364</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jc w:val="right"/>
              <w:ind w:right="491"/>
              <w:spacing w:after="0"/>
              <w:rPr>
                <w:sz w:val="20"/>
                <w:szCs w:val="20"/>
                <w:color w:val="auto"/>
              </w:rPr>
            </w:pPr>
            <w:r>
              <w:rPr>
                <w:rFonts w:ascii="Arial" w:cs="Arial" w:eastAsia="Arial" w:hAnsi="Arial"/>
                <w:sz w:val="14"/>
                <w:szCs w:val="14"/>
                <w:color w:val="auto"/>
                <w:w w:val="94"/>
              </w:rPr>
              <w:t>159,277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67,394</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710,5</w:t>
            </w:r>
          </w:p>
        </w:tc>
      </w:tr>
      <w:tr>
        <w:trPr>
          <w:trHeight w:val="219"/>
        </w:trPr>
        <w:tc>
          <w:tcPr>
            <w:tcW w:w="1960" w:type="dxa"/>
            <w:vAlign w:val="bottom"/>
            <w:tcBorders>
              <w:top w:val="single" w:sz="8" w:color="auto"/>
              <w:right w:val="single" w:sz="8" w:color="auto"/>
            </w:tcBorders>
            <w:shd w:val="clear" w:color="auto" w:fill="F7AB6C"/>
          </w:tcPr>
          <w:p>
            <w:pPr>
              <w:spacing w:after="0"/>
              <w:rPr>
                <w:sz w:val="20"/>
                <w:szCs w:val="20"/>
                <w:color w:val="auto"/>
              </w:rPr>
            </w:pPr>
            <w:r>
              <w:rPr>
                <w:rFonts w:ascii="Arial" w:cs="Arial" w:eastAsia="Arial" w:hAnsi="Arial"/>
                <w:sz w:val="14"/>
                <w:szCs w:val="14"/>
                <w:b w:val="1"/>
                <w:bCs w:val="1"/>
                <w:color w:val="auto"/>
              </w:rPr>
              <w:t> Christopher J. LeBlanc</w:t>
            </w:r>
          </w:p>
        </w:tc>
        <w:tc>
          <w:tcPr>
            <w:tcW w:w="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$306,375 </w:t>
            </w:r>
          </w:p>
        </w:tc>
        <w:tc>
          <w:tcPr>
            <w:tcW w:w="700" w:type="dxa"/>
            <w:vAlign w:val="bottom"/>
            <w:tcBorders>
              <w:top w:val="single" w:sz="8" w:color="auto"/>
              <w:right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right w:val="single" w:sz="8" w:color="auto"/>
            </w:tcBorders>
          </w:tcPr>
          <w:p>
            <w:pPr>
              <w:jc w:val="right"/>
              <w:ind w:right="331"/>
              <w:spacing w:after="0"/>
              <w:rPr>
                <w:sz w:val="20"/>
                <w:szCs w:val="20"/>
                <w:color w:val="auto"/>
              </w:rPr>
            </w:pPr>
            <w:r>
              <w:rPr>
                <w:rFonts w:ascii="Arial" w:cs="Arial" w:eastAsia="Arial" w:hAnsi="Arial"/>
                <w:sz w:val="14"/>
                <w:szCs w:val="14"/>
                <w:color w:val="auto"/>
                <w:w w:val="88"/>
              </w:rPr>
              <w:t>101,088 </w:t>
            </w:r>
          </w:p>
        </w:tc>
        <w:tc>
          <w:tcPr>
            <w:tcW w:w="78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$147,079</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right w:val="single" w:sz="8" w:color="auto"/>
            </w:tcBorders>
          </w:tcPr>
          <w:p>
            <w:pPr>
              <w:jc w:val="right"/>
              <w:ind w:right="491"/>
              <w:spacing w:after="0"/>
              <w:rPr>
                <w:sz w:val="20"/>
                <w:szCs w:val="20"/>
                <w:color w:val="auto"/>
              </w:rPr>
            </w:pPr>
            <w:r>
              <w:rPr>
                <w:rFonts w:ascii="Arial" w:cs="Arial" w:eastAsia="Arial" w:hAnsi="Arial"/>
                <w:sz w:val="14"/>
                <w:szCs w:val="14"/>
                <w:color w:val="auto"/>
                <w:w w:val="94"/>
              </w:rPr>
              <w:t>228,059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gridSpan w:val="3"/>
          </w:tcPr>
          <w:p>
            <w:pPr>
              <w:jc w:val="right"/>
              <w:ind w:right="100"/>
              <w:spacing w:after="0" w:line="220" w:lineRule="exact"/>
              <w:rPr>
                <w:sz w:val="20"/>
                <w:szCs w:val="20"/>
                <w:color w:val="auto"/>
              </w:rPr>
            </w:pPr>
            <w:r>
              <w:rPr>
                <w:rFonts w:ascii="Arial" w:cs="Arial" w:eastAsia="Arial" w:hAnsi="Arial"/>
                <w:sz w:val="14"/>
                <w:szCs w:val="14"/>
                <w:color w:val="auto"/>
              </w:rPr>
              <w:t xml:space="preserve">80,680 </w:t>
            </w:r>
            <w:r>
              <w:rPr>
                <w:rFonts w:ascii="Arial" w:cs="Arial" w:eastAsia="Arial" w:hAnsi="Arial"/>
                <w:sz w:val="20"/>
                <w:szCs w:val="20"/>
                <w:i w:val="1"/>
                <w:iCs w:val="1"/>
                <w:color w:val="auto"/>
                <w:vertAlign w:val="superscript"/>
              </w:rPr>
              <w:t>(9)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863,2</w:t>
            </w:r>
          </w:p>
        </w:tc>
      </w:tr>
      <w:tr>
        <w:trPr>
          <w:trHeight w:val="156"/>
        </w:trPr>
        <w:tc>
          <w:tcPr>
            <w:tcW w:w="1960" w:type="dxa"/>
            <w:vAlign w:val="bottom"/>
            <w:tcBorders>
              <w:right w:val="single" w:sz="8" w:color="auto"/>
            </w:tcBorders>
            <w:shd w:val="clear" w:color="auto" w:fill="F7AB6C"/>
          </w:tcPr>
          <w:p>
            <w:pPr>
              <w:spacing w:after="0" w:line="156" w:lineRule="exact"/>
              <w:rPr>
                <w:sz w:val="20"/>
                <w:szCs w:val="20"/>
                <w:color w:val="auto"/>
              </w:rPr>
            </w:pPr>
            <w:r>
              <w:rPr>
                <w:rFonts w:ascii="Arial" w:cs="Arial" w:eastAsia="Arial" w:hAnsi="Arial"/>
                <w:sz w:val="14"/>
                <w:szCs w:val="14"/>
                <w:color w:val="auto"/>
              </w:rPr>
              <w:t> Senior Vice President, Gas</w:t>
            </w:r>
          </w:p>
        </w:tc>
        <w:tc>
          <w:tcPr>
            <w:tcW w:w="5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2024</w:t>
            </w:r>
          </w:p>
        </w:tc>
        <w:tc>
          <w:tcPr>
            <w:tcW w:w="7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3"/>
              </w:rPr>
              <w:t>$283,325 </w:t>
            </w:r>
          </w:p>
        </w:tc>
        <w:tc>
          <w:tcPr>
            <w:tcW w:w="700" w:type="dxa"/>
            <w:vAlign w:val="bottom"/>
            <w:tcBorders>
              <w:right w:val="single" w:sz="8" w:color="auto"/>
            </w:tcBorders>
          </w:tcPr>
          <w:p>
            <w:pPr>
              <w:jc w:val="right"/>
              <w:ind w:right="191"/>
              <w:spacing w:after="0" w:line="156"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331"/>
              <w:spacing w:after="0" w:line="156" w:lineRule="exact"/>
              <w:rPr>
                <w:sz w:val="20"/>
                <w:szCs w:val="20"/>
                <w:color w:val="auto"/>
              </w:rPr>
            </w:pPr>
            <w:r>
              <w:rPr>
                <w:rFonts w:ascii="Arial" w:cs="Arial" w:eastAsia="Arial" w:hAnsi="Arial"/>
                <w:sz w:val="14"/>
                <w:szCs w:val="14"/>
                <w:color w:val="auto"/>
              </w:rPr>
              <w:t>97,980 </w:t>
            </w:r>
          </w:p>
        </w:tc>
        <w:tc>
          <w:tcPr>
            <w:tcW w:w="780" w:type="dxa"/>
            <w:vAlign w:val="bottom"/>
            <w:tcBorders>
              <w:right w:val="single" w:sz="8" w:color="auto"/>
            </w:tcBorders>
          </w:tcPr>
          <w:p>
            <w:pPr>
              <w:ind w:left="340"/>
              <w:spacing w:after="0" w:line="156" w:lineRule="exact"/>
              <w:rPr>
                <w:sz w:val="20"/>
                <w:szCs w:val="20"/>
                <w:color w:val="auto"/>
              </w:rPr>
            </w:pPr>
            <w:r>
              <w:rPr>
                <w:rFonts w:ascii="Arial" w:cs="Arial" w:eastAsia="Arial" w:hAnsi="Arial"/>
                <w:sz w:val="14"/>
                <w:szCs w:val="14"/>
                <w:color w:val="auto"/>
              </w:rPr>
              <w:t>—</w:t>
            </w:r>
          </w:p>
        </w:tc>
        <w:tc>
          <w:tcPr>
            <w:tcW w:w="13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3"/>
              </w:rPr>
              <w:t>$ 113,278</w:t>
            </w: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jc w:val="right"/>
              <w:ind w:right="491"/>
              <w:spacing w:after="0" w:line="156" w:lineRule="exact"/>
              <w:rPr>
                <w:sz w:val="20"/>
                <w:szCs w:val="20"/>
                <w:color w:val="auto"/>
              </w:rPr>
            </w:pPr>
            <w:r>
              <w:rPr>
                <w:rFonts w:ascii="Arial" w:cs="Arial" w:eastAsia="Arial" w:hAnsi="Arial"/>
                <w:sz w:val="14"/>
                <w:szCs w:val="14"/>
                <w:color w:val="auto"/>
              </w:rPr>
              <w:t>74,058</w:t>
            </w:r>
          </w:p>
        </w:tc>
        <w:tc>
          <w:tcPr>
            <w:tcW w:w="1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79,654</w:t>
            </w: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6" w:lineRule="exact"/>
              <w:rPr>
                <w:sz w:val="20"/>
                <w:szCs w:val="20"/>
                <w:color w:val="auto"/>
              </w:rPr>
            </w:pPr>
            <w:r>
              <w:rPr>
                <w:rFonts w:ascii="Arial" w:cs="Arial" w:eastAsia="Arial" w:hAnsi="Arial"/>
                <w:sz w:val="14"/>
                <w:szCs w:val="14"/>
                <w:color w:val="auto"/>
              </w:rPr>
              <w:t>648,2</w:t>
            </w:r>
          </w:p>
        </w:tc>
      </w:tr>
      <w:tr>
        <w:trPr>
          <w:trHeight w:val="215"/>
        </w:trPr>
        <w:tc>
          <w:tcPr>
            <w:tcW w:w="1960" w:type="dxa"/>
            <w:vAlign w:val="bottom"/>
            <w:tcBorders>
              <w:bottom w:val="single" w:sz="8" w:color="F7AB6C"/>
              <w:right w:val="single" w:sz="8" w:color="auto"/>
            </w:tcBorders>
            <w:shd w:val="clear" w:color="auto" w:fill="F7AB6C"/>
          </w:tcPr>
          <w:p>
            <w:pPr>
              <w:spacing w:after="0"/>
              <w:rPr>
                <w:sz w:val="20"/>
                <w:szCs w:val="20"/>
                <w:color w:val="auto"/>
              </w:rPr>
            </w:pPr>
            <w:r>
              <w:rPr>
                <w:rFonts w:ascii="Arial" w:cs="Arial" w:eastAsia="Arial" w:hAnsi="Arial"/>
                <w:sz w:val="14"/>
                <w:szCs w:val="14"/>
                <w:color w:val="auto"/>
              </w:rPr>
              <w:t> Operations</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$266,225 </w:t>
            </w:r>
          </w:p>
        </w:tc>
        <w:tc>
          <w:tcPr>
            <w:tcW w:w="700" w:type="dxa"/>
            <w:vAlign w:val="bottom"/>
            <w:tcBorders>
              <w:right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331"/>
              <w:spacing w:after="0"/>
              <w:rPr>
                <w:sz w:val="20"/>
                <w:szCs w:val="20"/>
                <w:color w:val="auto"/>
              </w:rPr>
            </w:pPr>
            <w:r>
              <w:rPr>
                <w:rFonts w:ascii="Arial" w:cs="Arial" w:eastAsia="Arial" w:hAnsi="Arial"/>
                <w:sz w:val="14"/>
                <w:szCs w:val="14"/>
                <w:color w:val="auto"/>
                <w:w w:val="88"/>
              </w:rPr>
              <w:t>100,550 </w:t>
            </w:r>
          </w:p>
        </w:tc>
        <w:tc>
          <w:tcPr>
            <w:tcW w:w="7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$109,019</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jc w:val="right"/>
              <w:ind w:right="491"/>
              <w:spacing w:after="0"/>
              <w:rPr>
                <w:sz w:val="20"/>
                <w:szCs w:val="20"/>
                <w:color w:val="auto"/>
              </w:rPr>
            </w:pPr>
            <w:r>
              <w:rPr>
                <w:rFonts w:ascii="Arial" w:cs="Arial" w:eastAsia="Arial" w:hAnsi="Arial"/>
                <w:sz w:val="14"/>
                <w:szCs w:val="14"/>
                <w:color w:val="auto"/>
                <w:w w:val="94"/>
              </w:rPr>
              <w:t>159,305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74,707</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709,8</w:t>
            </w:r>
          </w:p>
        </w:tc>
      </w:tr>
      <w:tr>
        <w:trPr>
          <w:trHeight w:val="84"/>
        </w:trPr>
        <w:tc>
          <w:tcPr>
            <w:tcW w:w="196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spacing w:after="0"/>
              <w:rPr>
                <w:sz w:val="7"/>
                <w:szCs w:val="7"/>
                <w:color w:val="auto"/>
              </w:rPr>
            </w:pPr>
          </w:p>
        </w:tc>
        <w:tc>
          <w:tcPr>
            <w:tcW w:w="940" w:type="dxa"/>
            <w:vAlign w:val="bottom"/>
            <w:tcBorders>
              <w:top w:val="single" w:sz="8" w:color="auto"/>
              <w:bottom w:val="single" w:sz="8" w:color="auto"/>
            </w:tcBorders>
          </w:tcPr>
          <w:p>
            <w:pPr>
              <w:spacing w:after="0"/>
              <w:rPr>
                <w:sz w:val="7"/>
                <w:szCs w:val="7"/>
                <w:color w:val="auto"/>
              </w:rPr>
            </w:pPr>
          </w:p>
        </w:tc>
        <w:tc>
          <w:tcPr>
            <w:tcW w:w="780" w:type="dxa"/>
            <w:vAlign w:val="bottom"/>
            <w:tcBorders>
              <w:top w:val="single" w:sz="8" w:color="auto"/>
              <w:bottom w:val="single" w:sz="8" w:color="auto"/>
            </w:tcBorders>
          </w:tcPr>
          <w:p>
            <w:pPr>
              <w:spacing w:after="0"/>
              <w:rPr>
                <w:sz w:val="7"/>
                <w:szCs w:val="7"/>
                <w:color w:val="auto"/>
              </w:rPr>
            </w:pPr>
          </w:p>
        </w:tc>
        <w:tc>
          <w:tcPr>
            <w:tcW w:w="138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spacing w:after="0"/>
              <w:rPr>
                <w:sz w:val="7"/>
                <w:szCs w:val="7"/>
                <w:color w:val="auto"/>
              </w:rPr>
            </w:pPr>
          </w:p>
        </w:tc>
        <w:tc>
          <w:tcPr>
            <w:tcW w:w="1060" w:type="dxa"/>
            <w:vAlign w:val="bottom"/>
            <w:tcBorders>
              <w:top w:val="single" w:sz="8" w:color="auto"/>
              <w:bottom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-2120265</wp:posOffset>
            </wp:positionV>
            <wp:extent cx="6793865" cy="1155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93865" cy="115570"/>
                    </a:xfrm>
                    <a:prstGeom prst="rect">
                      <a:avLst/>
                    </a:prstGeom>
                    <a:noFill/>
                  </pic:spPr>
                </pic:pic>
              </a:graphicData>
            </a:graphic>
          </wp:anchor>
        </w:drawing>
      </w:r>
    </w:p>
    <w:p>
      <w:pPr>
        <w:spacing w:after="0" w:line="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NOTES:</w:t>
      </w:r>
    </w:p>
    <w:p>
      <w:pPr>
        <w:spacing w:after="0" w:line="116" w:lineRule="exact"/>
        <w:rPr>
          <w:sz w:val="20"/>
          <w:szCs w:val="20"/>
          <w:color w:val="auto"/>
        </w:rPr>
      </w:pPr>
    </w:p>
    <w:p>
      <w:pPr>
        <w:ind w:left="1620" w:right="980" w:hanging="492"/>
        <w:spacing w:after="0" w:line="280" w:lineRule="auto"/>
        <w:tabs>
          <w:tab w:leader="none" w:pos="1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Officers also hold various positions with subsidiary companies. Compensation for those positions is included in the above table.</w:t>
      </w:r>
    </w:p>
    <w:p>
      <w:pPr>
        <w:spacing w:after="0" w:line="50" w:lineRule="exact"/>
        <w:rPr>
          <w:rFonts w:ascii="Arial" w:cs="Arial" w:eastAsia="Arial" w:hAnsi="Arial"/>
          <w:sz w:val="17"/>
          <w:szCs w:val="17"/>
          <w:color w:val="auto"/>
        </w:rPr>
      </w:pPr>
    </w:p>
    <w:p>
      <w:pPr>
        <w:ind w:left="1620" w:right="920" w:hanging="492"/>
        <w:spacing w:after="0" w:line="252" w:lineRule="auto"/>
        <w:tabs>
          <w:tab w:leader="none" w:pos="1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Values shown in column (e) represent the grant date fair value, calculated in accordance with FASB ASC Topic 718 based on the closing price of Unitil common stock on the date of grant. Awards of restricted stock under the Third Amended Stock Plan were granted on January 24, 2023, at a price of $51.83, on January 30, 2024, at a price of $48.99, and on January 28, 2025, at a price of $52.65.</w:t>
      </w:r>
    </w:p>
    <w:p>
      <w:pPr>
        <w:spacing w:after="0" w:line="75" w:lineRule="exact"/>
        <w:rPr>
          <w:rFonts w:ascii="Arial" w:cs="Arial" w:eastAsia="Arial" w:hAnsi="Arial"/>
          <w:sz w:val="17"/>
          <w:szCs w:val="17"/>
          <w:color w:val="auto"/>
        </w:rPr>
      </w:pPr>
    </w:p>
    <w:p>
      <w:pPr>
        <w:ind w:left="1620" w:right="820" w:hanging="492"/>
        <w:spacing w:after="0" w:line="249" w:lineRule="auto"/>
        <w:tabs>
          <w:tab w:leader="none" w:pos="1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terms of the Management Incentive Plan provide a cash incentive opportunity if we meet certain pre-established performance targets (see the section entitled </w:t>
      </w:r>
      <w:r>
        <w:rPr>
          <w:rFonts w:ascii="Arial" w:cs="Arial" w:eastAsia="Arial" w:hAnsi="Arial"/>
          <w:sz w:val="17"/>
          <w:szCs w:val="17"/>
          <w:i w:val="1"/>
          <w:iCs w:val="1"/>
          <w:color w:val="auto"/>
        </w:rPr>
        <w:t>Compensation- Compensation Discussion and Analysis</w:t>
      </w:r>
      <w:r>
        <w:rPr>
          <w:rFonts w:ascii="Arial" w:cs="Arial" w:eastAsia="Arial" w:hAnsi="Arial"/>
          <w:sz w:val="17"/>
          <w:szCs w:val="17"/>
          <w:color w:val="auto"/>
        </w:rPr>
        <w:t xml:space="preserve">). The amounts shown for each Named Executive Officer reflect the cash incentive awarded on January 30, 2024, for 2023 results, January 28, 2025, for 2024 results, and January 27, 2026, for 2025 results. See also the Grants of Plan-Based Awards Table in the 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1620" w:right="780" w:hanging="492"/>
        <w:spacing w:after="0" w:line="252" w:lineRule="auto"/>
        <w:tabs>
          <w:tab w:leader="none" w:pos="1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amounts shown reflect the change in pension value and the change in SERP value for Mr. Meissner; the change in pension value and the earnings under the Deferred Compensation Plan for Mr. Eisfeller and Mr. LeBlanc; and the earnings under the Deferred Compensation Plan for Mr. Hevert and Mr. Hurstak. Mr. Hevert and Mr. Hurstak do not participate in the Retirement Plan or the 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140970</wp:posOffset>
            </wp:positionV>
            <wp:extent cx="6337300" cy="825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340"/>
          </w:cols>
          <w:pgMar w:left="320" w:top="470"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15" w:lineRule="exact"/>
        <w:rPr>
          <w:sz w:val="20"/>
          <w:szCs w:val="20"/>
          <w:color w:val="auto"/>
        </w:rPr>
      </w:pPr>
    </w:p>
    <w:p>
      <w:pPr>
        <w:ind w:left="1620" w:right="80" w:hanging="492"/>
        <w:spacing w:after="0" w:line="242" w:lineRule="auto"/>
        <w:tabs>
          <w:tab w:leader="none" w:pos="1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All Other Compensation for Mr. Meissner for the year 2025 includes an annual vehicle allowance, which is valued at $12,000, Unitil’s contribution to his 401(k), which is valued at $10,500, the contribution to his HSA account, non-preferential dividends earned in 2025 on the 14,280 shares of restricted stock awarded in 2025, which is valued at $25,704, and the tax adjustment on the 7,140 Time Restricted Shares that vested for tax purposes in 2025 in accordance with the provisions of the Third Amended Stock Plan, which is valued at $121,000. Under the terms of the Third Amended Stock Plan, all unvested Time Restricted Shares become fully vested upon retirement. According to IRS regulations, shares of certain types of restricted stock become taxable as current income when they become non-forfeitable. Mr. Meissner reached retirement eligibility age in 2017, and under the provisions of the Unitil Corporation Retirement Plan his unvested Time Restricted Shares would vest if he elected retirement. The IRS therefore requires us to treat all of Mr. Meissner’s unvested Time Restricted Shares as taxable income. Taxes were paid on this additional taxable income in accordance with the tax adjustment provision of the Third Amended Stock Plan. This tax adjustment is further described in the section entitled </w:t>
      </w:r>
      <w:r>
        <w:rPr>
          <w:rFonts w:ascii="Arial" w:cs="Arial" w:eastAsia="Arial" w:hAnsi="Arial"/>
          <w:sz w:val="17"/>
          <w:szCs w:val="17"/>
          <w:i w:val="1"/>
          <w:iCs w:val="1"/>
          <w:color w:val="auto"/>
        </w:rPr>
        <w:t>Compensation – Compensation of Named</w:t>
      </w:r>
      <w:r>
        <w:rPr>
          <w:rFonts w:ascii="Arial" w:cs="Arial" w:eastAsia="Arial" w:hAnsi="Arial"/>
          <w:sz w:val="17"/>
          <w:szCs w:val="17"/>
          <w:color w:val="auto"/>
        </w:rPr>
        <w:t xml:space="preserve"> </w:t>
      </w:r>
      <w:r>
        <w:rPr>
          <w:rFonts w:ascii="Arial" w:cs="Arial" w:eastAsia="Arial" w:hAnsi="Arial"/>
          <w:sz w:val="17"/>
          <w:szCs w:val="17"/>
          <w:i w:val="1"/>
          <w:iCs w:val="1"/>
          <w:color w:val="auto"/>
        </w:rPr>
        <w:t>Executive Officers – Equity Compensation Information.</w:t>
      </w:r>
    </w:p>
    <w:p>
      <w:pPr>
        <w:spacing w:after="0" w:line="88" w:lineRule="exact"/>
        <w:rPr>
          <w:rFonts w:ascii="Arial" w:cs="Arial" w:eastAsia="Arial" w:hAnsi="Arial"/>
          <w:sz w:val="17"/>
          <w:szCs w:val="17"/>
          <w:color w:val="auto"/>
        </w:rPr>
      </w:pPr>
    </w:p>
    <w:p>
      <w:pPr>
        <w:ind w:left="1620" w:right="20" w:hanging="492"/>
        <w:spacing w:after="0" w:line="242" w:lineRule="auto"/>
        <w:tabs>
          <w:tab w:leader="none" w:pos="1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All Other Compensation for Mr. Hevert for the year 2025 includes Unitil’s contribution to his 401(k) account, which is valued at $35,000, the contribution to his DC Plan account, which is valued at $74,864, a medical insurance opt out payment, the non-preferential dividends earned in 2025 on the 6,620 shares of restricted stock awarded in 2025, which is valued at $11,916, the tax adjustment on the 10,092 Time Restricted Shares that vested for tax purposes in 2025 in accordance with the provisions of the Third Amended Stock Plan, which is valued at $170,119. Under the terms of the Third Amended Stock Plan, all unvested Time Restricted Shares become fully vested upon retirement. According to IRS regulations, shares of certain types of restricted stock become taxable as current income when they become non-forfeitable. Mr. Hevert reached retirement eligibility age in 2025, and under the provisions of the Unitil Corporation Retirement Plan his Time Restricted Shares would vest if he elected retirement. The IRS therefore requires us to treat all of Mr. Hevert’s unvested Time Restricted Shares as taxable income. Taxes were paid on this additional taxable income in accordance with the tax adjustment provision of the Third Amended Stock Plan. This tax adjustment is further described in the section entitled </w:t>
      </w:r>
      <w:r>
        <w:rPr>
          <w:rFonts w:ascii="Arial" w:cs="Arial" w:eastAsia="Arial" w:hAnsi="Arial"/>
          <w:sz w:val="17"/>
          <w:szCs w:val="17"/>
          <w:i w:val="1"/>
          <w:iCs w:val="1"/>
          <w:color w:val="auto"/>
        </w:rPr>
        <w:t>Compensation – Compensation of Named Executive Officers –</w:t>
      </w:r>
      <w:r>
        <w:rPr>
          <w:rFonts w:ascii="Arial" w:cs="Arial" w:eastAsia="Arial" w:hAnsi="Arial"/>
          <w:sz w:val="17"/>
          <w:szCs w:val="17"/>
          <w:color w:val="auto"/>
        </w:rPr>
        <w:t xml:space="preserve"> </w:t>
      </w:r>
      <w:r>
        <w:rPr>
          <w:rFonts w:ascii="Arial" w:cs="Arial" w:eastAsia="Arial" w:hAnsi="Arial"/>
          <w:sz w:val="17"/>
          <w:szCs w:val="17"/>
          <w:i w:val="1"/>
          <w:iCs w:val="1"/>
          <w:color w:val="auto"/>
        </w:rPr>
        <w:t>Equity Compensation Plan Information</w:t>
      </w:r>
      <w:r>
        <w:rPr>
          <w:rFonts w:ascii="Arial" w:cs="Arial" w:eastAsia="Arial" w:hAnsi="Arial"/>
          <w:sz w:val="17"/>
          <w:szCs w:val="17"/>
          <w:color w:val="auto"/>
        </w:rPr>
        <w:t>.</w:t>
      </w:r>
    </w:p>
    <w:p>
      <w:pPr>
        <w:spacing w:after="0" w:line="88" w:lineRule="exact"/>
        <w:rPr>
          <w:rFonts w:ascii="Arial" w:cs="Arial" w:eastAsia="Arial" w:hAnsi="Arial"/>
          <w:sz w:val="17"/>
          <w:szCs w:val="17"/>
          <w:color w:val="auto"/>
        </w:rPr>
      </w:pPr>
    </w:p>
    <w:p>
      <w:pPr>
        <w:ind w:left="1620" w:right="60" w:hanging="492"/>
        <w:spacing w:after="0" w:line="249" w:lineRule="auto"/>
        <w:tabs>
          <w:tab w:leader="none" w:pos="1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Other Compensation for Mr. Hurstak for the year 2025 includes Unitil’s contribution to his 401(k) account, which is valued at $35,000, the contribution to his DC Plan account, which is valued at $51,959, the contribution to his HSA account, non-preferential dividends earned in 2025 on the 4,880 shares of restricted stock awarded in 2025, and the tax adjustment on the 1,483 Time Restricted Shares that vested in 2025 in accordance with the provisions of the Third Amended Stock Plan, which is valued at $25,180.</w:t>
      </w:r>
    </w:p>
    <w:p>
      <w:pPr>
        <w:spacing w:after="0" w:line="77" w:lineRule="exact"/>
        <w:rPr>
          <w:rFonts w:ascii="Arial" w:cs="Arial" w:eastAsia="Arial" w:hAnsi="Arial"/>
          <w:sz w:val="17"/>
          <w:szCs w:val="17"/>
          <w:color w:val="auto"/>
        </w:rPr>
      </w:pPr>
    </w:p>
    <w:p>
      <w:pPr>
        <w:ind w:left="1620" w:right="40" w:hanging="492"/>
        <w:spacing w:after="0" w:line="242" w:lineRule="auto"/>
        <w:tabs>
          <w:tab w:leader="none" w:pos="1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Other Compensation for Mr. Eisfeller for the year 2025 includes Unitil’s contribution to his 401(k) account, which is valued at $10,500, the contribution to his HSA account, the contribution to his DC Plan account, which is valued at $40,924, non-preferential dividends earned in 20254 on the 1,920 shares of restricted stock awarded in 20254, and the tax adjustment on the 960 Time Restricted Shares that vested for tax purposes in 2025 in accordance with the provisions of the Third Amended Stock Plan, which is valued at $16,296. Under the terms of the Third Amended Stock Plan, all unvested Time Restricted Shares become fully vested upon retirement. According to IRS regulations, shares of certain types of restricted stock become taxable as current income when they become non-forfeitable.</w:t>
      </w:r>
    </w:p>
    <w:p>
      <w:pPr>
        <w:ind w:left="1620" w:right="180"/>
        <w:spacing w:after="0" w:line="239" w:lineRule="auto"/>
        <w:rPr>
          <w:rFonts w:ascii="Arial" w:cs="Arial" w:eastAsia="Arial" w:hAnsi="Arial"/>
          <w:sz w:val="17"/>
          <w:szCs w:val="17"/>
          <w:color w:val="auto"/>
        </w:rPr>
      </w:pPr>
      <w:r>
        <w:rPr>
          <w:rFonts w:ascii="Arial" w:cs="Arial" w:eastAsia="Arial" w:hAnsi="Arial"/>
          <w:sz w:val="17"/>
          <w:szCs w:val="17"/>
          <w:color w:val="auto"/>
        </w:rPr>
        <w:t>Mr. Eisfeller reached retirement eligibility age in 2022, and under the provisions of the Unitil Corporation Retirement Plan his Time Restricted Shares would vest if he elected retirement. The IRS therefore requires us to treat all of</w:t>
      </w:r>
    </w:p>
    <w:p>
      <w:pPr>
        <w:ind w:left="1620" w:right="20"/>
        <w:spacing w:after="0" w:line="246" w:lineRule="auto"/>
        <w:rPr>
          <w:rFonts w:ascii="Arial" w:cs="Arial" w:eastAsia="Arial" w:hAnsi="Arial"/>
          <w:sz w:val="17"/>
          <w:szCs w:val="17"/>
          <w:color w:val="auto"/>
        </w:rPr>
      </w:pPr>
      <w:r>
        <w:rPr>
          <w:rFonts w:ascii="Arial" w:cs="Arial" w:eastAsia="Arial" w:hAnsi="Arial"/>
          <w:sz w:val="17"/>
          <w:szCs w:val="17"/>
          <w:color w:val="auto"/>
        </w:rPr>
        <w:t xml:space="preserve">Mr. Eisfeller’s unvested Time Restricted Shares as taxable income. Taxes were paid on this additional taxable income in accordance with the tax adjustment provision of the Third Amended Stock Plan. This tax adjustment is further described in the section entitled </w:t>
      </w:r>
      <w:r>
        <w:rPr>
          <w:rFonts w:ascii="Arial" w:cs="Arial" w:eastAsia="Arial" w:hAnsi="Arial"/>
          <w:sz w:val="17"/>
          <w:szCs w:val="17"/>
          <w:i w:val="1"/>
          <w:iCs w:val="1"/>
          <w:color w:val="auto"/>
        </w:rPr>
        <w:t>Compensation – Compensation of Named Executive Officers – Equity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Plan Information</w:t>
      </w:r>
      <w:r>
        <w:rPr>
          <w:rFonts w:ascii="Arial" w:cs="Arial" w:eastAsia="Arial" w:hAnsi="Arial"/>
          <w:sz w:val="17"/>
          <w:szCs w:val="17"/>
          <w:color w:val="auto"/>
        </w:rPr>
        <w:t>.</w:t>
      </w:r>
    </w:p>
    <w:p>
      <w:pPr>
        <w:spacing w:after="0" w:line="79" w:lineRule="exact"/>
        <w:rPr>
          <w:rFonts w:ascii="Arial" w:cs="Arial" w:eastAsia="Arial" w:hAnsi="Arial"/>
          <w:sz w:val="17"/>
          <w:szCs w:val="17"/>
          <w:color w:val="auto"/>
        </w:rPr>
      </w:pPr>
    </w:p>
    <w:p>
      <w:pPr>
        <w:ind w:left="1620" w:right="160" w:hanging="492"/>
        <w:spacing w:after="0" w:line="246" w:lineRule="auto"/>
        <w:tabs>
          <w:tab w:leader="none" w:pos="1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Other Compensation for Mr. LeBlanc for the year 2025 includes the use of a Company-owned vehicle, which is valued at $2,733, Unitil’s contribution to his 401(k) account, which is valued at $10,500, the contribution to his HSA account, the contribution to his DC Plan account, which is valued at $42,001, non-preferential dividends earned in 2025 on the 1,920 shares of restricted stock awarded in 2025, and the tax adjustment on the 960 Time Restricted Shares that vested for tax purposes in 2025 in accordance with the provisions of the Third Amended Stock Plan, which is valued at $20,997. Under the terms of the Third Amended Stock Plan, all unvested Time Restricted Shares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143510</wp:posOffset>
            </wp:positionV>
            <wp:extent cx="6337300" cy="825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620"/>
          </w:cols>
          <w:pgMar w:left="320" w:top="470" w:right="9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15" w:lineRule="exact"/>
        <w:rPr>
          <w:sz w:val="20"/>
          <w:szCs w:val="20"/>
          <w:color w:val="auto"/>
        </w:rPr>
      </w:pPr>
    </w:p>
    <w:p>
      <w:pPr>
        <w:ind w:left="1620" w:right="60"/>
        <w:spacing w:after="0" w:line="246" w:lineRule="auto"/>
        <w:rPr>
          <w:sz w:val="20"/>
          <w:szCs w:val="20"/>
          <w:color w:val="auto"/>
        </w:rPr>
      </w:pPr>
      <w:r>
        <w:rPr>
          <w:rFonts w:ascii="Arial" w:cs="Arial" w:eastAsia="Arial" w:hAnsi="Arial"/>
          <w:sz w:val="17"/>
          <w:szCs w:val="17"/>
          <w:color w:val="auto"/>
        </w:rPr>
        <w:t xml:space="preserve">fully vested upon retirement. According to IRS regulations, shares of certain types of restricted stock become taxable as current income when they become non-forfeitable. Mr. LeBlanc reached retirement eligibility age in 2021, and under the provisions of the Unitil Corporation Retirement Plan his Time Restricted Shares would vest if he elected retirement. The IRS therefore requires us to treat all of Mr. LeBlanc’s Time Restricted Shares as taxable income. Taxes were paid on this additional taxable income in accordance with the tax adjustment provision of the Third Amended Stock Plan. This tax adjustment is further described in the section entitled </w:t>
      </w:r>
      <w:r>
        <w:rPr>
          <w:rFonts w:ascii="Arial" w:cs="Arial" w:eastAsia="Arial" w:hAnsi="Arial"/>
          <w:sz w:val="17"/>
          <w:szCs w:val="17"/>
          <w:i w:val="1"/>
          <w:iCs w:val="1"/>
          <w:color w:val="auto"/>
        </w:rPr>
        <w:t>Compensation –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of Named Executive Officers – Equity Compensation Information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365760</wp:posOffset>
            </wp:positionV>
            <wp:extent cx="6337300" cy="825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620"/>
          </w:cols>
          <w:pgMar w:left="320" w:top="470" w:right="9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69850</wp:posOffset>
            </wp:positionV>
            <wp:extent cx="63373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50" w:lineRule="exact"/>
        <w:rPr>
          <w:sz w:val="20"/>
          <w:szCs w:val="20"/>
          <w:color w:val="auto"/>
        </w:rPr>
      </w:pPr>
    </w:p>
    <w:p>
      <w:pPr>
        <w:ind w:left="640" w:right="420"/>
        <w:spacing w:after="0" w:line="267" w:lineRule="auto"/>
        <w:rPr>
          <w:sz w:val="20"/>
          <w:szCs w:val="20"/>
          <w:color w:val="auto"/>
        </w:rPr>
      </w:pPr>
      <w:r>
        <w:rPr>
          <w:rFonts w:ascii="Arial" w:cs="Arial" w:eastAsia="Arial" w:hAnsi="Arial"/>
          <w:sz w:val="20"/>
          <w:szCs w:val="20"/>
          <w:color w:val="auto"/>
        </w:rPr>
        <w:t>The table below shows the information specified in Item 402(v) of Regulation S-K concerning the compensation of the CEO and the average compensation of the other Named Executive Officers of the Company compared to financial performance for each of fiscal years 2021, 2022,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123190</wp:posOffset>
            </wp:positionV>
            <wp:extent cx="6337300" cy="264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337300" cy="264160"/>
                    </a:xfrm>
                    <a:prstGeom prst="rect">
                      <a:avLst/>
                    </a:prstGeom>
                    <a:noFill/>
                  </pic:spPr>
                </pic:pic>
              </a:graphicData>
            </a:graphic>
          </wp:anchor>
        </w:drawing>
      </w:r>
    </w:p>
    <w:p>
      <w:pPr>
        <w:spacing w:after="0" w:line="252" w:lineRule="exact"/>
        <w:rPr>
          <w:sz w:val="20"/>
          <w:szCs w:val="20"/>
          <w:color w:val="auto"/>
        </w:rPr>
      </w:pPr>
    </w:p>
    <w:p>
      <w:pPr>
        <w:ind w:left="4120"/>
        <w:spacing w:after="0"/>
        <w:rPr>
          <w:sz w:val="20"/>
          <w:szCs w:val="20"/>
          <w:color w:val="auto"/>
        </w:rPr>
      </w:pPr>
      <w:r>
        <w:rPr>
          <w:rFonts w:ascii="Arial" w:cs="Arial" w:eastAsia="Arial" w:hAnsi="Arial"/>
          <w:sz w:val="21"/>
          <w:szCs w:val="21"/>
          <w:b w:val="1"/>
          <w:bCs w:val="1"/>
          <w:color w:val="FFFFFF"/>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61595</wp:posOffset>
            </wp:positionV>
            <wp:extent cx="6337300" cy="6769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337300" cy="676910"/>
                    </a:xfrm>
                    <a:prstGeom prst="rect">
                      <a:avLst/>
                    </a:prstGeom>
                    <a:noFill/>
                  </pic:spPr>
                </pic:pic>
              </a:graphicData>
            </a:graphic>
          </wp:anchor>
        </w:drawing>
      </w:r>
    </w:p>
    <w:p>
      <w:pPr>
        <w:sectPr>
          <w:pgSz w:w="11900" w:h="16838" w:orient="portrait"/>
          <w:cols w:equalWidth="0" w:num="1">
            <w:col w:w="10640"/>
          </w:cols>
          <w:pgMar w:left="320" w:top="470" w:right="939" w:bottom="1440" w:gutter="0" w:footer="0" w:header="0"/>
        </w:sectPr>
      </w:pPr>
    </w:p>
    <w:p>
      <w:pPr>
        <w:spacing w:after="0" w:line="97" w:lineRule="exact"/>
        <w:rPr>
          <w:sz w:val="20"/>
          <w:szCs w:val="20"/>
          <w:color w:val="auto"/>
        </w:rPr>
      </w:pPr>
    </w:p>
    <w:tbl>
      <w:tblPr>
        <w:tblLayout w:type="fixed"/>
        <w:tblInd w:w="640" w:type="dxa"/>
        <w:tblCellMar>
          <w:top w:w="0" w:type="dxa"/>
          <w:left w:w="0" w:type="dxa"/>
          <w:bottom w:w="0" w:type="dxa"/>
          <w:right w:w="0" w:type="dxa"/>
        </w:tblCellMar>
      </w:tblPr>
      <w:tr>
        <w:trPr>
          <w:trHeight w:val="380"/>
        </w:trPr>
        <w:tc>
          <w:tcPr>
            <w:tcW w:w="12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jc w:val="center"/>
              <w:ind w:left="11"/>
              <w:spacing w:after="0"/>
              <w:rPr>
                <w:sz w:val="20"/>
                <w:szCs w:val="20"/>
                <w:color w:val="auto"/>
              </w:rPr>
            </w:pPr>
            <w:r>
              <w:rPr>
                <w:rFonts w:ascii="Arial" w:cs="Arial" w:eastAsia="Arial" w:hAnsi="Arial"/>
                <w:sz w:val="14"/>
                <w:szCs w:val="14"/>
                <w:b w:val="1"/>
                <w:bCs w:val="1"/>
                <w:color w:val="auto"/>
              </w:rPr>
              <w:t>Summary</w:t>
            </w:r>
          </w:p>
        </w:tc>
        <w:tc>
          <w:tcPr>
            <w:tcW w:w="1120" w:type="dxa"/>
            <w:vAlign w:val="bottom"/>
            <w:tcBorders>
              <w:right w:val="single" w:sz="8" w:color="auto"/>
            </w:tcBorders>
          </w:tcPr>
          <w:p>
            <w:pPr>
              <w:spacing w:after="0"/>
              <w:rPr>
                <w:sz w:val="24"/>
                <w:szCs w:val="24"/>
                <w:color w:val="auto"/>
              </w:rPr>
            </w:pPr>
          </w:p>
        </w:tc>
        <w:tc>
          <w:tcPr>
            <w:tcW w:w="1300" w:type="dxa"/>
            <w:vAlign w:val="bottom"/>
          </w:tcPr>
          <w:p>
            <w:pPr>
              <w:jc w:val="center"/>
              <w:ind w:left="51"/>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3"/>
        </w:trPr>
        <w:tc>
          <w:tcPr>
            <w:tcW w:w="12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00" w:type="dxa"/>
            <w:vAlign w:val="bottom"/>
          </w:tcPr>
          <w:p>
            <w:pPr>
              <w:jc w:val="center"/>
              <w:ind w:left="31"/>
              <w:spacing w:after="0" w:line="143" w:lineRule="exact"/>
              <w:rPr>
                <w:sz w:val="20"/>
                <w:szCs w:val="20"/>
                <w:color w:val="auto"/>
              </w:rPr>
            </w:pPr>
            <w:r>
              <w:rPr>
                <w:rFonts w:ascii="Arial" w:cs="Arial" w:eastAsia="Arial" w:hAnsi="Arial"/>
                <w:sz w:val="14"/>
                <w:szCs w:val="14"/>
                <w:b w:val="1"/>
                <w:bCs w:val="1"/>
                <w:color w:val="auto"/>
              </w:rPr>
              <w:t>Summary</w:t>
            </w:r>
          </w:p>
        </w:tc>
        <w:tc>
          <w:tcPr>
            <w:tcW w:w="0" w:type="dxa"/>
            <w:vAlign w:val="bottom"/>
          </w:tcPr>
          <w:p>
            <w:pPr>
              <w:spacing w:after="0"/>
              <w:rPr>
                <w:sz w:val="1"/>
                <w:szCs w:val="1"/>
                <w:color w:val="auto"/>
              </w:rPr>
            </w:pPr>
          </w:p>
        </w:tc>
      </w:tr>
      <w:tr>
        <w:trPr>
          <w:trHeight w:val="156"/>
        </w:trPr>
        <w:tc>
          <w:tcPr>
            <w:tcW w:w="128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center"/>
              <w:ind w:left="11"/>
              <w:spacing w:after="0" w:line="156" w:lineRule="exact"/>
              <w:rPr>
                <w:sz w:val="20"/>
                <w:szCs w:val="20"/>
                <w:color w:val="auto"/>
              </w:rPr>
            </w:pPr>
            <w:r>
              <w:rPr>
                <w:rFonts w:ascii="Arial" w:cs="Arial" w:eastAsia="Arial" w:hAnsi="Arial"/>
                <w:sz w:val="14"/>
                <w:szCs w:val="14"/>
                <w:b w:val="1"/>
                <w:bCs w:val="1"/>
                <w:color w:val="auto"/>
                <w:w w:val="98"/>
              </w:rPr>
              <w:t>Compensation</w:t>
            </w:r>
          </w:p>
        </w:tc>
        <w:tc>
          <w:tcPr>
            <w:tcW w:w="1120" w:type="dxa"/>
            <w:vAlign w:val="bottom"/>
            <w:tcBorders>
              <w:right w:val="single" w:sz="8" w:color="auto"/>
            </w:tcBorders>
          </w:tcPr>
          <w:p>
            <w:pPr>
              <w:jc w:val="center"/>
              <w:ind w:left="11"/>
              <w:spacing w:after="0" w:line="156" w:lineRule="exact"/>
              <w:rPr>
                <w:sz w:val="20"/>
                <w:szCs w:val="20"/>
                <w:color w:val="auto"/>
              </w:rPr>
            </w:pPr>
            <w:r>
              <w:rPr>
                <w:rFonts w:ascii="Arial" w:cs="Arial" w:eastAsia="Arial" w:hAnsi="Arial"/>
                <w:sz w:val="14"/>
                <w:szCs w:val="14"/>
                <w:b w:val="1"/>
                <w:bCs w:val="1"/>
                <w:color w:val="auto"/>
                <w:w w:val="98"/>
              </w:rPr>
              <w:t>Compensation</w:t>
            </w:r>
          </w:p>
        </w:tc>
        <w:tc>
          <w:tcPr>
            <w:tcW w:w="1300" w:type="dxa"/>
            <w:vAlign w:val="bottom"/>
          </w:tcPr>
          <w:p>
            <w:pPr>
              <w:jc w:val="center"/>
              <w:ind w:left="31"/>
              <w:spacing w:after="0" w:line="156" w:lineRule="exact"/>
              <w:rPr>
                <w:sz w:val="20"/>
                <w:szCs w:val="20"/>
                <w:color w:val="auto"/>
              </w:rPr>
            </w:pPr>
            <w:r>
              <w:rPr>
                <w:rFonts w:ascii="Arial" w:cs="Arial" w:eastAsia="Arial" w:hAnsi="Arial"/>
                <w:sz w:val="14"/>
                <w:szCs w:val="14"/>
                <w:b w:val="1"/>
                <w:bCs w:val="1"/>
                <w:color w:val="auto"/>
                <w:w w:val="98"/>
              </w:rPr>
              <w:t>Compensation</w:t>
            </w:r>
          </w:p>
        </w:tc>
        <w:tc>
          <w:tcPr>
            <w:tcW w:w="0" w:type="dxa"/>
            <w:vAlign w:val="bottom"/>
          </w:tcPr>
          <w:p>
            <w:pPr>
              <w:spacing w:after="0"/>
              <w:rPr>
                <w:sz w:val="1"/>
                <w:szCs w:val="1"/>
                <w:color w:val="auto"/>
              </w:rPr>
            </w:pPr>
          </w:p>
        </w:tc>
      </w:tr>
      <w:tr>
        <w:trPr>
          <w:trHeight w:val="156"/>
        </w:trPr>
        <w:tc>
          <w:tcPr>
            <w:tcW w:w="128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center"/>
              <w:ind w:left="11"/>
              <w:spacing w:after="0" w:line="156" w:lineRule="exact"/>
              <w:rPr>
                <w:sz w:val="20"/>
                <w:szCs w:val="20"/>
                <w:color w:val="auto"/>
              </w:rPr>
            </w:pPr>
            <w:r>
              <w:rPr>
                <w:rFonts w:ascii="Arial" w:cs="Arial" w:eastAsia="Arial" w:hAnsi="Arial"/>
                <w:sz w:val="14"/>
                <w:szCs w:val="14"/>
                <w:b w:val="1"/>
                <w:bCs w:val="1"/>
                <w:color w:val="auto"/>
                <w:w w:val="97"/>
              </w:rPr>
              <w:t>Table Total</w:t>
            </w:r>
          </w:p>
        </w:tc>
        <w:tc>
          <w:tcPr>
            <w:tcW w:w="1120" w:type="dxa"/>
            <w:vAlign w:val="bottom"/>
            <w:tcBorders>
              <w:right w:val="single" w:sz="8" w:color="auto"/>
            </w:tcBorders>
          </w:tcPr>
          <w:p>
            <w:pPr>
              <w:jc w:val="center"/>
              <w:ind w:left="11"/>
              <w:spacing w:after="0" w:line="156" w:lineRule="exact"/>
              <w:rPr>
                <w:sz w:val="20"/>
                <w:szCs w:val="20"/>
                <w:color w:val="auto"/>
              </w:rPr>
            </w:pPr>
            <w:r>
              <w:rPr>
                <w:rFonts w:ascii="Arial" w:cs="Arial" w:eastAsia="Arial" w:hAnsi="Arial"/>
                <w:sz w:val="14"/>
                <w:szCs w:val="14"/>
                <w:b w:val="1"/>
                <w:bCs w:val="1"/>
                <w:color w:val="auto"/>
              </w:rPr>
              <w:t>Actually Paid</w:t>
            </w:r>
          </w:p>
        </w:tc>
        <w:tc>
          <w:tcPr>
            <w:tcW w:w="1300" w:type="dxa"/>
            <w:vAlign w:val="bottom"/>
          </w:tcPr>
          <w:p>
            <w:pPr>
              <w:jc w:val="center"/>
              <w:ind w:left="51"/>
              <w:spacing w:after="0" w:line="156" w:lineRule="exact"/>
              <w:rPr>
                <w:sz w:val="20"/>
                <w:szCs w:val="20"/>
                <w:color w:val="auto"/>
              </w:rPr>
            </w:pPr>
            <w:r>
              <w:rPr>
                <w:rFonts w:ascii="Arial" w:cs="Arial" w:eastAsia="Arial" w:hAnsi="Arial"/>
                <w:sz w:val="14"/>
                <w:szCs w:val="14"/>
                <w:b w:val="1"/>
                <w:bCs w:val="1"/>
                <w:color w:val="auto"/>
                <w:w w:val="97"/>
              </w:rPr>
              <w:t>Table Total for</w:t>
            </w:r>
          </w:p>
        </w:tc>
        <w:tc>
          <w:tcPr>
            <w:tcW w:w="0" w:type="dxa"/>
            <w:vAlign w:val="bottom"/>
          </w:tcPr>
          <w:p>
            <w:pPr>
              <w:spacing w:after="0"/>
              <w:rPr>
                <w:sz w:val="1"/>
                <w:szCs w:val="1"/>
                <w:color w:val="auto"/>
              </w:rPr>
            </w:pPr>
          </w:p>
        </w:tc>
      </w:tr>
      <w:tr>
        <w:trPr>
          <w:trHeight w:val="230"/>
        </w:trPr>
        <w:tc>
          <w:tcPr>
            <w:tcW w:w="12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 Year</w:t>
            </w:r>
          </w:p>
        </w:tc>
        <w:tc>
          <w:tcPr>
            <w:tcW w:w="1120" w:type="dxa"/>
            <w:vAlign w:val="bottom"/>
            <w:tcBorders>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3"/>
              </w:rPr>
              <w:t xml:space="preserve">for CEO </w:t>
            </w:r>
            <w:r>
              <w:rPr>
                <w:rFonts w:ascii="Arial" w:cs="Arial" w:eastAsia="Arial" w:hAnsi="Arial"/>
                <w:sz w:val="17"/>
                <w:szCs w:val="17"/>
                <w:b w:val="1"/>
                <w:bCs w:val="1"/>
                <w:i w:val="1"/>
                <w:iCs w:val="1"/>
                <w:color w:val="auto"/>
                <w:w w:val="93"/>
                <w:vertAlign w:val="superscript"/>
              </w:rPr>
              <w:t>(1)</w:t>
            </w:r>
          </w:p>
        </w:tc>
        <w:tc>
          <w:tcPr>
            <w:tcW w:w="1120" w:type="dxa"/>
            <w:vAlign w:val="bottom"/>
            <w:tcBorders>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1"/>
              </w:rPr>
              <w:t xml:space="preserve">to CEO </w:t>
            </w:r>
            <w:r>
              <w:rPr>
                <w:rFonts w:ascii="Arial" w:cs="Arial" w:eastAsia="Arial" w:hAnsi="Arial"/>
                <w:sz w:val="17"/>
                <w:szCs w:val="17"/>
                <w:b w:val="1"/>
                <w:bCs w:val="1"/>
                <w:i w:val="1"/>
                <w:iCs w:val="1"/>
                <w:color w:val="auto"/>
                <w:w w:val="91"/>
                <w:vertAlign w:val="superscript"/>
              </w:rPr>
              <w:t>(2)</w:t>
            </w:r>
          </w:p>
        </w:tc>
        <w:tc>
          <w:tcPr>
            <w:tcW w:w="1300" w:type="dxa"/>
            <w:vAlign w:val="bottom"/>
          </w:tcPr>
          <w:p>
            <w:pPr>
              <w:jc w:val="center"/>
              <w:ind w:left="51"/>
              <w:spacing w:after="0"/>
              <w:rPr>
                <w:sz w:val="20"/>
                <w:szCs w:val="20"/>
                <w:color w:val="auto"/>
              </w:rPr>
            </w:pPr>
            <w:r>
              <w:rPr>
                <w:rFonts w:ascii="Arial" w:cs="Arial" w:eastAsia="Arial" w:hAnsi="Arial"/>
                <w:sz w:val="14"/>
                <w:szCs w:val="14"/>
                <w:b w:val="1"/>
                <w:bCs w:val="1"/>
                <w:color w:val="auto"/>
                <w:w w:val="96"/>
              </w:rPr>
              <w:t xml:space="preserve">Non-CEO NEOs </w:t>
            </w:r>
            <w:r>
              <w:rPr>
                <w:rFonts w:ascii="Arial" w:cs="Arial" w:eastAsia="Arial" w:hAnsi="Arial"/>
                <w:sz w:val="17"/>
                <w:szCs w:val="17"/>
                <w:b w:val="1"/>
                <w:bCs w:val="1"/>
                <w:i w:val="1"/>
                <w:iCs w:val="1"/>
                <w:color w:val="auto"/>
                <w:w w:val="96"/>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0</wp:posOffset>
            </wp:positionV>
            <wp:extent cx="8255" cy="1073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107315"/>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0</wp:posOffset>
            </wp:positionV>
            <wp:extent cx="8255" cy="1073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10731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0</wp:posOffset>
            </wp:positionV>
            <wp:extent cx="8255" cy="1073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107315"/>
                    </a:xfrm>
                    <a:prstGeom prst="rect">
                      <a:avLst/>
                    </a:prstGeom>
                    <a:noFill/>
                  </pic:spPr>
                </pic:pic>
              </a:graphicData>
            </a:graphic>
          </wp:anchor>
        </w:drawing>
        <w:drawing>
          <wp:anchor simplePos="0" relativeHeight="251657728" behindDoc="1" locked="0" layoutInCell="0" allowOverlap="1">
            <wp:simplePos x="0" y="0"/>
            <wp:positionH relativeFrom="column">
              <wp:posOffset>1207135</wp:posOffset>
            </wp:positionH>
            <wp:positionV relativeFrom="paragraph">
              <wp:posOffset>0</wp:posOffset>
            </wp:positionV>
            <wp:extent cx="8255" cy="1073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107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gridSpan w:val="2"/>
          </w:tcPr>
          <w:p>
            <w:pPr>
              <w:jc w:val="center"/>
              <w:ind w:left="31"/>
              <w:spacing w:after="0"/>
              <w:rPr>
                <w:sz w:val="20"/>
                <w:szCs w:val="20"/>
                <w:color w:val="auto"/>
              </w:rPr>
            </w:pPr>
            <w:r>
              <w:rPr>
                <w:rFonts w:ascii="Arial" w:cs="Arial" w:eastAsia="Arial" w:hAnsi="Arial"/>
                <w:sz w:val="14"/>
                <w:szCs w:val="14"/>
                <w:b w:val="1"/>
                <w:bCs w:val="1"/>
                <w:color w:val="auto"/>
                <w:w w:val="97"/>
              </w:rPr>
              <w:t>Value of Initial Fixed $100</w:t>
            </w:r>
          </w:p>
        </w:tc>
        <w:tc>
          <w:tcPr>
            <w:tcW w:w="920" w:type="dxa"/>
            <w:vAlign w:val="bottom"/>
            <w:tcBorders>
              <w:right w:val="single" w:sz="8" w:color="auto"/>
            </w:tcBorders>
          </w:tcPr>
          <w:p>
            <w:pPr>
              <w:spacing w:after="0"/>
              <w:rPr>
                <w:sz w:val="14"/>
                <w:szCs w:val="14"/>
                <w:color w:val="auto"/>
              </w:rPr>
            </w:pPr>
          </w:p>
        </w:tc>
        <w:tc>
          <w:tcPr>
            <w:tcW w:w="1120" w:type="dxa"/>
            <w:vAlign w:val="bottom"/>
          </w:tcPr>
          <w:p>
            <w:pPr>
              <w:spacing w:after="0"/>
              <w:rPr>
                <w:sz w:val="14"/>
                <w:szCs w:val="14"/>
                <w:color w:val="auto"/>
              </w:rPr>
            </w:pPr>
          </w:p>
        </w:tc>
      </w:tr>
      <w:tr>
        <w:trPr>
          <w:trHeight w:val="217"/>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Average</w:t>
            </w:r>
          </w:p>
        </w:tc>
        <w:tc>
          <w:tcPr>
            <w:tcW w:w="1920" w:type="dxa"/>
            <w:vAlign w:val="bottom"/>
            <w:tcBorders>
              <w:bottom w:val="single" w:sz="8" w:color="auto"/>
              <w:right w:val="single" w:sz="8" w:color="auto"/>
            </w:tcBorders>
            <w:gridSpan w:val="2"/>
          </w:tcPr>
          <w:p>
            <w:pPr>
              <w:jc w:val="center"/>
              <w:ind w:left="31"/>
              <w:spacing w:after="0"/>
              <w:rPr>
                <w:sz w:val="20"/>
                <w:szCs w:val="20"/>
                <w:color w:val="auto"/>
              </w:rPr>
            </w:pPr>
            <w:r>
              <w:rPr>
                <w:rFonts w:ascii="Arial" w:cs="Arial" w:eastAsia="Arial" w:hAnsi="Arial"/>
                <w:sz w:val="14"/>
                <w:szCs w:val="14"/>
                <w:b w:val="1"/>
                <w:bCs w:val="1"/>
                <w:color w:val="auto"/>
                <w:w w:val="98"/>
              </w:rPr>
              <w:t>Investment Based On:</w:t>
            </w:r>
          </w:p>
        </w:tc>
        <w:tc>
          <w:tcPr>
            <w:tcW w:w="920" w:type="dxa"/>
            <w:vAlign w:val="bottom"/>
            <w:tcBorders>
              <w:right w:val="single" w:sz="8" w:color="auto"/>
            </w:tcBorders>
          </w:tcPr>
          <w:p>
            <w:pPr>
              <w:spacing w:after="0"/>
              <w:rPr>
                <w:sz w:val="18"/>
                <w:szCs w:val="18"/>
                <w:color w:val="auto"/>
              </w:rPr>
            </w:pPr>
          </w:p>
        </w:tc>
        <w:tc>
          <w:tcPr>
            <w:tcW w:w="1120" w:type="dxa"/>
            <w:vAlign w:val="bottom"/>
          </w:tcPr>
          <w:p>
            <w:pPr>
              <w:jc w:val="center"/>
              <w:ind w:left="111"/>
              <w:spacing w:after="0"/>
              <w:rPr>
                <w:sz w:val="20"/>
                <w:szCs w:val="20"/>
                <w:color w:val="auto"/>
              </w:rPr>
            </w:pPr>
            <w:r>
              <w:rPr>
                <w:rFonts w:ascii="Arial" w:cs="Arial" w:eastAsia="Arial" w:hAnsi="Arial"/>
                <w:sz w:val="14"/>
                <w:szCs w:val="14"/>
                <w:b w:val="1"/>
                <w:bCs w:val="1"/>
                <w:color w:val="auto"/>
                <w:w w:val="97"/>
              </w:rPr>
              <w:t>Company</w:t>
            </w:r>
          </w:p>
        </w:tc>
      </w:tr>
      <w:tr>
        <w:trPr>
          <w:trHeight w:val="127"/>
        </w:trPr>
        <w:tc>
          <w:tcPr>
            <w:tcW w:w="106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98"/>
              </w:rPr>
              <w:t>Compensation</w:t>
            </w:r>
          </w:p>
        </w:tc>
        <w:tc>
          <w:tcPr>
            <w:tcW w:w="960" w:type="dxa"/>
            <w:vAlign w:val="bottom"/>
            <w:tcBorders>
              <w:right w:val="single" w:sz="8" w:color="auto"/>
            </w:tcBorders>
          </w:tcPr>
          <w:p>
            <w:pPr>
              <w:jc w:val="center"/>
              <w:ind w:left="31"/>
              <w:spacing w:after="0" w:line="127" w:lineRule="exact"/>
              <w:rPr>
                <w:sz w:val="20"/>
                <w:szCs w:val="20"/>
                <w:color w:val="auto"/>
              </w:rPr>
            </w:pPr>
            <w:r>
              <w:rPr>
                <w:rFonts w:ascii="Arial" w:cs="Arial" w:eastAsia="Arial" w:hAnsi="Arial"/>
                <w:sz w:val="14"/>
                <w:szCs w:val="14"/>
                <w:b w:val="1"/>
                <w:bCs w:val="1"/>
                <w:color w:val="auto"/>
              </w:rPr>
              <w:t>Total</w:t>
            </w:r>
          </w:p>
        </w:tc>
        <w:tc>
          <w:tcPr>
            <w:tcW w:w="960" w:type="dxa"/>
            <w:vAlign w:val="bottom"/>
            <w:tcBorders>
              <w:right w:val="single" w:sz="8" w:color="auto"/>
            </w:tcBorders>
          </w:tcPr>
          <w:p>
            <w:pPr>
              <w:jc w:val="center"/>
              <w:ind w:left="31"/>
              <w:spacing w:after="0" w:line="127" w:lineRule="exact"/>
              <w:rPr>
                <w:sz w:val="20"/>
                <w:szCs w:val="20"/>
                <w:color w:val="auto"/>
              </w:rPr>
            </w:pPr>
            <w:r>
              <w:rPr>
                <w:rFonts w:ascii="Arial" w:cs="Arial" w:eastAsia="Arial" w:hAnsi="Arial"/>
                <w:sz w:val="14"/>
                <w:szCs w:val="14"/>
                <w:b w:val="1"/>
                <w:bCs w:val="1"/>
                <w:color w:val="auto"/>
                <w:w w:val="96"/>
              </w:rPr>
              <w:t>Peer Group</w:t>
            </w:r>
          </w:p>
        </w:tc>
        <w:tc>
          <w:tcPr>
            <w:tcW w:w="920" w:type="dxa"/>
            <w:vAlign w:val="bottom"/>
            <w:tcBorders>
              <w:right w:val="single" w:sz="8" w:color="auto"/>
            </w:tcBorders>
          </w:tcPr>
          <w:p>
            <w:pPr>
              <w:spacing w:after="0"/>
              <w:rPr>
                <w:sz w:val="11"/>
                <w:szCs w:val="11"/>
                <w:color w:val="auto"/>
              </w:rPr>
            </w:pPr>
          </w:p>
        </w:tc>
        <w:tc>
          <w:tcPr>
            <w:tcW w:w="1120" w:type="dxa"/>
            <w:vAlign w:val="bottom"/>
          </w:tcPr>
          <w:p>
            <w:pPr>
              <w:jc w:val="center"/>
              <w:ind w:left="111"/>
              <w:spacing w:after="0" w:line="127" w:lineRule="exact"/>
              <w:rPr>
                <w:sz w:val="20"/>
                <w:szCs w:val="20"/>
                <w:color w:val="auto"/>
              </w:rPr>
            </w:pPr>
            <w:r>
              <w:rPr>
                <w:rFonts w:ascii="Arial" w:cs="Arial" w:eastAsia="Arial" w:hAnsi="Arial"/>
                <w:sz w:val="14"/>
                <w:szCs w:val="14"/>
                <w:b w:val="1"/>
                <w:bCs w:val="1"/>
                <w:color w:val="auto"/>
              </w:rPr>
              <w:t>Selected</w:t>
            </w:r>
          </w:p>
        </w:tc>
      </w:tr>
      <w:tr>
        <w:trPr>
          <w:trHeight w:val="156"/>
        </w:trPr>
        <w:tc>
          <w:tcPr>
            <w:tcW w:w="10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Actually Paid to</w:t>
            </w:r>
          </w:p>
        </w:tc>
        <w:tc>
          <w:tcPr>
            <w:tcW w:w="960" w:type="dxa"/>
            <w:vAlign w:val="bottom"/>
            <w:tcBorders>
              <w:right w:val="single" w:sz="8" w:color="auto"/>
            </w:tcBorders>
          </w:tcPr>
          <w:p>
            <w:pPr>
              <w:jc w:val="center"/>
              <w:ind w:left="31"/>
              <w:spacing w:after="0" w:line="156" w:lineRule="exact"/>
              <w:rPr>
                <w:sz w:val="20"/>
                <w:szCs w:val="20"/>
                <w:color w:val="auto"/>
              </w:rPr>
            </w:pPr>
            <w:r>
              <w:rPr>
                <w:rFonts w:ascii="Arial" w:cs="Arial" w:eastAsia="Arial" w:hAnsi="Arial"/>
                <w:sz w:val="14"/>
                <w:szCs w:val="14"/>
                <w:b w:val="1"/>
                <w:bCs w:val="1"/>
                <w:color w:val="auto"/>
              </w:rPr>
              <w:t>Shareholder</w:t>
            </w:r>
          </w:p>
        </w:tc>
        <w:tc>
          <w:tcPr>
            <w:tcW w:w="960" w:type="dxa"/>
            <w:vAlign w:val="bottom"/>
            <w:tcBorders>
              <w:right w:val="single" w:sz="8" w:color="auto"/>
            </w:tcBorders>
          </w:tcPr>
          <w:p>
            <w:pPr>
              <w:jc w:val="center"/>
              <w:ind w:left="51"/>
              <w:spacing w:after="0" w:line="156" w:lineRule="exact"/>
              <w:rPr>
                <w:sz w:val="20"/>
                <w:szCs w:val="20"/>
                <w:color w:val="auto"/>
              </w:rPr>
            </w:pPr>
            <w:r>
              <w:rPr>
                <w:rFonts w:ascii="Arial" w:cs="Arial" w:eastAsia="Arial" w:hAnsi="Arial"/>
                <w:sz w:val="14"/>
                <w:szCs w:val="14"/>
                <w:b w:val="1"/>
                <w:bCs w:val="1"/>
                <w:color w:val="auto"/>
                <w:w w:val="95"/>
              </w:rPr>
              <w:t>Total</w:t>
            </w:r>
          </w:p>
        </w:tc>
        <w:tc>
          <w:tcPr>
            <w:tcW w:w="920" w:type="dxa"/>
            <w:vAlign w:val="bottom"/>
            <w:tcBorders>
              <w:right w:val="single" w:sz="8" w:color="auto"/>
            </w:tcBorders>
          </w:tcPr>
          <w:p>
            <w:pPr>
              <w:spacing w:after="0"/>
              <w:rPr>
                <w:sz w:val="13"/>
                <w:szCs w:val="13"/>
                <w:color w:val="auto"/>
              </w:rPr>
            </w:pPr>
          </w:p>
        </w:tc>
        <w:tc>
          <w:tcPr>
            <w:tcW w:w="1120" w:type="dxa"/>
            <w:vAlign w:val="bottom"/>
          </w:tcPr>
          <w:p>
            <w:pPr>
              <w:jc w:val="center"/>
              <w:ind w:left="111"/>
              <w:spacing w:after="0" w:line="156" w:lineRule="exact"/>
              <w:rPr>
                <w:sz w:val="20"/>
                <w:szCs w:val="20"/>
                <w:color w:val="auto"/>
              </w:rPr>
            </w:pPr>
            <w:r>
              <w:rPr>
                <w:rFonts w:ascii="Arial" w:cs="Arial" w:eastAsia="Arial" w:hAnsi="Arial"/>
                <w:sz w:val="14"/>
                <w:szCs w:val="14"/>
                <w:b w:val="1"/>
                <w:bCs w:val="1"/>
                <w:color w:val="auto"/>
              </w:rPr>
              <w:t>Measure:</w:t>
            </w:r>
          </w:p>
        </w:tc>
      </w:tr>
      <w:tr>
        <w:trPr>
          <w:trHeight w:val="156"/>
        </w:trPr>
        <w:tc>
          <w:tcPr>
            <w:tcW w:w="10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9"/>
              </w:rPr>
              <w:t>Non-CEO NEOs</w:t>
            </w:r>
          </w:p>
        </w:tc>
        <w:tc>
          <w:tcPr>
            <w:tcW w:w="960" w:type="dxa"/>
            <w:vAlign w:val="bottom"/>
            <w:tcBorders>
              <w:right w:val="single" w:sz="8" w:color="auto"/>
            </w:tcBorders>
          </w:tcPr>
          <w:p>
            <w:pPr>
              <w:jc w:val="center"/>
              <w:ind w:left="31"/>
              <w:spacing w:after="0" w:line="156" w:lineRule="exact"/>
              <w:rPr>
                <w:sz w:val="20"/>
                <w:szCs w:val="20"/>
                <w:color w:val="auto"/>
              </w:rPr>
            </w:pPr>
            <w:r>
              <w:rPr>
                <w:rFonts w:ascii="Arial" w:cs="Arial" w:eastAsia="Arial" w:hAnsi="Arial"/>
                <w:sz w:val="14"/>
                <w:szCs w:val="14"/>
                <w:b w:val="1"/>
                <w:bCs w:val="1"/>
                <w:color w:val="auto"/>
              </w:rPr>
              <w:t>Return</w:t>
            </w:r>
          </w:p>
        </w:tc>
        <w:tc>
          <w:tcPr>
            <w:tcW w:w="960" w:type="dxa"/>
            <w:vAlign w:val="bottom"/>
            <w:tcBorders>
              <w:right w:val="single" w:sz="8" w:color="auto"/>
            </w:tcBorders>
          </w:tcPr>
          <w:p>
            <w:pPr>
              <w:jc w:val="center"/>
              <w:ind w:left="31"/>
              <w:spacing w:after="0" w:line="156" w:lineRule="exact"/>
              <w:rPr>
                <w:sz w:val="20"/>
                <w:szCs w:val="20"/>
                <w:color w:val="auto"/>
              </w:rPr>
            </w:pPr>
            <w:r>
              <w:rPr>
                <w:rFonts w:ascii="Arial" w:cs="Arial" w:eastAsia="Arial" w:hAnsi="Arial"/>
                <w:sz w:val="14"/>
                <w:szCs w:val="14"/>
                <w:b w:val="1"/>
                <w:bCs w:val="1"/>
                <w:color w:val="auto"/>
              </w:rPr>
              <w:t>Shareholder</w:t>
            </w:r>
          </w:p>
        </w:tc>
        <w:tc>
          <w:tcPr>
            <w:tcW w:w="920" w:type="dxa"/>
            <w:vAlign w:val="bottom"/>
            <w:tcBorders>
              <w:right w:val="single" w:sz="8" w:color="auto"/>
            </w:tcBorders>
          </w:tcPr>
          <w:p>
            <w:pPr>
              <w:ind w:left="140"/>
              <w:spacing w:after="0" w:line="156" w:lineRule="exact"/>
              <w:rPr>
                <w:sz w:val="20"/>
                <w:szCs w:val="20"/>
                <w:color w:val="auto"/>
              </w:rPr>
            </w:pPr>
            <w:r>
              <w:rPr>
                <w:rFonts w:ascii="Arial" w:cs="Arial" w:eastAsia="Arial" w:hAnsi="Arial"/>
                <w:sz w:val="14"/>
                <w:szCs w:val="14"/>
                <w:b w:val="1"/>
                <w:bCs w:val="1"/>
                <w:color w:val="auto"/>
                <w:w w:val="98"/>
              </w:rPr>
              <w:t>Net Income</w:t>
            </w:r>
          </w:p>
        </w:tc>
        <w:tc>
          <w:tcPr>
            <w:tcW w:w="1120" w:type="dxa"/>
            <w:vAlign w:val="bottom"/>
          </w:tcPr>
          <w:p>
            <w:pPr>
              <w:jc w:val="center"/>
              <w:ind w:left="111"/>
              <w:spacing w:after="0" w:line="156" w:lineRule="exact"/>
              <w:rPr>
                <w:sz w:val="20"/>
                <w:szCs w:val="20"/>
                <w:color w:val="auto"/>
              </w:rPr>
            </w:pPr>
            <w:r>
              <w:rPr>
                <w:rFonts w:ascii="Arial" w:cs="Arial" w:eastAsia="Arial" w:hAnsi="Arial"/>
                <w:sz w:val="14"/>
                <w:szCs w:val="14"/>
                <w:b w:val="1"/>
                <w:bCs w:val="1"/>
                <w:color w:val="auto"/>
                <w:w w:val="99"/>
              </w:rPr>
              <w:t>Earnings Per</w:t>
            </w:r>
          </w:p>
        </w:tc>
      </w:tr>
      <w:tr>
        <w:trPr>
          <w:trHeight w:val="230"/>
        </w:trPr>
        <w:tc>
          <w:tcPr>
            <w:tcW w:w="106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8"/>
                <w:szCs w:val="8"/>
                <w:b w:val="1"/>
                <w:bCs w:val="1"/>
                <w:i w:val="1"/>
                <w:iCs w:val="1"/>
                <w:color w:val="auto"/>
                <w:w w:val="98"/>
              </w:rPr>
              <w:t>(2)(3)</w:t>
            </w:r>
            <w:r>
              <w:rPr>
                <w:rFonts w:ascii="Arial" w:cs="Arial" w:eastAsia="Arial" w:hAnsi="Arial"/>
                <w:sz w:val="26"/>
                <w:szCs w:val="26"/>
                <w:b w:val="1"/>
                <w:bCs w:val="1"/>
                <w:color w:val="auto"/>
                <w:w w:val="98"/>
                <w:vertAlign w:val="subscript"/>
              </w:rPr>
              <w:t xml:space="preserve"> </w:t>
            </w:r>
          </w:p>
        </w:tc>
        <w:tc>
          <w:tcPr>
            <w:tcW w:w="960" w:type="dxa"/>
            <w:vAlign w:val="bottom"/>
            <w:tcBorders>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5"/>
              </w:rPr>
              <w:t xml:space="preserve">(“TSR”) </w:t>
            </w:r>
            <w:r>
              <w:rPr>
                <w:rFonts w:ascii="Arial" w:cs="Arial" w:eastAsia="Arial" w:hAnsi="Arial"/>
                <w:sz w:val="17"/>
                <w:szCs w:val="17"/>
                <w:b w:val="1"/>
                <w:bCs w:val="1"/>
                <w:i w:val="1"/>
                <w:iCs w:val="1"/>
                <w:color w:val="auto"/>
                <w:w w:val="95"/>
                <w:vertAlign w:val="superscript"/>
              </w:rPr>
              <w:t>(4)</w:t>
            </w:r>
          </w:p>
        </w:tc>
        <w:tc>
          <w:tcPr>
            <w:tcW w:w="960" w:type="dxa"/>
            <w:vAlign w:val="bottom"/>
            <w:tcBorders>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2"/>
              </w:rPr>
              <w:t xml:space="preserve">Return </w:t>
            </w:r>
            <w:r>
              <w:rPr>
                <w:rFonts w:ascii="Arial" w:cs="Arial" w:eastAsia="Arial" w:hAnsi="Arial"/>
                <w:sz w:val="17"/>
                <w:szCs w:val="17"/>
                <w:b w:val="1"/>
                <w:bCs w:val="1"/>
                <w:i w:val="1"/>
                <w:iCs w:val="1"/>
                <w:color w:val="auto"/>
                <w:w w:val="92"/>
                <w:vertAlign w:val="superscript"/>
              </w:rPr>
              <w:t>(4)</w:t>
            </w:r>
          </w:p>
        </w:tc>
        <w:tc>
          <w:tcPr>
            <w:tcW w:w="920" w:type="dxa"/>
            <w:vAlign w:val="bottom"/>
            <w:tcBorders>
              <w:right w:val="single" w:sz="8" w:color="auto"/>
            </w:tcBorders>
          </w:tcPr>
          <w:p>
            <w:pPr>
              <w:ind w:left="120"/>
              <w:spacing w:after="0"/>
              <w:rPr>
                <w:sz w:val="20"/>
                <w:szCs w:val="20"/>
                <w:color w:val="auto"/>
              </w:rPr>
            </w:pPr>
            <w:r>
              <w:rPr>
                <w:rFonts w:ascii="Arial" w:cs="Arial" w:eastAsia="Arial" w:hAnsi="Arial"/>
                <w:sz w:val="14"/>
                <w:szCs w:val="14"/>
                <w:b w:val="1"/>
                <w:bCs w:val="1"/>
                <w:color w:val="auto"/>
                <w:w w:val="96"/>
              </w:rPr>
              <w:t>(in millions)</w:t>
            </w:r>
          </w:p>
        </w:tc>
        <w:tc>
          <w:tcPr>
            <w:tcW w:w="1120" w:type="dxa"/>
            <w:vAlign w:val="bottom"/>
          </w:tcPr>
          <w:p>
            <w:pPr>
              <w:jc w:val="center"/>
              <w:ind w:left="111"/>
              <w:spacing w:after="0"/>
              <w:rPr>
                <w:sz w:val="20"/>
                <w:szCs w:val="20"/>
                <w:color w:val="auto"/>
              </w:rPr>
            </w:pPr>
            <w:r>
              <w:rPr>
                <w:rFonts w:ascii="Arial" w:cs="Arial" w:eastAsia="Arial" w:hAnsi="Arial"/>
                <w:sz w:val="14"/>
                <w:szCs w:val="14"/>
                <w:b w:val="1"/>
                <w:bCs w:val="1"/>
                <w:color w:val="auto"/>
                <w:w w:val="99"/>
              </w:rPr>
              <w:t>Share (“EPS”)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0</wp:posOffset>
            </wp:positionV>
            <wp:extent cx="8255" cy="1073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10731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0</wp:posOffset>
            </wp:positionV>
            <wp:extent cx="8255" cy="1073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107315"/>
                    </a:xfrm>
                    <a:prstGeom prst="rect">
                      <a:avLst/>
                    </a:prstGeom>
                    <a:noFill/>
                  </pic:spPr>
                </pic:pic>
              </a:graphicData>
            </a:graphic>
          </wp:anchor>
        </w:drawing>
        <w:drawing>
          <wp:anchor simplePos="0" relativeHeight="251657728" behindDoc="1" locked="0" layoutInCell="0" allowOverlap="1">
            <wp:simplePos x="0" y="0"/>
            <wp:positionH relativeFrom="column">
              <wp:posOffset>1884045</wp:posOffset>
            </wp:positionH>
            <wp:positionV relativeFrom="paragraph">
              <wp:posOffset>0</wp:posOffset>
            </wp:positionV>
            <wp:extent cx="8255" cy="1073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10731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0</wp:posOffset>
            </wp:positionV>
            <wp:extent cx="8255" cy="1073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107315"/>
                    </a:xfrm>
                    <a:prstGeom prst="rect">
                      <a:avLst/>
                    </a:prstGeom>
                    <a:noFill/>
                  </pic:spPr>
                </pic:pic>
              </a:graphicData>
            </a:graphic>
          </wp:anchor>
        </w:drawing>
        <w:drawing>
          <wp:anchor simplePos="0" relativeHeight="251657728" behindDoc="1" locked="0" layoutInCell="0" allowOverlap="1">
            <wp:simplePos x="0" y="0"/>
            <wp:positionH relativeFrom="column">
              <wp:posOffset>662940</wp:posOffset>
            </wp:positionH>
            <wp:positionV relativeFrom="paragraph">
              <wp:posOffset>0</wp:posOffset>
            </wp:positionV>
            <wp:extent cx="8255" cy="1073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107315"/>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5460" w:space="140"/>
            <w:col w:w="5040"/>
          </w:cols>
          <w:pgMar w:left="320" w:top="470" w:right="939" w:bottom="1440" w:gutter="0" w:footer="0" w:header="0"/>
          <w:type w:val="continuous"/>
        </w:sectPr>
      </w:pPr>
    </w:p>
    <w:tbl>
      <w:tblPr>
        <w:tblLayout w:type="fixed"/>
        <w:tblInd w:w="640" w:type="dxa"/>
        <w:tblCellMar>
          <w:top w:w="0" w:type="dxa"/>
          <w:left w:w="0" w:type="dxa"/>
          <w:bottom w:w="0" w:type="dxa"/>
          <w:right w:w="0" w:type="dxa"/>
        </w:tblCellMar>
      </w:tblPr>
      <w:tr>
        <w:trPr>
          <w:trHeight w:val="149"/>
        </w:trPr>
        <w:tc>
          <w:tcPr>
            <w:tcW w:w="760" w:type="dxa"/>
            <w:vAlign w:val="bottom"/>
            <w:tcBorders>
              <w:bottom w:val="single" w:sz="8" w:color="auto"/>
            </w:tcBorders>
            <w:shd w:val="clear" w:color="auto" w:fill="314A72"/>
          </w:tcPr>
          <w:p>
            <w:pPr>
              <w:jc w:val="right"/>
              <w:spacing w:after="0"/>
              <w:rPr>
                <w:sz w:val="20"/>
                <w:szCs w:val="20"/>
                <w:color w:val="auto"/>
              </w:rPr>
            </w:pPr>
            <w:r>
              <w:rPr>
                <w:rFonts w:ascii="Arial" w:cs="Arial" w:eastAsia="Arial" w:hAnsi="Arial"/>
                <w:sz w:val="13"/>
                <w:szCs w:val="13"/>
                <w:b w:val="1"/>
                <w:bCs w:val="1"/>
                <w:color w:val="FFFFFF"/>
              </w:rPr>
              <w:t>(a)</w:t>
            </w:r>
          </w:p>
        </w:tc>
        <w:tc>
          <w:tcPr>
            <w:tcW w:w="520" w:type="dxa"/>
            <w:vAlign w:val="bottom"/>
            <w:tcBorders>
              <w:bottom w:val="single" w:sz="8" w:color="auto"/>
              <w:right w:val="single" w:sz="8" w:color="314A72"/>
            </w:tcBorders>
            <w:shd w:val="clear" w:color="auto" w:fill="314A72"/>
          </w:tcPr>
          <w:p>
            <w:pPr>
              <w:spacing w:after="0"/>
              <w:rPr>
                <w:sz w:val="13"/>
                <w:szCs w:val="13"/>
                <w:color w:val="auto"/>
              </w:rPr>
            </w:pPr>
          </w:p>
        </w:tc>
        <w:tc>
          <w:tcPr>
            <w:tcW w:w="1120" w:type="dxa"/>
            <w:vAlign w:val="bottom"/>
            <w:tcBorders>
              <w:bottom w:val="single" w:sz="8" w:color="auto"/>
              <w:right w:val="single" w:sz="8" w:color="314A72"/>
            </w:tcBorders>
            <w:shd w:val="clear" w:color="auto" w:fill="314A72"/>
          </w:tcPr>
          <w:p>
            <w:pPr>
              <w:jc w:val="center"/>
              <w:spacing w:after="0"/>
              <w:rPr>
                <w:sz w:val="20"/>
                <w:szCs w:val="20"/>
                <w:color w:val="auto"/>
              </w:rPr>
            </w:pPr>
            <w:r>
              <w:rPr>
                <w:rFonts w:ascii="Arial" w:cs="Arial" w:eastAsia="Arial" w:hAnsi="Arial"/>
                <w:sz w:val="13"/>
                <w:szCs w:val="13"/>
                <w:b w:val="1"/>
                <w:bCs w:val="1"/>
                <w:color w:val="FFFFFF"/>
                <w:w w:val="96"/>
              </w:rPr>
              <w:t>(b)</w:t>
            </w:r>
          </w:p>
        </w:tc>
        <w:tc>
          <w:tcPr>
            <w:tcW w:w="1120" w:type="dxa"/>
            <w:vAlign w:val="bottom"/>
            <w:tcBorders>
              <w:bottom w:val="single" w:sz="8" w:color="auto"/>
              <w:right w:val="single" w:sz="8" w:color="314A72"/>
            </w:tcBorders>
            <w:shd w:val="clear" w:color="auto" w:fill="314A72"/>
          </w:tcPr>
          <w:p>
            <w:pPr>
              <w:jc w:val="center"/>
              <w:spacing w:after="0"/>
              <w:rPr>
                <w:sz w:val="20"/>
                <w:szCs w:val="20"/>
                <w:color w:val="auto"/>
              </w:rPr>
            </w:pPr>
            <w:r>
              <w:rPr>
                <w:rFonts w:ascii="Arial" w:cs="Arial" w:eastAsia="Arial" w:hAnsi="Arial"/>
                <w:sz w:val="13"/>
                <w:szCs w:val="13"/>
                <w:b w:val="1"/>
                <w:bCs w:val="1"/>
                <w:color w:val="FFFFFF"/>
              </w:rPr>
              <w:t>(c)</w:t>
            </w:r>
          </w:p>
        </w:tc>
        <w:tc>
          <w:tcPr>
            <w:tcW w:w="1320" w:type="dxa"/>
            <w:vAlign w:val="bottom"/>
            <w:tcBorders>
              <w:bottom w:val="single" w:sz="8" w:color="auto"/>
              <w:right w:val="single" w:sz="8" w:color="314A72"/>
            </w:tcBorders>
            <w:shd w:val="clear" w:color="auto" w:fill="314A72"/>
          </w:tcPr>
          <w:p>
            <w:pPr>
              <w:ind w:left="620"/>
              <w:spacing w:after="0"/>
              <w:rPr>
                <w:sz w:val="20"/>
                <w:szCs w:val="20"/>
                <w:color w:val="auto"/>
              </w:rPr>
            </w:pPr>
            <w:r>
              <w:rPr>
                <w:rFonts w:ascii="Arial" w:cs="Arial" w:eastAsia="Arial" w:hAnsi="Arial"/>
                <w:sz w:val="13"/>
                <w:szCs w:val="13"/>
                <w:b w:val="1"/>
                <w:bCs w:val="1"/>
                <w:color w:val="FFFFFF"/>
              </w:rPr>
              <w:t>(d)</w:t>
            </w:r>
          </w:p>
        </w:tc>
        <w:tc>
          <w:tcPr>
            <w:tcW w:w="1180" w:type="dxa"/>
            <w:vAlign w:val="bottom"/>
            <w:tcBorders>
              <w:bottom w:val="single" w:sz="8" w:color="auto"/>
              <w:right w:val="single" w:sz="8" w:color="314A72"/>
            </w:tcBorders>
            <w:shd w:val="clear" w:color="auto" w:fill="314A72"/>
          </w:tcPr>
          <w:p>
            <w:pPr>
              <w:jc w:val="right"/>
              <w:ind w:right="377"/>
              <w:spacing w:after="0"/>
              <w:rPr>
                <w:sz w:val="20"/>
                <w:szCs w:val="20"/>
                <w:color w:val="auto"/>
              </w:rPr>
            </w:pPr>
            <w:r>
              <w:rPr>
                <w:rFonts w:ascii="Arial" w:cs="Arial" w:eastAsia="Arial" w:hAnsi="Arial"/>
                <w:sz w:val="13"/>
                <w:szCs w:val="13"/>
                <w:b w:val="1"/>
                <w:bCs w:val="1"/>
                <w:color w:val="FFFFFF"/>
              </w:rPr>
              <w:t>(e)</w:t>
            </w:r>
          </w:p>
        </w:tc>
        <w:tc>
          <w:tcPr>
            <w:tcW w:w="960" w:type="dxa"/>
            <w:vAlign w:val="bottom"/>
            <w:tcBorders>
              <w:bottom w:val="single" w:sz="8" w:color="auto"/>
              <w:right w:val="single" w:sz="8" w:color="314A72"/>
            </w:tcBorders>
            <w:shd w:val="clear" w:color="auto" w:fill="314A72"/>
          </w:tcPr>
          <w:p>
            <w:pPr>
              <w:jc w:val="right"/>
              <w:ind w:right="277"/>
              <w:spacing w:after="0"/>
              <w:rPr>
                <w:sz w:val="20"/>
                <w:szCs w:val="20"/>
                <w:color w:val="auto"/>
              </w:rPr>
            </w:pPr>
            <w:r>
              <w:rPr>
                <w:rFonts w:ascii="Arial" w:cs="Arial" w:eastAsia="Arial" w:hAnsi="Arial"/>
                <w:sz w:val="13"/>
                <w:szCs w:val="13"/>
                <w:b w:val="1"/>
                <w:bCs w:val="1"/>
                <w:color w:val="FFFFFF"/>
              </w:rPr>
              <w:t>(f)</w:t>
            </w:r>
          </w:p>
        </w:tc>
        <w:tc>
          <w:tcPr>
            <w:tcW w:w="960" w:type="dxa"/>
            <w:vAlign w:val="bottom"/>
            <w:tcBorders>
              <w:bottom w:val="single" w:sz="8" w:color="auto"/>
              <w:right w:val="single" w:sz="8" w:color="314A72"/>
            </w:tcBorders>
            <w:shd w:val="clear" w:color="auto" w:fill="314A72"/>
          </w:tcPr>
          <w:p>
            <w:pPr>
              <w:ind w:left="440"/>
              <w:spacing w:after="0"/>
              <w:rPr>
                <w:sz w:val="20"/>
                <w:szCs w:val="20"/>
                <w:color w:val="auto"/>
              </w:rPr>
            </w:pPr>
            <w:r>
              <w:rPr>
                <w:rFonts w:ascii="Arial" w:cs="Arial" w:eastAsia="Arial" w:hAnsi="Arial"/>
                <w:sz w:val="13"/>
                <w:szCs w:val="13"/>
                <w:b w:val="1"/>
                <w:bCs w:val="1"/>
                <w:color w:val="FFFFFF"/>
              </w:rPr>
              <w:t>(g)</w:t>
            </w:r>
          </w:p>
        </w:tc>
        <w:tc>
          <w:tcPr>
            <w:tcW w:w="920" w:type="dxa"/>
            <w:vAlign w:val="bottom"/>
            <w:tcBorders>
              <w:bottom w:val="single" w:sz="8" w:color="auto"/>
              <w:right w:val="single" w:sz="8" w:color="314A72"/>
            </w:tcBorders>
            <w:shd w:val="clear" w:color="auto" w:fill="314A72"/>
          </w:tcPr>
          <w:p>
            <w:pPr>
              <w:ind w:left="440"/>
              <w:spacing w:after="0"/>
              <w:rPr>
                <w:sz w:val="20"/>
                <w:szCs w:val="20"/>
                <w:color w:val="auto"/>
              </w:rPr>
            </w:pPr>
            <w:r>
              <w:rPr>
                <w:rFonts w:ascii="Arial" w:cs="Arial" w:eastAsia="Arial" w:hAnsi="Arial"/>
                <w:sz w:val="13"/>
                <w:szCs w:val="13"/>
                <w:b w:val="1"/>
                <w:bCs w:val="1"/>
                <w:color w:val="FFFFFF"/>
              </w:rPr>
              <w:t>(h)</w:t>
            </w:r>
          </w:p>
        </w:tc>
        <w:tc>
          <w:tcPr>
            <w:tcW w:w="1120" w:type="dxa"/>
            <w:vAlign w:val="bottom"/>
            <w:tcBorders>
              <w:bottom w:val="single" w:sz="8" w:color="auto"/>
            </w:tcBorders>
            <w:shd w:val="clear" w:color="auto" w:fill="314A72"/>
          </w:tcPr>
          <w:p>
            <w:pPr>
              <w:ind w:left="580"/>
              <w:spacing w:after="0"/>
              <w:rPr>
                <w:sz w:val="20"/>
                <w:szCs w:val="20"/>
                <w:color w:val="auto"/>
              </w:rPr>
            </w:pPr>
            <w:r>
              <w:rPr>
                <w:rFonts w:ascii="Arial" w:cs="Arial" w:eastAsia="Arial" w:hAnsi="Arial"/>
                <w:sz w:val="13"/>
                <w:szCs w:val="13"/>
                <w:b w:val="1"/>
                <w:bCs w:val="1"/>
                <w:color w:val="FFFFFF"/>
              </w:rPr>
              <w:t>(i)</w:t>
            </w:r>
          </w:p>
        </w:tc>
        <w:tc>
          <w:tcPr>
            <w:tcW w:w="20" w:type="dxa"/>
            <w:vAlign w:val="bottom"/>
            <w:tcBorders>
              <w:bottom w:val="single" w:sz="8" w:color="auto"/>
            </w:tcBorders>
          </w:tcPr>
          <w:p>
            <w:pPr>
              <w:spacing w:after="0"/>
              <w:rPr>
                <w:sz w:val="13"/>
                <w:szCs w:val="13"/>
                <w:color w:val="auto"/>
              </w:rPr>
            </w:pPr>
          </w:p>
        </w:tc>
      </w:tr>
      <w:tr>
        <w:trPr>
          <w:trHeight w:val="296"/>
        </w:trPr>
        <w:tc>
          <w:tcPr>
            <w:tcW w:w="760" w:type="dxa"/>
            <w:vAlign w:val="bottom"/>
          </w:tcPr>
          <w:p>
            <w:pPr>
              <w:jc w:val="right"/>
              <w:ind w:right="236"/>
              <w:spacing w:after="0"/>
              <w:rPr>
                <w:sz w:val="20"/>
                <w:szCs w:val="20"/>
                <w:color w:val="auto"/>
              </w:rPr>
            </w:pPr>
            <w:r>
              <w:rPr>
                <w:rFonts w:ascii="Arial" w:cs="Arial" w:eastAsia="Arial" w:hAnsi="Arial"/>
                <w:sz w:val="17"/>
                <w:szCs w:val="17"/>
                <w:color w:val="auto"/>
              </w:rPr>
              <w:t>2025</w:t>
            </w:r>
          </w:p>
        </w:tc>
        <w:tc>
          <w:tcPr>
            <w:tcW w:w="52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jc w:val="center"/>
              <w:ind w:left="17"/>
              <w:spacing w:after="0"/>
              <w:rPr>
                <w:sz w:val="20"/>
                <w:szCs w:val="20"/>
                <w:color w:val="auto"/>
              </w:rPr>
            </w:pPr>
            <w:r>
              <w:rPr>
                <w:rFonts w:ascii="Arial" w:cs="Arial" w:eastAsia="Arial" w:hAnsi="Arial"/>
                <w:sz w:val="17"/>
                <w:szCs w:val="17"/>
                <w:color w:val="auto"/>
              </w:rPr>
              <w:t>$3,189,116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$2,295,997</w:t>
            </w:r>
          </w:p>
        </w:tc>
        <w:tc>
          <w:tcPr>
            <w:tcW w:w="1320" w:type="dxa"/>
            <w:vAlign w:val="bottom"/>
            <w:tcBorders>
              <w:right w:val="single" w:sz="8" w:color="auto"/>
            </w:tcBorders>
          </w:tcPr>
          <w:p>
            <w:pPr>
              <w:jc w:val="center"/>
              <w:ind w:left="217"/>
              <w:spacing w:after="0"/>
              <w:rPr>
                <w:sz w:val="20"/>
                <w:szCs w:val="20"/>
                <w:color w:val="auto"/>
              </w:rPr>
            </w:pPr>
            <w:r>
              <w:rPr>
                <w:rFonts w:ascii="Arial" w:cs="Arial" w:eastAsia="Arial" w:hAnsi="Arial"/>
                <w:sz w:val="17"/>
                <w:szCs w:val="17"/>
                <w:color w:val="auto"/>
              </w:rPr>
              <w:t>$1,065,007</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$872,495</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$128.54</w:t>
            </w:r>
          </w:p>
        </w:tc>
        <w:tc>
          <w:tcPr>
            <w:tcW w:w="960" w:type="dxa"/>
            <w:vAlign w:val="bottom"/>
            <w:tcBorders>
              <w:right w:val="single" w:sz="8" w:color="auto"/>
            </w:tcBorders>
          </w:tcPr>
          <w:p>
            <w:pPr>
              <w:jc w:val="center"/>
              <w:ind w:left="97"/>
              <w:spacing w:after="0"/>
              <w:rPr>
                <w:sz w:val="20"/>
                <w:szCs w:val="20"/>
                <w:color w:val="auto"/>
              </w:rPr>
            </w:pPr>
            <w:r>
              <w:rPr>
                <w:rFonts w:ascii="Arial" w:cs="Arial" w:eastAsia="Arial" w:hAnsi="Arial"/>
                <w:sz w:val="17"/>
                <w:szCs w:val="17"/>
                <w:color w:val="auto"/>
              </w:rPr>
              <w:t>$159.06</w:t>
            </w:r>
          </w:p>
        </w:tc>
        <w:tc>
          <w:tcPr>
            <w:tcW w:w="920" w:type="dxa"/>
            <w:vAlign w:val="bottom"/>
            <w:tcBorders>
              <w:right w:val="single" w:sz="8" w:color="auto"/>
            </w:tcBorders>
          </w:tcPr>
          <w:p>
            <w:pPr>
              <w:ind w:left="420"/>
              <w:spacing w:after="0"/>
              <w:rPr>
                <w:sz w:val="20"/>
                <w:szCs w:val="20"/>
                <w:color w:val="auto"/>
              </w:rPr>
            </w:pPr>
            <w:r>
              <w:rPr>
                <w:rFonts w:ascii="Arial" w:cs="Arial" w:eastAsia="Arial" w:hAnsi="Arial"/>
                <w:sz w:val="17"/>
                <w:szCs w:val="17"/>
                <w:color w:val="auto"/>
              </w:rPr>
              <w:t>$50.2</w:t>
            </w:r>
          </w:p>
        </w:tc>
        <w:tc>
          <w:tcPr>
            <w:tcW w:w="1120" w:type="dxa"/>
            <w:vAlign w:val="bottom"/>
          </w:tcPr>
          <w:p>
            <w:pPr>
              <w:ind w:left="500"/>
              <w:spacing w:after="0"/>
              <w:rPr>
                <w:sz w:val="20"/>
                <w:szCs w:val="20"/>
                <w:color w:val="auto"/>
              </w:rPr>
            </w:pPr>
            <w:r>
              <w:rPr>
                <w:rFonts w:ascii="Arial" w:cs="Arial" w:eastAsia="Arial" w:hAnsi="Arial"/>
                <w:sz w:val="17"/>
                <w:szCs w:val="17"/>
                <w:color w:val="auto"/>
              </w:rPr>
              <w:t>$2.97</w:t>
            </w:r>
            <w:r>
              <w:rPr>
                <w:rFonts w:ascii="Arial" w:cs="Arial" w:eastAsia="Arial" w:hAnsi="Arial"/>
                <w:sz w:val="10"/>
                <w:szCs w:val="10"/>
                <w:i w:val="1"/>
                <w:iCs w:val="1"/>
                <w:color w:val="auto"/>
              </w:rPr>
              <w:t>(5)</w:t>
            </w:r>
          </w:p>
        </w:tc>
        <w:tc>
          <w:tcPr>
            <w:tcW w:w="20" w:type="dxa"/>
            <w:vAlign w:val="bottom"/>
          </w:tcPr>
          <w:p>
            <w:pPr>
              <w:spacing w:after="0"/>
              <w:rPr>
                <w:sz w:val="24"/>
                <w:szCs w:val="24"/>
                <w:color w:val="auto"/>
              </w:rPr>
            </w:pPr>
          </w:p>
        </w:tc>
      </w:tr>
      <w:tr>
        <w:trPr>
          <w:trHeight w:val="35"/>
        </w:trPr>
        <w:tc>
          <w:tcPr>
            <w:tcW w:w="7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96"/>
        </w:trPr>
        <w:tc>
          <w:tcPr>
            <w:tcW w:w="760" w:type="dxa"/>
            <w:vAlign w:val="bottom"/>
          </w:tcPr>
          <w:p>
            <w:pPr>
              <w:jc w:val="right"/>
              <w:ind w:right="236"/>
              <w:spacing w:after="0"/>
              <w:rPr>
                <w:sz w:val="20"/>
                <w:szCs w:val="20"/>
                <w:color w:val="auto"/>
              </w:rPr>
            </w:pPr>
            <w:r>
              <w:rPr>
                <w:rFonts w:ascii="Arial" w:cs="Arial" w:eastAsia="Arial" w:hAnsi="Arial"/>
                <w:sz w:val="17"/>
                <w:szCs w:val="17"/>
                <w:color w:val="auto"/>
              </w:rPr>
              <w:t>2024</w:t>
            </w:r>
          </w:p>
        </w:tc>
        <w:tc>
          <w:tcPr>
            <w:tcW w:w="52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jc w:val="center"/>
              <w:ind w:left="17"/>
              <w:spacing w:after="0"/>
              <w:rPr>
                <w:sz w:val="20"/>
                <w:szCs w:val="20"/>
                <w:color w:val="auto"/>
              </w:rPr>
            </w:pPr>
            <w:r>
              <w:rPr>
                <w:rFonts w:ascii="Arial" w:cs="Arial" w:eastAsia="Arial" w:hAnsi="Arial"/>
                <w:sz w:val="17"/>
                <w:szCs w:val="17"/>
                <w:color w:val="auto"/>
              </w:rPr>
              <w:t>$2,572,032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$2,398,645</w:t>
            </w:r>
          </w:p>
        </w:tc>
        <w:tc>
          <w:tcPr>
            <w:tcW w:w="1320" w:type="dxa"/>
            <w:vAlign w:val="bottom"/>
            <w:tcBorders>
              <w:right w:val="single" w:sz="8" w:color="auto"/>
            </w:tcBorders>
          </w:tcPr>
          <w:p>
            <w:pPr>
              <w:jc w:val="center"/>
              <w:ind w:left="217"/>
              <w:spacing w:after="0"/>
              <w:rPr>
                <w:sz w:val="20"/>
                <w:szCs w:val="20"/>
                <w:color w:val="auto"/>
              </w:rPr>
            </w:pPr>
            <w:r>
              <w:rPr>
                <w:rFonts w:ascii="Arial" w:cs="Arial" w:eastAsia="Arial" w:hAnsi="Arial"/>
                <w:sz w:val="17"/>
                <w:szCs w:val="17"/>
                <w:color w:val="auto"/>
              </w:rPr>
              <w:t>$  877,120</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$829,811</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$102.83</w:t>
            </w:r>
          </w:p>
        </w:tc>
        <w:tc>
          <w:tcPr>
            <w:tcW w:w="960" w:type="dxa"/>
            <w:vAlign w:val="bottom"/>
            <w:tcBorders>
              <w:right w:val="single" w:sz="8" w:color="auto"/>
            </w:tcBorders>
          </w:tcPr>
          <w:p>
            <w:pPr>
              <w:jc w:val="center"/>
              <w:ind w:left="97"/>
              <w:spacing w:after="0"/>
              <w:rPr>
                <w:sz w:val="20"/>
                <w:szCs w:val="20"/>
                <w:color w:val="auto"/>
              </w:rPr>
            </w:pPr>
            <w:r>
              <w:rPr>
                <w:rFonts w:ascii="Arial" w:cs="Arial" w:eastAsia="Arial" w:hAnsi="Arial"/>
                <w:sz w:val="17"/>
                <w:szCs w:val="17"/>
                <w:color w:val="auto"/>
              </w:rPr>
              <w:t>$137.73</w:t>
            </w:r>
          </w:p>
        </w:tc>
        <w:tc>
          <w:tcPr>
            <w:tcW w:w="920" w:type="dxa"/>
            <w:vAlign w:val="bottom"/>
            <w:tcBorders>
              <w:right w:val="single" w:sz="8" w:color="auto"/>
            </w:tcBorders>
          </w:tcPr>
          <w:p>
            <w:pPr>
              <w:ind w:left="420"/>
              <w:spacing w:after="0"/>
              <w:rPr>
                <w:sz w:val="20"/>
                <w:szCs w:val="20"/>
                <w:color w:val="auto"/>
              </w:rPr>
            </w:pPr>
            <w:r>
              <w:rPr>
                <w:rFonts w:ascii="Arial" w:cs="Arial" w:eastAsia="Arial" w:hAnsi="Arial"/>
                <w:sz w:val="17"/>
                <w:szCs w:val="17"/>
                <w:color w:val="auto"/>
              </w:rPr>
              <w:t>$47.1</w:t>
            </w:r>
          </w:p>
        </w:tc>
        <w:tc>
          <w:tcPr>
            <w:tcW w:w="1120" w:type="dxa"/>
            <w:vAlign w:val="bottom"/>
          </w:tcPr>
          <w:p>
            <w:pPr>
              <w:ind w:left="500"/>
              <w:spacing w:after="0"/>
              <w:rPr>
                <w:sz w:val="20"/>
                <w:szCs w:val="20"/>
                <w:color w:val="auto"/>
              </w:rPr>
            </w:pPr>
            <w:r>
              <w:rPr>
                <w:rFonts w:ascii="Arial" w:cs="Arial" w:eastAsia="Arial" w:hAnsi="Arial"/>
                <w:sz w:val="17"/>
                <w:szCs w:val="17"/>
                <w:color w:val="auto"/>
              </w:rPr>
              <w:t>$2.93</w:t>
            </w:r>
            <w:r>
              <w:rPr>
                <w:rFonts w:ascii="Arial" w:cs="Arial" w:eastAsia="Arial" w:hAnsi="Arial"/>
                <w:sz w:val="10"/>
                <w:szCs w:val="10"/>
                <w:i w:val="1"/>
                <w:iCs w:val="1"/>
                <w:color w:val="auto"/>
              </w:rPr>
              <w:t>(6)</w:t>
            </w:r>
          </w:p>
        </w:tc>
        <w:tc>
          <w:tcPr>
            <w:tcW w:w="20" w:type="dxa"/>
            <w:vAlign w:val="bottom"/>
          </w:tcPr>
          <w:p>
            <w:pPr>
              <w:spacing w:after="0"/>
              <w:rPr>
                <w:sz w:val="24"/>
                <w:szCs w:val="24"/>
                <w:color w:val="auto"/>
              </w:rPr>
            </w:pPr>
          </w:p>
        </w:tc>
      </w:tr>
      <w:tr>
        <w:trPr>
          <w:trHeight w:val="35"/>
        </w:trPr>
        <w:tc>
          <w:tcPr>
            <w:tcW w:w="7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96"/>
        </w:trPr>
        <w:tc>
          <w:tcPr>
            <w:tcW w:w="760" w:type="dxa"/>
            <w:vAlign w:val="bottom"/>
          </w:tcPr>
          <w:p>
            <w:pPr>
              <w:jc w:val="right"/>
              <w:ind w:right="236"/>
              <w:spacing w:after="0"/>
              <w:rPr>
                <w:sz w:val="20"/>
                <w:szCs w:val="20"/>
                <w:color w:val="auto"/>
              </w:rPr>
            </w:pPr>
            <w:r>
              <w:rPr>
                <w:rFonts w:ascii="Arial" w:cs="Arial" w:eastAsia="Arial" w:hAnsi="Arial"/>
                <w:sz w:val="17"/>
                <w:szCs w:val="17"/>
                <w:color w:val="auto"/>
              </w:rPr>
              <w:t>2023</w:t>
            </w:r>
          </w:p>
        </w:tc>
        <w:tc>
          <w:tcPr>
            <w:tcW w:w="52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jc w:val="center"/>
              <w:ind w:left="17"/>
              <w:spacing w:after="0"/>
              <w:rPr>
                <w:sz w:val="20"/>
                <w:szCs w:val="20"/>
                <w:color w:val="auto"/>
              </w:rPr>
            </w:pPr>
            <w:r>
              <w:rPr>
                <w:rFonts w:ascii="Arial" w:cs="Arial" w:eastAsia="Arial" w:hAnsi="Arial"/>
                <w:sz w:val="17"/>
                <w:szCs w:val="17"/>
                <w:color w:val="auto"/>
              </w:rPr>
              <w:t>$2,625,890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$2,342,445</w:t>
            </w:r>
          </w:p>
        </w:tc>
        <w:tc>
          <w:tcPr>
            <w:tcW w:w="1320" w:type="dxa"/>
            <w:vAlign w:val="bottom"/>
            <w:tcBorders>
              <w:right w:val="single" w:sz="8" w:color="auto"/>
            </w:tcBorders>
          </w:tcPr>
          <w:p>
            <w:pPr>
              <w:jc w:val="center"/>
              <w:ind w:left="217"/>
              <w:spacing w:after="0"/>
              <w:rPr>
                <w:sz w:val="20"/>
                <w:szCs w:val="20"/>
                <w:color w:val="auto"/>
              </w:rPr>
            </w:pPr>
            <w:r>
              <w:rPr>
                <w:rFonts w:ascii="Arial" w:cs="Arial" w:eastAsia="Arial" w:hAnsi="Arial"/>
                <w:sz w:val="17"/>
                <w:szCs w:val="17"/>
                <w:color w:val="auto"/>
              </w:rPr>
              <w:t>$  856,767</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$651,099</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  96.57</w:t>
            </w:r>
          </w:p>
        </w:tc>
        <w:tc>
          <w:tcPr>
            <w:tcW w:w="960" w:type="dxa"/>
            <w:vAlign w:val="bottom"/>
            <w:tcBorders>
              <w:right w:val="single" w:sz="8" w:color="auto"/>
            </w:tcBorders>
          </w:tcPr>
          <w:p>
            <w:pPr>
              <w:jc w:val="center"/>
              <w:ind w:left="117"/>
              <w:spacing w:after="0"/>
              <w:rPr>
                <w:sz w:val="20"/>
                <w:szCs w:val="20"/>
                <w:color w:val="auto"/>
              </w:rPr>
            </w:pPr>
            <w:r>
              <w:rPr>
                <w:rFonts w:ascii="Arial" w:cs="Arial" w:eastAsia="Arial" w:hAnsi="Arial"/>
                <w:sz w:val="17"/>
                <w:szCs w:val="17"/>
                <w:color w:val="auto"/>
                <w:w w:val="97"/>
              </w:rPr>
              <w:t>$111.59</w:t>
            </w:r>
          </w:p>
        </w:tc>
        <w:tc>
          <w:tcPr>
            <w:tcW w:w="920" w:type="dxa"/>
            <w:vAlign w:val="bottom"/>
            <w:tcBorders>
              <w:right w:val="single" w:sz="8" w:color="auto"/>
            </w:tcBorders>
          </w:tcPr>
          <w:p>
            <w:pPr>
              <w:ind w:left="420"/>
              <w:spacing w:after="0"/>
              <w:rPr>
                <w:sz w:val="20"/>
                <w:szCs w:val="20"/>
                <w:color w:val="auto"/>
              </w:rPr>
            </w:pPr>
            <w:r>
              <w:rPr>
                <w:rFonts w:ascii="Arial" w:cs="Arial" w:eastAsia="Arial" w:hAnsi="Arial"/>
                <w:sz w:val="17"/>
                <w:szCs w:val="17"/>
                <w:color w:val="auto"/>
              </w:rPr>
              <w:t>$45.2</w:t>
            </w:r>
          </w:p>
        </w:tc>
        <w:tc>
          <w:tcPr>
            <w:tcW w:w="1120" w:type="dxa"/>
            <w:vAlign w:val="bottom"/>
          </w:tcPr>
          <w:p>
            <w:pPr>
              <w:ind w:left="500"/>
              <w:spacing w:after="0"/>
              <w:rPr>
                <w:sz w:val="20"/>
                <w:szCs w:val="20"/>
                <w:color w:val="auto"/>
              </w:rPr>
            </w:pPr>
            <w:r>
              <w:rPr>
                <w:rFonts w:ascii="Arial" w:cs="Arial" w:eastAsia="Arial" w:hAnsi="Arial"/>
                <w:sz w:val="17"/>
                <w:szCs w:val="17"/>
                <w:color w:val="auto"/>
              </w:rPr>
              <w:t>$2.82</w:t>
            </w:r>
          </w:p>
        </w:tc>
        <w:tc>
          <w:tcPr>
            <w:tcW w:w="20" w:type="dxa"/>
            <w:vAlign w:val="bottom"/>
          </w:tcPr>
          <w:p>
            <w:pPr>
              <w:spacing w:after="0"/>
              <w:rPr>
                <w:sz w:val="24"/>
                <w:szCs w:val="24"/>
                <w:color w:val="auto"/>
              </w:rPr>
            </w:pPr>
          </w:p>
        </w:tc>
      </w:tr>
      <w:tr>
        <w:trPr>
          <w:trHeight w:val="35"/>
        </w:trPr>
        <w:tc>
          <w:tcPr>
            <w:tcW w:w="7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96"/>
        </w:trPr>
        <w:tc>
          <w:tcPr>
            <w:tcW w:w="760" w:type="dxa"/>
            <w:vAlign w:val="bottom"/>
          </w:tcPr>
          <w:p>
            <w:pPr>
              <w:jc w:val="right"/>
              <w:ind w:right="236"/>
              <w:spacing w:after="0"/>
              <w:rPr>
                <w:sz w:val="20"/>
                <w:szCs w:val="20"/>
                <w:color w:val="auto"/>
              </w:rPr>
            </w:pPr>
            <w:r>
              <w:rPr>
                <w:rFonts w:ascii="Arial" w:cs="Arial" w:eastAsia="Arial" w:hAnsi="Arial"/>
                <w:sz w:val="17"/>
                <w:szCs w:val="17"/>
                <w:color w:val="auto"/>
              </w:rPr>
              <w:t>2022</w:t>
            </w:r>
          </w:p>
        </w:tc>
        <w:tc>
          <w:tcPr>
            <w:tcW w:w="52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jc w:val="center"/>
              <w:ind w:left="17"/>
              <w:spacing w:after="0"/>
              <w:rPr>
                <w:sz w:val="20"/>
                <w:szCs w:val="20"/>
                <w:color w:val="auto"/>
              </w:rPr>
            </w:pPr>
            <w:r>
              <w:rPr>
                <w:rFonts w:ascii="Arial" w:cs="Arial" w:eastAsia="Arial" w:hAnsi="Arial"/>
                <w:sz w:val="17"/>
                <w:szCs w:val="17"/>
                <w:color w:val="auto"/>
              </w:rPr>
              <w:t>$1,488,255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$1,658,803</w:t>
            </w:r>
          </w:p>
        </w:tc>
        <w:tc>
          <w:tcPr>
            <w:tcW w:w="1320" w:type="dxa"/>
            <w:vAlign w:val="bottom"/>
            <w:tcBorders>
              <w:right w:val="single" w:sz="8" w:color="auto"/>
            </w:tcBorders>
          </w:tcPr>
          <w:p>
            <w:pPr>
              <w:jc w:val="center"/>
              <w:ind w:left="217"/>
              <w:spacing w:after="0"/>
              <w:rPr>
                <w:sz w:val="20"/>
                <w:szCs w:val="20"/>
                <w:color w:val="auto"/>
              </w:rPr>
            </w:pPr>
            <w:r>
              <w:rPr>
                <w:rFonts w:ascii="Arial" w:cs="Arial" w:eastAsia="Arial" w:hAnsi="Arial"/>
                <w:sz w:val="17"/>
                <w:szCs w:val="17"/>
                <w:color w:val="auto"/>
              </w:rPr>
              <w:t>$  531,450</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$556,598</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  91.49</w:t>
            </w:r>
          </w:p>
        </w:tc>
        <w:tc>
          <w:tcPr>
            <w:tcW w:w="960" w:type="dxa"/>
            <w:vAlign w:val="bottom"/>
            <w:tcBorders>
              <w:right w:val="single" w:sz="8" w:color="auto"/>
            </w:tcBorders>
          </w:tcPr>
          <w:p>
            <w:pPr>
              <w:jc w:val="center"/>
              <w:ind w:left="97"/>
              <w:spacing w:after="0"/>
              <w:rPr>
                <w:sz w:val="20"/>
                <w:szCs w:val="20"/>
                <w:color w:val="auto"/>
              </w:rPr>
            </w:pPr>
            <w:r>
              <w:rPr>
                <w:rFonts w:ascii="Arial" w:cs="Arial" w:eastAsia="Arial" w:hAnsi="Arial"/>
                <w:sz w:val="17"/>
                <w:szCs w:val="17"/>
                <w:color w:val="auto"/>
              </w:rPr>
              <w:t>$120.09</w:t>
            </w:r>
          </w:p>
        </w:tc>
        <w:tc>
          <w:tcPr>
            <w:tcW w:w="920" w:type="dxa"/>
            <w:vAlign w:val="bottom"/>
            <w:tcBorders>
              <w:right w:val="single" w:sz="8" w:color="auto"/>
            </w:tcBorders>
          </w:tcPr>
          <w:p>
            <w:pPr>
              <w:ind w:left="420"/>
              <w:spacing w:after="0"/>
              <w:rPr>
                <w:sz w:val="20"/>
                <w:szCs w:val="20"/>
                <w:color w:val="auto"/>
              </w:rPr>
            </w:pPr>
            <w:r>
              <w:rPr>
                <w:rFonts w:ascii="Arial" w:cs="Arial" w:eastAsia="Arial" w:hAnsi="Arial"/>
                <w:sz w:val="17"/>
                <w:szCs w:val="17"/>
                <w:color w:val="auto"/>
              </w:rPr>
              <w:t>$41.4</w:t>
            </w:r>
          </w:p>
        </w:tc>
        <w:tc>
          <w:tcPr>
            <w:tcW w:w="1120" w:type="dxa"/>
            <w:vAlign w:val="bottom"/>
          </w:tcPr>
          <w:p>
            <w:pPr>
              <w:ind w:left="500"/>
              <w:spacing w:after="0"/>
              <w:rPr>
                <w:sz w:val="20"/>
                <w:szCs w:val="20"/>
                <w:color w:val="auto"/>
              </w:rPr>
            </w:pPr>
            <w:r>
              <w:rPr>
                <w:rFonts w:ascii="Arial" w:cs="Arial" w:eastAsia="Arial" w:hAnsi="Arial"/>
                <w:sz w:val="17"/>
                <w:szCs w:val="17"/>
                <w:color w:val="auto"/>
              </w:rPr>
              <w:t>$2.59</w:t>
            </w:r>
          </w:p>
        </w:tc>
        <w:tc>
          <w:tcPr>
            <w:tcW w:w="20" w:type="dxa"/>
            <w:vAlign w:val="bottom"/>
          </w:tcPr>
          <w:p>
            <w:pPr>
              <w:spacing w:after="0"/>
              <w:rPr>
                <w:sz w:val="24"/>
                <w:szCs w:val="24"/>
                <w:color w:val="auto"/>
              </w:rPr>
            </w:pPr>
          </w:p>
        </w:tc>
      </w:tr>
      <w:tr>
        <w:trPr>
          <w:trHeight w:val="35"/>
        </w:trPr>
        <w:tc>
          <w:tcPr>
            <w:tcW w:w="7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96"/>
        </w:trPr>
        <w:tc>
          <w:tcPr>
            <w:tcW w:w="760" w:type="dxa"/>
            <w:vAlign w:val="bottom"/>
          </w:tcPr>
          <w:p>
            <w:pPr>
              <w:jc w:val="right"/>
              <w:ind w:right="236"/>
              <w:spacing w:after="0"/>
              <w:rPr>
                <w:sz w:val="20"/>
                <w:szCs w:val="20"/>
                <w:color w:val="auto"/>
              </w:rPr>
            </w:pPr>
            <w:r>
              <w:rPr>
                <w:rFonts w:ascii="Arial" w:cs="Arial" w:eastAsia="Arial" w:hAnsi="Arial"/>
                <w:sz w:val="17"/>
                <w:szCs w:val="17"/>
                <w:color w:val="auto"/>
              </w:rPr>
              <w:t>2021</w:t>
            </w:r>
          </w:p>
        </w:tc>
        <w:tc>
          <w:tcPr>
            <w:tcW w:w="52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jc w:val="center"/>
              <w:ind w:left="17"/>
              <w:spacing w:after="0"/>
              <w:rPr>
                <w:sz w:val="20"/>
                <w:szCs w:val="20"/>
                <w:color w:val="auto"/>
              </w:rPr>
            </w:pPr>
            <w:r>
              <w:rPr>
                <w:rFonts w:ascii="Arial" w:cs="Arial" w:eastAsia="Arial" w:hAnsi="Arial"/>
                <w:sz w:val="17"/>
                <w:szCs w:val="17"/>
                <w:color w:val="auto"/>
              </w:rPr>
              <w:t>$2,426,750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$2,224,626</w:t>
            </w:r>
          </w:p>
        </w:tc>
        <w:tc>
          <w:tcPr>
            <w:tcW w:w="1320" w:type="dxa"/>
            <w:vAlign w:val="bottom"/>
            <w:tcBorders>
              <w:right w:val="single" w:sz="8" w:color="auto"/>
            </w:tcBorders>
          </w:tcPr>
          <w:p>
            <w:pPr>
              <w:jc w:val="center"/>
              <w:ind w:left="217"/>
              <w:spacing w:after="0"/>
              <w:rPr>
                <w:sz w:val="20"/>
                <w:szCs w:val="20"/>
                <w:color w:val="auto"/>
              </w:rPr>
            </w:pPr>
            <w:r>
              <w:rPr>
                <w:rFonts w:ascii="Arial" w:cs="Arial" w:eastAsia="Arial" w:hAnsi="Arial"/>
                <w:sz w:val="17"/>
                <w:szCs w:val="17"/>
                <w:color w:val="auto"/>
              </w:rPr>
              <w:t>$  578,575</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$565,779</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  79.47</w:t>
            </w:r>
          </w:p>
        </w:tc>
        <w:tc>
          <w:tcPr>
            <w:tcW w:w="960" w:type="dxa"/>
            <w:vAlign w:val="bottom"/>
            <w:tcBorders>
              <w:right w:val="single" w:sz="8" w:color="auto"/>
            </w:tcBorders>
          </w:tcPr>
          <w:p>
            <w:pPr>
              <w:jc w:val="center"/>
              <w:ind w:left="97"/>
              <w:spacing w:after="0"/>
              <w:rPr>
                <w:sz w:val="20"/>
                <w:szCs w:val="20"/>
                <w:color w:val="auto"/>
              </w:rPr>
            </w:pPr>
            <w:r>
              <w:rPr>
                <w:rFonts w:ascii="Arial" w:cs="Arial" w:eastAsia="Arial" w:hAnsi="Arial"/>
                <w:sz w:val="17"/>
                <w:szCs w:val="17"/>
                <w:color w:val="auto"/>
              </w:rPr>
              <w:t>$118.24</w:t>
            </w:r>
          </w:p>
        </w:tc>
        <w:tc>
          <w:tcPr>
            <w:tcW w:w="920" w:type="dxa"/>
            <w:vAlign w:val="bottom"/>
            <w:tcBorders>
              <w:right w:val="single" w:sz="8" w:color="auto"/>
            </w:tcBorders>
          </w:tcPr>
          <w:p>
            <w:pPr>
              <w:ind w:left="420"/>
              <w:spacing w:after="0"/>
              <w:rPr>
                <w:sz w:val="20"/>
                <w:szCs w:val="20"/>
                <w:color w:val="auto"/>
              </w:rPr>
            </w:pPr>
            <w:r>
              <w:rPr>
                <w:rFonts w:ascii="Arial" w:cs="Arial" w:eastAsia="Arial" w:hAnsi="Arial"/>
                <w:sz w:val="17"/>
                <w:szCs w:val="17"/>
                <w:color w:val="auto"/>
              </w:rPr>
              <w:t>$36.1</w:t>
            </w:r>
          </w:p>
        </w:tc>
        <w:tc>
          <w:tcPr>
            <w:tcW w:w="1120" w:type="dxa"/>
            <w:vAlign w:val="bottom"/>
          </w:tcPr>
          <w:p>
            <w:pPr>
              <w:ind w:left="500"/>
              <w:spacing w:after="0"/>
              <w:rPr>
                <w:sz w:val="20"/>
                <w:szCs w:val="20"/>
                <w:color w:val="auto"/>
              </w:rPr>
            </w:pPr>
            <w:r>
              <w:rPr>
                <w:rFonts w:ascii="Arial" w:cs="Arial" w:eastAsia="Arial" w:hAnsi="Arial"/>
                <w:sz w:val="17"/>
                <w:szCs w:val="17"/>
                <w:color w:val="auto"/>
              </w:rPr>
              <w:t>$2.35</w:t>
            </w:r>
          </w:p>
        </w:tc>
        <w:tc>
          <w:tcPr>
            <w:tcW w:w="20" w:type="dxa"/>
            <w:vAlign w:val="bottom"/>
          </w:tcPr>
          <w:p>
            <w:pPr>
              <w:spacing w:after="0"/>
              <w:rPr>
                <w:sz w:val="24"/>
                <w:szCs w:val="24"/>
                <w:color w:val="auto"/>
              </w:rPr>
            </w:pPr>
          </w:p>
        </w:tc>
      </w:tr>
      <w:tr>
        <w:trPr>
          <w:trHeight w:val="35"/>
        </w:trPr>
        <w:tc>
          <w:tcPr>
            <w:tcW w:w="7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49"/>
        </w:trPr>
        <w:tc>
          <w:tcPr>
            <w:tcW w:w="7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31"/>
        </w:trPr>
        <w:tc>
          <w:tcPr>
            <w:tcW w:w="760" w:type="dxa"/>
            <w:vAlign w:val="bottom"/>
          </w:tcPr>
          <w:p>
            <w:pPr>
              <w:jc w:val="right"/>
              <w:spacing w:after="0"/>
              <w:rPr>
                <w:sz w:val="20"/>
                <w:szCs w:val="20"/>
                <w:color w:val="auto"/>
              </w:rPr>
            </w:pPr>
            <w:r>
              <w:rPr>
                <w:rFonts w:ascii="Arial" w:cs="Arial" w:eastAsia="Arial" w:hAnsi="Arial"/>
                <w:sz w:val="17"/>
                <w:szCs w:val="17"/>
                <w:color w:val="auto"/>
                <w:w w:val="82"/>
              </w:rPr>
              <w:t>NOTES: </w:t>
            </w:r>
          </w:p>
        </w:tc>
        <w:tc>
          <w:tcPr>
            <w:tcW w:w="1640" w:type="dxa"/>
            <w:vAlign w:val="bottom"/>
            <w:gridSpan w:val="2"/>
          </w:tcPr>
          <w:p>
            <w:pPr>
              <w:ind w:left="60"/>
              <w:spacing w:after="0"/>
              <w:rPr>
                <w:sz w:val="20"/>
                <w:szCs w:val="20"/>
                <w:color w:val="auto"/>
              </w:rPr>
            </w:pPr>
            <w:r>
              <w:rPr>
                <w:rFonts w:ascii="Arial" w:cs="Arial" w:eastAsia="Arial" w:hAnsi="Arial"/>
                <w:sz w:val="17"/>
                <w:szCs w:val="17"/>
                <w:color w:val="auto"/>
              </w:rPr>
              <w:t xml:space="preserve">       </w:t>
            </w: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83"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7"/>
          <w:szCs w:val="17"/>
          <w:color w:val="auto"/>
        </w:rPr>
        <w:t> (1)</w:t>
        <w:tab/>
        <w:t>Mr. Meissner was the CEO for each of 2021, 2022, 2023, 2024, and 2025.</w:t>
      </w:r>
    </w:p>
    <w:p>
      <w:pPr>
        <w:spacing w:after="0" w:line="116" w:lineRule="exact"/>
        <w:rPr>
          <w:sz w:val="20"/>
          <w:szCs w:val="20"/>
          <w:color w:val="auto"/>
        </w:rPr>
      </w:pPr>
    </w:p>
    <w:p>
      <w:pPr>
        <w:ind w:left="1620" w:right="20" w:hanging="499"/>
        <w:spacing w:after="0" w:line="244" w:lineRule="auto"/>
        <w:tabs>
          <w:tab w:leader="none" w:pos="1600" w:val="left"/>
        </w:tabs>
        <w:rPr>
          <w:sz w:val="20"/>
          <w:szCs w:val="20"/>
          <w:color w:val="auto"/>
        </w:rPr>
      </w:pPr>
      <w:r>
        <w:rPr>
          <w:rFonts w:ascii="Arial" w:cs="Arial" w:eastAsia="Arial" w:hAnsi="Arial"/>
          <w:sz w:val="17"/>
          <w:szCs w:val="17"/>
          <w:color w:val="auto"/>
        </w:rPr>
        <w:t> (2)</w:t>
        <w:tab/>
        <w:t>SEC rules require certain adjustments must be made to the Summary Compensation Table totals to determine “compensation actually paid” as reported in the Pay versus Performance Table. Compensation actually paid (“CAP”) does not necessarily represent cash and/or equity value transferred to the applicable Named Executive Officer without restriction, but rather is a value calculated under applicable SEC rules. In general, CAP is calculated as Summary Compensation Table total compensation adjusted to include the fair market value of equity awards as of December 31 of the applicable year or, if earlier, the vesting date (rather than the grant date), as well as an adjustment subtracting the change in pension value as of December 31 and adding the actuarially determined service cost for services rendered by the Named Executive Officer, if applicable, during the covered fiscal year. The table below details these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145415</wp:posOffset>
            </wp:positionV>
            <wp:extent cx="6337300" cy="908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640"/>
          </w:cols>
          <w:pgMar w:left="320" w:top="470" w:right="9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3219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337300" cy="3219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3940"/>
        <w:spacing w:after="0"/>
        <w:rPr>
          <w:sz w:val="20"/>
          <w:szCs w:val="20"/>
          <w:color w:val="auto"/>
        </w:rPr>
      </w:pPr>
      <w:r>
        <w:rPr>
          <w:rFonts w:ascii="Arial" w:cs="Arial" w:eastAsia="Arial" w:hAnsi="Arial"/>
          <w:sz w:val="21"/>
          <w:szCs w:val="21"/>
          <w:b w:val="1"/>
          <w:bCs w:val="1"/>
          <w:color w:val="FFFFFF"/>
        </w:rPr>
        <w:t>COMPENSATION ACTUALLY PAID</w:t>
      </w:r>
    </w:p>
    <w:p>
      <w:pPr>
        <w:spacing w:after="0" w:line="129" w:lineRule="exact"/>
        <w:rPr>
          <w:sz w:val="20"/>
          <w:szCs w:val="20"/>
          <w:color w:val="auto"/>
        </w:rPr>
      </w:pPr>
    </w:p>
    <w:tbl>
      <w:tblPr>
        <w:tblLayout w:type="fixed"/>
        <w:tblInd w:w="6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20" w:type="dxa"/>
            <w:vAlign w:val="bottom"/>
            <w:tcBorders>
              <w:top w:val="single" w:sz="8" w:color="auto"/>
              <w:right w:val="single" w:sz="8" w:color="auto"/>
            </w:tcBorders>
          </w:tcPr>
          <w:p>
            <w:pPr>
              <w:spacing w:after="0"/>
              <w:rPr>
                <w:sz w:val="13"/>
                <w:szCs w:val="13"/>
                <w:color w:val="auto"/>
              </w:rPr>
            </w:pPr>
          </w:p>
        </w:tc>
        <w:tc>
          <w:tcPr>
            <w:tcW w:w="1740" w:type="dxa"/>
            <w:vAlign w:val="bottom"/>
            <w:tcBorders>
              <w:top w:val="single" w:sz="8" w:color="auto"/>
              <w:right w:val="single" w:sz="8" w:color="auto"/>
            </w:tcBorders>
          </w:tcPr>
          <w:p>
            <w:pPr>
              <w:spacing w:after="0"/>
              <w:rPr>
                <w:sz w:val="13"/>
                <w:szCs w:val="13"/>
                <w:color w:val="auto"/>
              </w:rPr>
            </w:pPr>
          </w:p>
        </w:tc>
        <w:tc>
          <w:tcPr>
            <w:tcW w:w="1480" w:type="dxa"/>
            <w:vAlign w:val="bottom"/>
            <w:tcBorders>
              <w:top w:val="single" w:sz="8" w:color="auto"/>
              <w:right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spacing w:after="0"/>
              <w:rPr>
                <w:sz w:val="13"/>
                <w:szCs w:val="13"/>
                <w:color w:val="auto"/>
              </w:rPr>
            </w:pPr>
          </w:p>
        </w:tc>
        <w:tc>
          <w:tcPr>
            <w:tcW w:w="1260" w:type="dxa"/>
            <w:vAlign w:val="bottom"/>
            <w:tcBorders>
              <w:top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Summary</w:t>
            </w:r>
          </w:p>
        </w:tc>
        <w:tc>
          <w:tcPr>
            <w:tcW w:w="480" w:type="dxa"/>
            <w:vAlign w:val="bottom"/>
            <w:tcBorders>
              <w:top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spacing w:after="0"/>
              <w:rPr>
                <w:sz w:val="13"/>
                <w:szCs w:val="13"/>
                <w:color w:val="auto"/>
              </w:rPr>
            </w:pPr>
          </w:p>
        </w:tc>
        <w:tc>
          <w:tcPr>
            <w:tcW w:w="1480" w:type="dxa"/>
            <w:vAlign w:val="bottom"/>
            <w:tcBorders>
              <w:top w:val="single" w:sz="8" w:color="auto"/>
              <w:right w:val="single" w:sz="8" w:color="auto"/>
            </w:tcBorders>
            <w:gridSpan w:val="2"/>
          </w:tcPr>
          <w:p>
            <w:pPr>
              <w:jc w:val="center"/>
              <w:spacing w:after="0" w:line="159" w:lineRule="exact"/>
              <w:rPr>
                <w:sz w:val="20"/>
                <w:szCs w:val="20"/>
                <w:color w:val="auto"/>
              </w:rPr>
            </w:pPr>
            <w:r>
              <w:rPr>
                <w:rFonts w:ascii="Arial" w:cs="Arial" w:eastAsia="Arial" w:hAnsi="Arial"/>
                <w:sz w:val="14"/>
                <w:szCs w:val="14"/>
                <w:b w:val="1"/>
                <w:bCs w:val="1"/>
                <w:color w:val="auto"/>
                <w:w w:val="97"/>
              </w:rPr>
              <w:t>Summary</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7"/>
              </w:rPr>
              <w:t>Summary</w:t>
            </w:r>
          </w:p>
        </w:tc>
        <w:tc>
          <w:tcPr>
            <w:tcW w:w="114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Compensation</w:t>
            </w:r>
          </w:p>
        </w:tc>
        <w:tc>
          <w:tcPr>
            <w:tcW w:w="1200" w:type="dxa"/>
            <w:vAlign w:val="bottom"/>
            <w:tcBorders>
              <w:right w:val="single" w:sz="8" w:color="auto"/>
            </w:tcBorders>
            <w:gridSpan w:val="2"/>
          </w:tcPr>
          <w:p>
            <w:pPr>
              <w:jc w:val="center"/>
              <w:spacing w:after="0" w:line="156" w:lineRule="exact"/>
              <w:rPr>
                <w:sz w:val="20"/>
                <w:szCs w:val="20"/>
                <w:color w:val="auto"/>
              </w:rPr>
            </w:pPr>
            <w:r>
              <w:rPr>
                <w:rFonts w:ascii="Arial" w:cs="Arial" w:eastAsia="Arial" w:hAnsi="Arial"/>
                <w:sz w:val="14"/>
                <w:szCs w:val="14"/>
                <w:b w:val="1"/>
                <w:bCs w:val="1"/>
                <w:color w:val="auto"/>
                <w:w w:val="97"/>
              </w:rPr>
              <w:t>Change in</w:t>
            </w:r>
          </w:p>
        </w:tc>
        <w:tc>
          <w:tcPr>
            <w:tcW w:w="1480" w:type="dxa"/>
            <w:vAlign w:val="bottom"/>
            <w:tcBorders>
              <w:right w:val="single" w:sz="8" w:color="auto"/>
            </w:tcBorders>
            <w:gridSpan w:val="2"/>
          </w:tcPr>
          <w:p>
            <w:pPr>
              <w:jc w:val="center"/>
              <w:spacing w:after="0" w:line="156" w:lineRule="exact"/>
              <w:rPr>
                <w:sz w:val="20"/>
                <w:szCs w:val="20"/>
                <w:color w:val="auto"/>
              </w:rPr>
            </w:pPr>
            <w:r>
              <w:rPr>
                <w:rFonts w:ascii="Arial" w:cs="Arial" w:eastAsia="Arial" w:hAnsi="Arial"/>
                <w:sz w:val="14"/>
                <w:szCs w:val="14"/>
                <w:b w:val="1"/>
                <w:bCs w:val="1"/>
                <w:color w:val="auto"/>
                <w:w w:val="98"/>
              </w:rPr>
              <w:t>Compensation Table:</w:t>
            </w:r>
          </w:p>
        </w:tc>
        <w:tc>
          <w:tcPr>
            <w:tcW w:w="200" w:type="dxa"/>
            <w:vAlign w:val="bottom"/>
          </w:tcPr>
          <w:p>
            <w:pPr>
              <w:spacing w:after="0"/>
              <w:rPr>
                <w:sz w:val="13"/>
                <w:szCs w:val="13"/>
                <w:color w:val="auto"/>
              </w:rPr>
            </w:pPr>
          </w:p>
        </w:tc>
        <w:tc>
          <w:tcPr>
            <w:tcW w:w="840" w:type="dxa"/>
            <w:vAlign w:val="bottom"/>
          </w:tcPr>
          <w:p>
            <w:pPr>
              <w:jc w:val="center"/>
              <w:ind w:right="77"/>
              <w:spacing w:after="0" w:line="156"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Compensation Table:</w:t>
            </w:r>
          </w:p>
        </w:tc>
        <w:tc>
          <w:tcPr>
            <w:tcW w:w="11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7"/>
              </w:rPr>
              <w:t>Adjusted Equity</w:t>
            </w:r>
          </w:p>
        </w:tc>
        <w:tc>
          <w:tcPr>
            <w:tcW w:w="12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6"/>
              </w:rPr>
              <w:t>Table: Non-Equity</w:t>
            </w:r>
          </w:p>
        </w:tc>
        <w:tc>
          <w:tcPr>
            <w:tcW w:w="1200" w:type="dxa"/>
            <w:vAlign w:val="bottom"/>
            <w:tcBorders>
              <w:right w:val="single" w:sz="8" w:color="auto"/>
            </w:tcBorders>
            <w:gridSpan w:val="2"/>
          </w:tcPr>
          <w:p>
            <w:pPr>
              <w:jc w:val="center"/>
              <w:spacing w:after="0" w:line="156" w:lineRule="exact"/>
              <w:rPr>
                <w:sz w:val="20"/>
                <w:szCs w:val="20"/>
                <w:color w:val="auto"/>
              </w:rPr>
            </w:pPr>
            <w:r>
              <w:rPr>
                <w:rFonts w:ascii="Arial" w:cs="Arial" w:eastAsia="Arial" w:hAnsi="Arial"/>
                <w:sz w:val="14"/>
                <w:szCs w:val="14"/>
                <w:b w:val="1"/>
                <w:bCs w:val="1"/>
                <w:color w:val="auto"/>
                <w:w w:val="96"/>
              </w:rPr>
              <w:t>Pension Value or</w:t>
            </w:r>
          </w:p>
        </w:tc>
        <w:tc>
          <w:tcPr>
            <w:tcW w:w="1480" w:type="dxa"/>
            <w:vAlign w:val="bottom"/>
            <w:tcBorders>
              <w:right w:val="single" w:sz="8" w:color="auto"/>
            </w:tcBorders>
            <w:gridSpan w:val="2"/>
          </w:tcPr>
          <w:p>
            <w:pPr>
              <w:jc w:val="center"/>
              <w:spacing w:after="0" w:line="156" w:lineRule="exact"/>
              <w:rPr>
                <w:sz w:val="20"/>
                <w:szCs w:val="20"/>
                <w:color w:val="auto"/>
              </w:rPr>
            </w:pPr>
            <w:r>
              <w:rPr>
                <w:rFonts w:ascii="Arial" w:cs="Arial" w:eastAsia="Arial" w:hAnsi="Arial"/>
                <w:sz w:val="14"/>
                <w:szCs w:val="14"/>
                <w:b w:val="1"/>
                <w:bCs w:val="1"/>
                <w:color w:val="auto"/>
                <w:w w:val="98"/>
              </w:rPr>
              <w:t>All Other</w:t>
            </w: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w w:val="98"/>
              </w:rPr>
              <w:t>Compensation</w:t>
            </w:r>
          </w:p>
        </w:tc>
        <w:tc>
          <w:tcPr>
            <w:tcW w:w="20" w:type="dxa"/>
            <w:vAlign w:val="bottom"/>
          </w:tcPr>
          <w:p>
            <w:pPr>
              <w:spacing w:after="0"/>
              <w:rPr>
                <w:sz w:val="13"/>
                <w:szCs w:val="13"/>
                <w:color w:val="auto"/>
              </w:rPr>
            </w:pPr>
          </w:p>
        </w:tc>
      </w:tr>
      <w:tr>
        <w:trPr>
          <w:trHeight w:val="217"/>
        </w:trPr>
        <w:tc>
          <w:tcPr>
            <w:tcW w:w="64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 Year</w:t>
            </w:r>
          </w:p>
        </w:tc>
        <w:tc>
          <w:tcPr>
            <w:tcW w:w="1740" w:type="dxa"/>
            <w:vAlign w:val="bottom"/>
            <w:tcBorders>
              <w:right w:val="single" w:sz="8" w:color="auto"/>
            </w:tcBorders>
          </w:tcPr>
          <w:p>
            <w:pPr>
              <w:ind w:left="460"/>
              <w:spacing w:after="0"/>
              <w:rPr>
                <w:sz w:val="20"/>
                <w:szCs w:val="20"/>
                <w:color w:val="auto"/>
              </w:rPr>
            </w:pPr>
            <w:r>
              <w:rPr>
                <w:rFonts w:ascii="Arial" w:cs="Arial" w:eastAsia="Arial" w:hAnsi="Arial"/>
                <w:sz w:val="14"/>
                <w:szCs w:val="14"/>
                <w:b w:val="1"/>
                <w:bCs w:val="1"/>
                <w:color w:val="auto"/>
              </w:rPr>
              <w:t>Executive(s)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Base Salary</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Awards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Compensation</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 xml:space="preserve">Service Cost </w:t>
            </w:r>
            <w:r>
              <w:rPr>
                <w:rFonts w:ascii="Arial" w:cs="Arial" w:eastAsia="Arial" w:hAnsi="Arial"/>
                <w:sz w:val="17"/>
                <w:szCs w:val="17"/>
                <w:b w:val="1"/>
                <w:bCs w:val="1"/>
                <w:i w:val="1"/>
                <w:iCs w:val="1"/>
                <w:color w:val="auto"/>
                <w:w w:val="95"/>
                <w:vertAlign w:val="superscript"/>
              </w:rPr>
              <w:t>(7)</w:t>
            </w:r>
          </w:p>
        </w:tc>
        <w:tc>
          <w:tcPr>
            <w:tcW w:w="14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Compensation</w:t>
            </w: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Actually Paid</w:t>
            </w:r>
          </w:p>
        </w:tc>
        <w:tc>
          <w:tcPr>
            <w:tcW w:w="20" w:type="dxa"/>
            <w:vAlign w:val="bottom"/>
          </w:tcPr>
          <w:p>
            <w:pPr>
              <w:spacing w:after="0"/>
              <w:rPr>
                <w:sz w:val="18"/>
                <w:szCs w:val="18"/>
                <w:color w:val="auto"/>
              </w:rPr>
            </w:pPr>
          </w:p>
        </w:tc>
      </w:tr>
      <w:tr>
        <w:trPr>
          <w:trHeight w:val="273"/>
        </w:trPr>
        <w:tc>
          <w:tcPr>
            <w:tcW w:w="20" w:type="dxa"/>
            <w:vAlign w:val="bottom"/>
          </w:tcPr>
          <w:p>
            <w:pPr>
              <w:spacing w:after="0"/>
              <w:rPr>
                <w:sz w:val="23"/>
                <w:szCs w:val="23"/>
                <w:color w:val="auto"/>
              </w:rPr>
            </w:pPr>
          </w:p>
        </w:tc>
        <w:tc>
          <w:tcPr>
            <w:tcW w:w="620" w:type="dxa"/>
            <w:vAlign w:val="bottom"/>
            <w:tcBorders>
              <w:bottom w:val="single" w:sz="8" w:color="314A72"/>
              <w:right w:val="single" w:sz="8" w:color="314A72"/>
            </w:tcBorders>
            <w:shd w:val="clear" w:color="auto" w:fill="314A72"/>
          </w:tcPr>
          <w:p>
            <w:pPr>
              <w:ind w:left="200"/>
              <w:spacing w:after="0"/>
              <w:rPr>
                <w:sz w:val="20"/>
                <w:szCs w:val="20"/>
                <w:color w:val="auto"/>
              </w:rPr>
            </w:pPr>
            <w:r>
              <w:rPr>
                <w:rFonts w:ascii="Arial" w:cs="Arial" w:eastAsia="Arial" w:hAnsi="Arial"/>
                <w:sz w:val="13"/>
                <w:szCs w:val="13"/>
                <w:b w:val="1"/>
                <w:bCs w:val="1"/>
                <w:color w:val="FFFFFF"/>
              </w:rPr>
              <w:t>(a)</w:t>
            </w:r>
          </w:p>
        </w:tc>
        <w:tc>
          <w:tcPr>
            <w:tcW w:w="1740" w:type="dxa"/>
            <w:vAlign w:val="bottom"/>
            <w:tcBorders>
              <w:bottom w:val="single" w:sz="8" w:color="314A72"/>
              <w:right w:val="single" w:sz="8" w:color="314A72"/>
            </w:tcBorders>
            <w:shd w:val="clear" w:color="auto" w:fill="314A72"/>
          </w:tcPr>
          <w:p>
            <w:pPr>
              <w:ind w:left="780"/>
              <w:spacing w:after="0"/>
              <w:rPr>
                <w:sz w:val="20"/>
                <w:szCs w:val="20"/>
                <w:color w:val="auto"/>
              </w:rPr>
            </w:pPr>
            <w:r>
              <w:rPr>
                <w:rFonts w:ascii="Arial" w:cs="Arial" w:eastAsia="Arial" w:hAnsi="Arial"/>
                <w:sz w:val="13"/>
                <w:szCs w:val="13"/>
                <w:b w:val="1"/>
                <w:bCs w:val="1"/>
                <w:color w:val="FFFFFF"/>
              </w:rPr>
              <w:t>(b)</w:t>
            </w:r>
          </w:p>
        </w:tc>
        <w:tc>
          <w:tcPr>
            <w:tcW w:w="1480" w:type="dxa"/>
            <w:vAlign w:val="bottom"/>
            <w:tcBorders>
              <w:bottom w:val="single" w:sz="8" w:color="314A72"/>
              <w:right w:val="single" w:sz="8" w:color="314A72"/>
            </w:tcBorders>
            <w:shd w:val="clear" w:color="auto" w:fill="314A72"/>
          </w:tcPr>
          <w:p>
            <w:pPr>
              <w:jc w:val="center"/>
              <w:spacing w:after="0"/>
              <w:rPr>
                <w:sz w:val="20"/>
                <w:szCs w:val="20"/>
                <w:color w:val="auto"/>
              </w:rPr>
            </w:pPr>
            <w:r>
              <w:rPr>
                <w:rFonts w:ascii="Arial" w:cs="Arial" w:eastAsia="Arial" w:hAnsi="Arial"/>
                <w:sz w:val="13"/>
                <w:szCs w:val="13"/>
                <w:b w:val="1"/>
                <w:bCs w:val="1"/>
                <w:color w:val="FFFFFF"/>
              </w:rPr>
              <w:t>(c)</w:t>
            </w:r>
          </w:p>
        </w:tc>
        <w:tc>
          <w:tcPr>
            <w:tcW w:w="1140" w:type="dxa"/>
            <w:vAlign w:val="bottom"/>
            <w:tcBorders>
              <w:bottom w:val="single" w:sz="8" w:color="314A72"/>
              <w:right w:val="single" w:sz="8" w:color="314A72"/>
            </w:tcBorders>
            <w:shd w:val="clear" w:color="auto" w:fill="314A72"/>
          </w:tcPr>
          <w:p>
            <w:pPr>
              <w:jc w:val="center"/>
              <w:spacing w:after="0"/>
              <w:rPr>
                <w:sz w:val="20"/>
                <w:szCs w:val="20"/>
                <w:color w:val="auto"/>
              </w:rPr>
            </w:pPr>
            <w:r>
              <w:rPr>
                <w:rFonts w:ascii="Arial" w:cs="Arial" w:eastAsia="Arial" w:hAnsi="Arial"/>
                <w:sz w:val="13"/>
                <w:szCs w:val="13"/>
                <w:b w:val="1"/>
                <w:bCs w:val="1"/>
                <w:color w:val="FFFFFF"/>
                <w:w w:val="96"/>
              </w:rPr>
              <w:t>(d)</w:t>
            </w:r>
          </w:p>
        </w:tc>
        <w:tc>
          <w:tcPr>
            <w:tcW w:w="1260" w:type="dxa"/>
            <w:vAlign w:val="bottom"/>
            <w:tcBorders>
              <w:bottom w:val="single" w:sz="8" w:color="314A72"/>
              <w:right w:val="single" w:sz="8" w:color="314A72"/>
            </w:tcBorders>
            <w:shd w:val="clear" w:color="auto" w:fill="314A72"/>
          </w:tcPr>
          <w:p>
            <w:pPr>
              <w:jc w:val="center"/>
              <w:spacing w:after="0"/>
              <w:rPr>
                <w:sz w:val="20"/>
                <w:szCs w:val="20"/>
                <w:color w:val="auto"/>
              </w:rPr>
            </w:pPr>
            <w:r>
              <w:rPr>
                <w:rFonts w:ascii="Arial" w:cs="Arial" w:eastAsia="Arial" w:hAnsi="Arial"/>
                <w:sz w:val="13"/>
                <w:szCs w:val="13"/>
                <w:b w:val="1"/>
                <w:bCs w:val="1"/>
                <w:color w:val="FFFFFF"/>
              </w:rPr>
              <w:t>(e)</w:t>
            </w:r>
          </w:p>
        </w:tc>
        <w:tc>
          <w:tcPr>
            <w:tcW w:w="480" w:type="dxa"/>
            <w:vAlign w:val="bottom"/>
            <w:tcBorders>
              <w:bottom w:val="single" w:sz="8" w:color="314A72"/>
            </w:tcBorders>
            <w:shd w:val="clear" w:color="auto" w:fill="314A72"/>
          </w:tcPr>
          <w:p>
            <w:pPr>
              <w:spacing w:after="0"/>
              <w:rPr>
                <w:sz w:val="23"/>
                <w:szCs w:val="23"/>
                <w:color w:val="auto"/>
              </w:rPr>
            </w:pPr>
          </w:p>
        </w:tc>
        <w:tc>
          <w:tcPr>
            <w:tcW w:w="720" w:type="dxa"/>
            <w:vAlign w:val="bottom"/>
            <w:tcBorders>
              <w:bottom w:val="single" w:sz="8" w:color="314A72"/>
              <w:right w:val="single" w:sz="8" w:color="314A72"/>
            </w:tcBorders>
            <w:shd w:val="clear" w:color="auto" w:fill="314A72"/>
          </w:tcPr>
          <w:p>
            <w:pPr>
              <w:jc w:val="center"/>
              <w:ind w:right="375"/>
              <w:spacing w:after="0"/>
              <w:rPr>
                <w:sz w:val="20"/>
                <w:szCs w:val="20"/>
                <w:color w:val="auto"/>
              </w:rPr>
            </w:pPr>
            <w:r>
              <w:rPr>
                <w:rFonts w:ascii="Arial" w:cs="Arial" w:eastAsia="Arial" w:hAnsi="Arial"/>
                <w:sz w:val="13"/>
                <w:szCs w:val="13"/>
                <w:b w:val="1"/>
                <w:bCs w:val="1"/>
                <w:color w:val="FFFFFF"/>
              </w:rPr>
              <w:t>(f)</w:t>
            </w:r>
          </w:p>
        </w:tc>
        <w:tc>
          <w:tcPr>
            <w:tcW w:w="1480" w:type="dxa"/>
            <w:vAlign w:val="bottom"/>
            <w:tcBorders>
              <w:bottom w:val="single" w:sz="8" w:color="314A72"/>
              <w:right w:val="single" w:sz="8" w:color="314A72"/>
            </w:tcBorders>
            <w:gridSpan w:val="2"/>
            <w:shd w:val="clear" w:color="auto" w:fill="314A72"/>
          </w:tcPr>
          <w:p>
            <w:pPr>
              <w:ind w:left="660"/>
              <w:spacing w:after="0"/>
              <w:rPr>
                <w:sz w:val="20"/>
                <w:szCs w:val="20"/>
                <w:color w:val="auto"/>
              </w:rPr>
            </w:pPr>
            <w:r>
              <w:rPr>
                <w:rFonts w:ascii="Arial" w:cs="Arial" w:eastAsia="Arial" w:hAnsi="Arial"/>
                <w:sz w:val="13"/>
                <w:szCs w:val="13"/>
                <w:b w:val="1"/>
                <w:bCs w:val="1"/>
                <w:color w:val="FFFFFF"/>
              </w:rPr>
              <w:t>(g)</w:t>
            </w:r>
          </w:p>
        </w:tc>
        <w:tc>
          <w:tcPr>
            <w:tcW w:w="200" w:type="dxa"/>
            <w:vAlign w:val="bottom"/>
            <w:tcBorders>
              <w:bottom w:val="single" w:sz="8" w:color="314A72"/>
            </w:tcBorders>
            <w:shd w:val="clear" w:color="auto" w:fill="314A72"/>
          </w:tcPr>
          <w:p>
            <w:pPr>
              <w:spacing w:after="0"/>
              <w:rPr>
                <w:sz w:val="23"/>
                <w:szCs w:val="23"/>
                <w:color w:val="auto"/>
              </w:rPr>
            </w:pPr>
          </w:p>
        </w:tc>
        <w:tc>
          <w:tcPr>
            <w:tcW w:w="840" w:type="dxa"/>
            <w:vAlign w:val="bottom"/>
            <w:tcBorders>
              <w:bottom w:val="single" w:sz="8" w:color="314A72"/>
            </w:tcBorders>
            <w:shd w:val="clear" w:color="auto" w:fill="314A72"/>
          </w:tcPr>
          <w:p>
            <w:pPr>
              <w:jc w:val="center"/>
              <w:ind w:right="77"/>
              <w:spacing w:after="0"/>
              <w:rPr>
                <w:sz w:val="20"/>
                <w:szCs w:val="20"/>
                <w:color w:val="auto"/>
              </w:rPr>
            </w:pPr>
            <w:r>
              <w:rPr>
                <w:rFonts w:ascii="Arial" w:cs="Arial" w:eastAsia="Arial" w:hAnsi="Arial"/>
                <w:sz w:val="13"/>
                <w:szCs w:val="13"/>
                <w:b w:val="1"/>
                <w:bCs w:val="1"/>
                <w:color w:val="FFFFFF"/>
                <w:w w:val="96"/>
              </w:rPr>
              <w:t>(h)</w:t>
            </w:r>
          </w:p>
        </w:tc>
        <w:tc>
          <w:tcPr>
            <w:tcW w:w="20" w:type="dxa"/>
            <w:vAlign w:val="bottom"/>
          </w:tcPr>
          <w:p>
            <w:pPr>
              <w:spacing w:after="0"/>
              <w:rPr>
                <w:sz w:val="23"/>
                <w:szCs w:val="23"/>
                <w:color w:val="auto"/>
              </w:rPr>
            </w:pPr>
          </w:p>
        </w:tc>
      </w:tr>
      <w:tr>
        <w:trPr>
          <w:trHeight w:val="233"/>
        </w:trPr>
        <w:tc>
          <w:tcPr>
            <w:tcW w:w="20" w:type="dxa"/>
            <w:vAlign w:val="bottom"/>
          </w:tcPr>
          <w:p>
            <w:pPr>
              <w:spacing w:after="0"/>
              <w:rPr>
                <w:sz w:val="20"/>
                <w:szCs w:val="20"/>
                <w:color w:val="auto"/>
              </w:rPr>
            </w:pPr>
          </w:p>
        </w:tc>
        <w:tc>
          <w:tcPr>
            <w:tcW w:w="6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2025 </w:t>
            </w:r>
          </w:p>
        </w:tc>
        <w:tc>
          <w:tcPr>
            <w:tcW w:w="17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 CEO</w:t>
            </w:r>
          </w:p>
        </w:tc>
        <w:tc>
          <w:tcPr>
            <w:tcW w:w="1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$744,066</w:t>
            </w:r>
          </w:p>
        </w:tc>
        <w:tc>
          <w:tcPr>
            <w:tcW w:w="11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$531,278</w:t>
            </w:r>
          </w:p>
        </w:tc>
        <w:tc>
          <w:tcPr>
            <w:tcW w:w="12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$662,591</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187,858</w:t>
            </w:r>
          </w:p>
        </w:tc>
        <w:tc>
          <w:tcPr>
            <w:tcW w:w="7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170,204</w:t>
            </w:r>
          </w:p>
        </w:tc>
        <w:tc>
          <w:tcPr>
            <w:tcW w:w="2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2,295,997</w:t>
            </w:r>
          </w:p>
        </w:tc>
        <w:tc>
          <w:tcPr>
            <w:tcW w:w="20" w:type="dxa"/>
            <w:vAlign w:val="bottom"/>
            <w:tcBorders>
              <w:top w:val="single" w:sz="8" w:color="auto"/>
            </w:tcBorders>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2025</w:t>
            </w:r>
          </w:p>
        </w:tc>
        <w:tc>
          <w:tcPr>
            <w:tcW w:w="1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 Non-CEO NEOs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$360,555</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$144,821</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$209,982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w w:val="93"/>
              </w:rPr>
              <w:t>  15,174</w:t>
            </w:r>
          </w:p>
        </w:tc>
        <w:tc>
          <w:tcPr>
            <w:tcW w:w="76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141,965</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872,495</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2024</w:t>
            </w:r>
          </w:p>
        </w:tc>
        <w:tc>
          <w:tcPr>
            <w:tcW w:w="1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 CEO</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$712,025</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$759,041</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$518,354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250,735</w:t>
            </w:r>
          </w:p>
        </w:tc>
        <w:tc>
          <w:tcPr>
            <w:tcW w:w="76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158,490</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2,398,645</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2024</w:t>
            </w:r>
          </w:p>
        </w:tc>
        <w:tc>
          <w:tcPr>
            <w:tcW w:w="1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 Non-CEO NEOs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$342,381</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$198,973</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$163,726</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15,142</w:t>
            </w:r>
          </w:p>
        </w:tc>
        <w:tc>
          <w:tcPr>
            <w:tcW w:w="76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109,591</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829,811</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2023</w:t>
            </w:r>
          </w:p>
        </w:tc>
        <w:tc>
          <w:tcPr>
            <w:tcW w:w="1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 CEO</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$678,119</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$739,078</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$515,709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251,965</w:t>
            </w:r>
          </w:p>
        </w:tc>
        <w:tc>
          <w:tcPr>
            <w:tcW w:w="76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157,574</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2,342,445</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2023</w:t>
            </w:r>
          </w:p>
        </w:tc>
        <w:tc>
          <w:tcPr>
            <w:tcW w:w="1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 Non-CEO NEOs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$274,566</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$119,704</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$134,469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27,046</w:t>
            </w:r>
          </w:p>
        </w:tc>
        <w:tc>
          <w:tcPr>
            <w:tcW w:w="76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95,314</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651,099</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2022</w:t>
            </w:r>
          </w:p>
        </w:tc>
        <w:tc>
          <w:tcPr>
            <w:tcW w:w="1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 CEO</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$645,214</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$170,548</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$521,564</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7"/>
                <w:szCs w:val="17"/>
                <w:color w:val="auto"/>
              </w:rPr>
              <w:t>— </w:t>
            </w:r>
          </w:p>
        </w:tc>
        <w:tc>
          <w:tcPr>
            <w:tcW w:w="76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321,477</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1,658,803</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2022</w:t>
            </w:r>
          </w:p>
        </w:tc>
        <w:tc>
          <w:tcPr>
            <w:tcW w:w="1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 Non-CEO NEOs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$300,546</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  24,995</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$142,078</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7"/>
                <w:szCs w:val="17"/>
                <w:color w:val="auto"/>
              </w:rPr>
              <w:t>— </w:t>
            </w:r>
          </w:p>
        </w:tc>
        <w:tc>
          <w:tcPr>
            <w:tcW w:w="76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88,979</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556,598</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2021</w:t>
            </w:r>
          </w:p>
        </w:tc>
        <w:tc>
          <w:tcPr>
            <w:tcW w:w="1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 CEO</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$620,398</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$652,071</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$466,162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342,315</w:t>
            </w:r>
          </w:p>
        </w:tc>
        <w:tc>
          <w:tcPr>
            <w:tcW w:w="76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143,680</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2,224,626</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2021</w:t>
            </w:r>
          </w:p>
        </w:tc>
        <w:tc>
          <w:tcPr>
            <w:tcW w:w="1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 Non-CEO NEOs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$261,300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  88,533</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$ 117,920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26,413</w:t>
            </w:r>
          </w:p>
        </w:tc>
        <w:tc>
          <w:tcPr>
            <w:tcW w:w="76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71,614</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565,779</w:t>
            </w:r>
          </w:p>
        </w:tc>
        <w:tc>
          <w:tcPr>
            <w:tcW w:w="20" w:type="dxa"/>
            <w:vAlign w:val="bottom"/>
          </w:tcPr>
          <w:p>
            <w:pPr>
              <w:spacing w:after="0"/>
              <w:rPr>
                <w:sz w:val="20"/>
                <w:szCs w:val="20"/>
                <w:color w:val="auto"/>
              </w:rPr>
            </w:pPr>
          </w:p>
        </w:tc>
      </w:tr>
      <w:tr>
        <w:trPr>
          <w:trHeight w:val="130"/>
        </w:trPr>
        <w:tc>
          <w:tcPr>
            <w:tcW w:w="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6743700</wp:posOffset>
            </wp:positionH>
            <wp:positionV relativeFrom="paragraph">
              <wp:posOffset>-1922145</wp:posOffset>
            </wp:positionV>
            <wp:extent cx="8255" cy="1816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18161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-1922145</wp:posOffset>
            </wp:positionV>
            <wp:extent cx="8255" cy="1816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181610"/>
                    </a:xfrm>
                    <a:prstGeom prst="rect">
                      <a:avLst/>
                    </a:prstGeom>
                    <a:noFill/>
                  </pic:spPr>
                </pic:pic>
              </a:graphicData>
            </a:graphic>
          </wp:anchor>
        </w:drawing>
        <w:drawing>
          <wp:anchor simplePos="0" relativeHeight="251657728" behindDoc="1" locked="0" layoutInCell="0" allowOverlap="1">
            <wp:simplePos x="0" y="0"/>
            <wp:positionH relativeFrom="column">
              <wp:posOffset>5126355</wp:posOffset>
            </wp:positionH>
            <wp:positionV relativeFrom="paragraph">
              <wp:posOffset>-1922145</wp:posOffset>
            </wp:positionV>
            <wp:extent cx="8255" cy="1816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181610"/>
                    </a:xfrm>
                    <a:prstGeom prst="rect">
                      <a:avLst/>
                    </a:prstGeom>
                    <a:noFill/>
                  </pic:spPr>
                </pic:pic>
              </a:graphicData>
            </a:graphic>
          </wp:anchor>
        </w:drawing>
        <w:drawing>
          <wp:anchor simplePos="0" relativeHeight="251657728" behindDoc="1" locked="0" layoutInCell="0" allowOverlap="1">
            <wp:simplePos x="0" y="0"/>
            <wp:positionH relativeFrom="column">
              <wp:posOffset>4367530</wp:posOffset>
            </wp:positionH>
            <wp:positionV relativeFrom="paragraph">
              <wp:posOffset>-1922145</wp:posOffset>
            </wp:positionV>
            <wp:extent cx="8255" cy="1816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181610"/>
                    </a:xfrm>
                    <a:prstGeom prst="rect">
                      <a:avLst/>
                    </a:prstGeom>
                    <a:noFill/>
                  </pic:spPr>
                </pic:pic>
              </a:graphicData>
            </a:graphic>
          </wp:anchor>
        </w:drawing>
        <w:drawing>
          <wp:anchor simplePos="0" relativeHeight="251657728" behindDoc="1" locked="0" layoutInCell="0" allowOverlap="1">
            <wp:simplePos x="0" y="0"/>
            <wp:positionH relativeFrom="column">
              <wp:posOffset>3567430</wp:posOffset>
            </wp:positionH>
            <wp:positionV relativeFrom="paragraph">
              <wp:posOffset>-1922145</wp:posOffset>
            </wp:positionV>
            <wp:extent cx="8255" cy="1816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181610"/>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-1922145</wp:posOffset>
            </wp:positionV>
            <wp:extent cx="8255" cy="1816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18161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-1922145</wp:posOffset>
            </wp:positionV>
            <wp:extent cx="8255" cy="1816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18161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-1922145</wp:posOffset>
            </wp:positionV>
            <wp:extent cx="8255" cy="1816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181610"/>
                    </a:xfrm>
                    <a:prstGeom prst="rect">
                      <a:avLst/>
                    </a:prstGeom>
                    <a:noFill/>
                  </pic:spPr>
                </pic:pic>
              </a:graphicData>
            </a:graphic>
          </wp:anchor>
        </w:drawing>
      </w:r>
    </w:p>
    <w:p>
      <w:pPr>
        <w:spacing w:after="0" w:line="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NOTES, continued:</w:t>
      </w:r>
    </w:p>
    <w:p>
      <w:pPr>
        <w:spacing w:after="0" w:line="116" w:lineRule="exact"/>
        <w:rPr>
          <w:sz w:val="20"/>
          <w:szCs w:val="20"/>
          <w:color w:val="auto"/>
        </w:rPr>
      </w:pPr>
    </w:p>
    <w:p>
      <w:pPr>
        <w:ind w:left="1620" w:right="200" w:hanging="499"/>
        <w:spacing w:after="0" w:line="249" w:lineRule="auto"/>
        <w:tabs>
          <w:tab w:leader="none" w:pos="1600" w:val="left"/>
        </w:tabs>
        <w:rPr>
          <w:sz w:val="20"/>
          <w:szCs w:val="20"/>
          <w:color w:val="auto"/>
        </w:rPr>
      </w:pPr>
      <w:r>
        <w:rPr>
          <w:rFonts w:ascii="Arial" w:cs="Arial" w:eastAsia="Arial" w:hAnsi="Arial"/>
          <w:sz w:val="17"/>
          <w:szCs w:val="17"/>
          <w:color w:val="auto"/>
        </w:rPr>
        <w:t> (3)</w:t>
        <w:tab/>
        <w:t>In 2024 and 2025, the other Named Executive Officers were Mr. Hevert, Mr. Hurstak, Mr. Eisfeller, and Mr. LeBlanc. In 2023, the other Named Executive Officers were Mr. Hevert, Mr. Hurstak, Mr. Eisfeller, Mr. LeBlanc, and Todd R. Black. Mr. Black retired from the Company on May 1, 2023. In 2022, the other Named Executive Officers were Mr. Hevert, Mr. Black, Mr. Eisfeller and Mr. LeBlanc. In 2021, the other Named Executive Officers were Mr. Hevert, Mr. Black, Mr. Eisfeller, Mr. LeBlanc, and Laurence M. Brock. Mr. Brock retired from the Company in July 2021.</w:t>
      </w:r>
    </w:p>
    <w:p>
      <w:pPr>
        <w:spacing w:after="0" w:line="78" w:lineRule="exact"/>
        <w:rPr>
          <w:sz w:val="20"/>
          <w:szCs w:val="20"/>
          <w:color w:val="auto"/>
        </w:rPr>
      </w:pPr>
    </w:p>
    <w:p>
      <w:pPr>
        <w:ind w:left="1620" w:right="320" w:hanging="499"/>
        <w:spacing w:after="0" w:line="280" w:lineRule="auto"/>
        <w:tabs>
          <w:tab w:leader="none" w:pos="1600" w:val="left"/>
        </w:tabs>
        <w:rPr>
          <w:sz w:val="20"/>
          <w:szCs w:val="20"/>
          <w:color w:val="auto"/>
        </w:rPr>
      </w:pPr>
      <w:r>
        <w:rPr>
          <w:rFonts w:ascii="Arial" w:cs="Arial" w:eastAsia="Arial" w:hAnsi="Arial"/>
          <w:sz w:val="17"/>
          <w:szCs w:val="17"/>
          <w:color w:val="auto"/>
        </w:rPr>
        <w:t> (4)</w:t>
        <w:tab/>
        <w:t>TSR is determined based on the value of an initial fixed investment of $100 at December 31, 2020. The TSR peer group consists of the S&amp;P 500 Utilities Index. Source of data: S&amp;P Dow Jones Indices LLC.</w:t>
      </w:r>
    </w:p>
    <w:p>
      <w:pPr>
        <w:spacing w:after="0" w:line="51" w:lineRule="exact"/>
        <w:rPr>
          <w:sz w:val="20"/>
          <w:szCs w:val="20"/>
          <w:color w:val="auto"/>
        </w:rPr>
      </w:pPr>
    </w:p>
    <w:p>
      <w:pPr>
        <w:ind w:left="1620" w:right="100" w:hanging="499"/>
        <w:spacing w:after="0" w:line="247" w:lineRule="auto"/>
        <w:tabs>
          <w:tab w:leader="none" w:pos="1600" w:val="left"/>
        </w:tabs>
        <w:rPr>
          <w:sz w:val="20"/>
          <w:szCs w:val="20"/>
          <w:color w:val="auto"/>
        </w:rPr>
      </w:pPr>
      <w:r>
        <w:rPr>
          <w:rFonts w:ascii="Arial" w:cs="Arial" w:eastAsia="Arial" w:hAnsi="Arial"/>
          <w:sz w:val="17"/>
          <w:szCs w:val="17"/>
          <w:color w:val="auto"/>
        </w:rPr>
        <w:t> (5)</w:t>
        <w:tab/>
        <w:t>For the purpose of calculating the 2025 performance of the “EPS” metric in the Management Incentive Plan, the Committee made the decision in January 2025, when the metrics were established, to use the reported Adjusted non-GAAP EPS for 2025</w:t>
      </w:r>
      <w:r>
        <w:rPr>
          <w:rFonts w:ascii="Arial" w:cs="Arial" w:eastAsia="Arial" w:hAnsi="Arial"/>
          <w:sz w:val="10"/>
          <w:szCs w:val="10"/>
          <w:color w:val="auto"/>
        </w:rPr>
        <w:t>15</w:t>
      </w:r>
      <w:r>
        <w:rPr>
          <w:rFonts w:ascii="Arial" w:cs="Arial" w:eastAsia="Arial" w:hAnsi="Arial"/>
          <w:sz w:val="17"/>
          <w:szCs w:val="17"/>
          <w:color w:val="auto"/>
        </w:rPr>
        <w:t xml:space="preserve"> to allow for the transaction costs associated with the acquisitions of Bangor Natural Gas Company and Maine Natural Gas Corporation, both of which were completed in 2025, and the pending acquisition of Aquarion Water Company of Massachusetts, Inc., Aquarion Water Company of New Hampshire, Inc., and Abenaki Water Co., Inc.</w:t>
      </w:r>
    </w:p>
    <w:p>
      <w:pPr>
        <w:spacing w:after="0" w:line="79" w:lineRule="exact"/>
        <w:rPr>
          <w:sz w:val="20"/>
          <w:szCs w:val="20"/>
          <w:color w:val="auto"/>
        </w:rPr>
      </w:pPr>
    </w:p>
    <w:p>
      <w:pPr>
        <w:jc w:val="both"/>
        <w:ind w:left="1620" w:right="140" w:hanging="499"/>
        <w:spacing w:after="0" w:line="259" w:lineRule="auto"/>
        <w:tabs>
          <w:tab w:leader="none" w:pos="1600" w:val="left"/>
        </w:tabs>
        <w:rPr>
          <w:sz w:val="20"/>
          <w:szCs w:val="20"/>
          <w:color w:val="auto"/>
        </w:rPr>
      </w:pPr>
      <w:r>
        <w:rPr>
          <w:rFonts w:ascii="Arial" w:cs="Arial" w:eastAsia="Arial" w:hAnsi="Arial"/>
          <w:sz w:val="17"/>
          <w:szCs w:val="17"/>
          <w:color w:val="auto"/>
        </w:rPr>
        <w:t> (6)</w:t>
        <w:tab/>
        <w:t>Reported EPS in 2024 was $ 2.93. The Compensation Committee made a discretionary $0.04 adjustment to account for the financial impact of the transaction costs incurred in 2024 associated with then-pending acquisition of Bangor Natural Gas Company.</w:t>
      </w:r>
    </w:p>
    <w:p>
      <w:pPr>
        <w:spacing w:after="0" w:line="69"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7"/>
          <w:szCs w:val="17"/>
          <w:color w:val="auto"/>
        </w:rPr>
        <w:t> (7)</w:t>
        <w:tab/>
        <w:t>All values shown reflect the pension service cost in the applicable year.</w:t>
      </w:r>
    </w:p>
    <w:p>
      <w:pPr>
        <w:spacing w:after="0" w:line="200" w:lineRule="exact"/>
        <w:rPr>
          <w:sz w:val="20"/>
          <w:szCs w:val="20"/>
          <w:color w:val="auto"/>
        </w:rPr>
      </w:pPr>
    </w:p>
    <w:p>
      <w:pPr>
        <w:spacing w:after="0" w:line="310"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Relationship of Compensation Actually Paid to Performance Measures</w:t>
      </w:r>
    </w:p>
    <w:p>
      <w:pPr>
        <w:spacing w:after="0" w:line="96" w:lineRule="exact"/>
        <w:rPr>
          <w:sz w:val="20"/>
          <w:szCs w:val="20"/>
          <w:color w:val="auto"/>
        </w:rPr>
      </w:pPr>
    </w:p>
    <w:p>
      <w:pPr>
        <w:jc w:val="both"/>
        <w:ind w:left="640" w:right="360"/>
        <w:spacing w:after="0" w:line="259" w:lineRule="auto"/>
        <w:rPr>
          <w:sz w:val="20"/>
          <w:szCs w:val="20"/>
          <w:color w:val="auto"/>
        </w:rPr>
      </w:pPr>
      <w:r>
        <w:rPr>
          <w:rFonts w:ascii="Arial" w:cs="Arial" w:eastAsia="Arial" w:hAnsi="Arial"/>
          <w:sz w:val="20"/>
          <w:szCs w:val="20"/>
          <w:color w:val="auto"/>
        </w:rPr>
        <w:t xml:space="preserve">The Compensation Committee and the Board believe the table above shows general alignment between compensation actually paid (“CAP”) to Named Executive Officers and our Company’s performance and is consistent with the compensation philosophy as described in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section of this proxy statement. The Committee and the Board believe that TSR is not a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62865</wp:posOffset>
            </wp:positionV>
            <wp:extent cx="202184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114" w:lineRule="exact"/>
        <w:rPr>
          <w:sz w:val="20"/>
          <w:szCs w:val="20"/>
          <w:color w:val="auto"/>
        </w:rPr>
      </w:pPr>
    </w:p>
    <w:p>
      <w:pPr>
        <w:ind w:left="1020" w:hanging="386"/>
        <w:spacing w:after="0"/>
        <w:tabs>
          <w:tab w:leader="none" w:pos="1020" w:val="left"/>
        </w:tabs>
        <w:numPr>
          <w:ilvl w:val="0"/>
          <w:numId w:val="49"/>
        </w:numPr>
        <w:rPr>
          <w:rFonts w:ascii="Arial" w:cs="Arial" w:eastAsia="Arial" w:hAnsi="Arial"/>
          <w:sz w:val="11"/>
          <w:szCs w:val="11"/>
          <w:color w:val="auto"/>
        </w:rPr>
      </w:pPr>
      <w:r>
        <w:rPr>
          <w:rFonts w:ascii="Arial" w:cs="Arial" w:eastAsia="Arial" w:hAnsi="Arial"/>
          <w:sz w:val="17"/>
          <w:szCs w:val="17"/>
          <w:color w:val="auto"/>
        </w:rPr>
        <w:t>2025 Adjusted non-GAAP EPS was $3.16, and GAAP EPS was $2.97.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167005</wp:posOffset>
            </wp:positionV>
            <wp:extent cx="6337300" cy="825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640"/>
          </w:cols>
          <w:pgMar w:left="320" w:top="470" w:right="9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60"/>
        <w:spacing w:after="0" w:line="238" w:lineRule="auto"/>
        <w:rPr>
          <w:sz w:val="20"/>
          <w:szCs w:val="20"/>
          <w:color w:val="auto"/>
        </w:rPr>
      </w:pPr>
      <w:r>
        <w:rPr>
          <w:rFonts w:ascii="Arial" w:cs="Arial" w:eastAsia="Arial" w:hAnsi="Arial"/>
          <w:sz w:val="21"/>
          <w:szCs w:val="21"/>
          <w:color w:val="auto"/>
        </w:rPr>
        <w:t>incentive performance measure upon which to base compensation decisions for a small cap regulated transmission and distribution utility company because it is not a measure that is fully controllable and therefore not reflective of management’s efforts with regard to the quality of financial performance. The Committee instead believes EPS is the most meaningful financial performance measure upon which to base compensation decisions, but that EPS also needs to be balanced with a mix of additional financial measures, and operations-related financial and non-financial measures to reflect the overall performance of our Company.</w:t>
      </w:r>
    </w:p>
    <w:p>
      <w:pPr>
        <w:spacing w:after="0" w:line="169" w:lineRule="exact"/>
        <w:rPr>
          <w:sz w:val="20"/>
          <w:szCs w:val="20"/>
          <w:color w:val="auto"/>
        </w:rPr>
      </w:pPr>
    </w:p>
    <w:p>
      <w:pPr>
        <w:ind w:left="640" w:right="80"/>
        <w:spacing w:after="0" w:line="236" w:lineRule="auto"/>
        <w:rPr>
          <w:sz w:val="20"/>
          <w:szCs w:val="20"/>
          <w:color w:val="auto"/>
        </w:rPr>
      </w:pPr>
      <w:r>
        <w:rPr>
          <w:rFonts w:ascii="Arial" w:cs="Arial" w:eastAsia="Arial" w:hAnsi="Arial"/>
          <w:sz w:val="21"/>
          <w:szCs w:val="21"/>
          <w:color w:val="auto"/>
        </w:rPr>
        <w:t xml:space="preserve">The Long-Term Equity Compensation Plan (the “LTIP”) was approved by the Compensation Committee and became effective in January 2023. There are two financial measures, each weighted equally at 50%, to apply to Performance Restricted Shares. The Performance Restricted Shares will vest after a performance period of three years, in an amount based on the attainment of certain performance thresholds of certain defined performance metrics, each as set by the Compensation Committee at the beginning of the performance period. Further, the disparity between Summary Compensation Table totals and Compensation Actually Paid to the CEO and non-CEO NEOs in 2022 is reflective of no award of equity compensation 2022. The Committee elected to treat 2022 as a transition year in anticipation of the LTIP, as noted above, becoming effective on January 1, 2023. </w:t>
      </w:r>
      <w:r>
        <w:rPr>
          <w:rFonts w:ascii="Arial" w:cs="Arial" w:eastAsia="Arial" w:hAnsi="Arial"/>
          <w:sz w:val="21"/>
          <w:szCs w:val="21"/>
          <w:i w:val="1"/>
          <w:iCs w:val="1"/>
          <w:color w:val="auto"/>
        </w:rPr>
        <w:t>See the section entitled Long-term Incentive Compensation</w:t>
      </w:r>
      <w:r>
        <w:rPr>
          <w:rFonts w:ascii="Arial" w:cs="Arial" w:eastAsia="Arial" w:hAnsi="Arial"/>
          <w:sz w:val="21"/>
          <w:szCs w:val="21"/>
          <w:color w:val="auto"/>
        </w:rPr>
        <w:t xml:space="preserve"> </w:t>
      </w:r>
      <w:r>
        <w:rPr>
          <w:rFonts w:ascii="Arial" w:cs="Arial" w:eastAsia="Arial" w:hAnsi="Arial"/>
          <w:sz w:val="21"/>
          <w:szCs w:val="21"/>
          <w:i w:val="1"/>
          <w:iCs w:val="1"/>
          <w:color w:val="auto"/>
        </w:rPr>
        <w:t>Program of this proxy statement for additional information on the LTIP.</w:t>
      </w:r>
    </w:p>
    <w:p>
      <w:pPr>
        <w:spacing w:after="0" w:line="172" w:lineRule="exact"/>
        <w:rPr>
          <w:sz w:val="20"/>
          <w:szCs w:val="20"/>
          <w:color w:val="auto"/>
        </w:rPr>
      </w:pPr>
    </w:p>
    <w:p>
      <w:pPr>
        <w:ind w:left="640" w:right="160"/>
        <w:spacing w:after="0" w:line="264" w:lineRule="auto"/>
        <w:rPr>
          <w:sz w:val="20"/>
          <w:szCs w:val="20"/>
          <w:color w:val="auto"/>
        </w:rPr>
      </w:pPr>
      <w:r>
        <w:rPr>
          <w:rFonts w:ascii="Arial" w:cs="Arial" w:eastAsia="Arial" w:hAnsi="Arial"/>
          <w:sz w:val="21"/>
          <w:szCs w:val="21"/>
          <w:color w:val="auto"/>
        </w:rPr>
        <w:t>The performance measures identified as the most important for Named Executive Officers’ cash and equity incentive compensation decisions for 2021 through 2025 are shown in the table below.</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26"/>
        </w:trPr>
        <w:tc>
          <w:tcPr>
            <w:tcW w:w="4840" w:type="dxa"/>
            <w:vAlign w:val="bottom"/>
            <w:vMerge w:val="restart"/>
          </w:tcPr>
          <w:p>
            <w:pPr>
              <w:spacing w:after="0"/>
              <w:rPr>
                <w:sz w:val="20"/>
                <w:szCs w:val="20"/>
                <w:color w:val="auto"/>
              </w:rPr>
            </w:pPr>
            <w:r>
              <w:rPr>
                <w:rFonts w:ascii="Arial" w:cs="Arial" w:eastAsia="Arial" w:hAnsi="Arial"/>
                <w:sz w:val="21"/>
                <w:szCs w:val="21"/>
                <w:color w:val="auto"/>
              </w:rPr>
              <w:t>In 2021, 2022 and 2023, EPS exceeded the target,</w:t>
            </w:r>
          </w:p>
        </w:tc>
        <w:tc>
          <w:tcPr>
            <w:tcW w:w="214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840" w:type="dxa"/>
            <w:vAlign w:val="bottom"/>
            <w:vMerge w:val="continue"/>
          </w:tcPr>
          <w:p>
            <w:pPr>
              <w:spacing w:after="0"/>
              <w:rPr>
                <w:sz w:val="20"/>
                <w:szCs w:val="20"/>
                <w:color w:val="auto"/>
              </w:rPr>
            </w:pPr>
          </w:p>
        </w:tc>
        <w:tc>
          <w:tcPr>
            <w:tcW w:w="4640" w:type="dxa"/>
            <w:vAlign w:val="bottom"/>
            <w:gridSpan w:val="3"/>
            <w:shd w:val="clear" w:color="auto" w:fill="314A72"/>
          </w:tcPr>
          <w:p>
            <w:pPr>
              <w:jc w:val="center"/>
              <w:ind w:left="193"/>
              <w:spacing w:after="0"/>
              <w:rPr>
                <w:sz w:val="20"/>
                <w:szCs w:val="20"/>
                <w:color w:val="auto"/>
              </w:rPr>
            </w:pPr>
            <w:r>
              <w:rPr>
                <w:rFonts w:ascii="Arial" w:cs="Arial" w:eastAsia="Arial" w:hAnsi="Arial"/>
                <w:sz w:val="17"/>
                <w:szCs w:val="17"/>
                <w:b w:val="1"/>
                <w:bCs w:val="1"/>
                <w:color w:val="FFFFFF"/>
              </w:rPr>
              <w:t>Most Important Performance Measures</w:t>
            </w:r>
          </w:p>
        </w:tc>
        <w:tc>
          <w:tcPr>
            <w:tcW w:w="500" w:type="dxa"/>
            <w:vAlign w:val="bottom"/>
            <w:shd w:val="clear" w:color="auto" w:fill="314A72"/>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4840" w:type="dxa"/>
            <w:vAlign w:val="bottom"/>
            <w:vMerge w:val="restart"/>
          </w:tcPr>
          <w:p>
            <w:pPr>
              <w:spacing w:after="0" w:line="208" w:lineRule="exact"/>
              <w:rPr>
                <w:sz w:val="20"/>
                <w:szCs w:val="20"/>
                <w:color w:val="auto"/>
              </w:rPr>
            </w:pPr>
            <w:r>
              <w:rPr>
                <w:rFonts w:ascii="Arial" w:cs="Arial" w:eastAsia="Arial" w:hAnsi="Arial"/>
                <w:sz w:val="21"/>
                <w:szCs w:val="21"/>
                <w:color w:val="auto"/>
              </w:rPr>
              <w:t>and CAP was well-aligned with EPS in those years.</w:t>
            </w:r>
          </w:p>
        </w:tc>
        <w:tc>
          <w:tcPr>
            <w:tcW w:w="2080" w:type="dxa"/>
            <w:vAlign w:val="bottom"/>
            <w:shd w:val="clear" w:color="auto" w:fill="314A72"/>
          </w:tcPr>
          <w:p>
            <w:pPr>
              <w:spacing w:after="0"/>
              <w:rPr>
                <w:sz w:val="11"/>
                <w:szCs w:val="11"/>
                <w:color w:val="auto"/>
              </w:rPr>
            </w:pPr>
          </w:p>
        </w:tc>
        <w:tc>
          <w:tcPr>
            <w:tcW w:w="60" w:type="dxa"/>
            <w:vAlign w:val="bottom"/>
            <w:shd w:val="clear" w:color="auto" w:fill="314A72"/>
          </w:tcPr>
          <w:p>
            <w:pPr>
              <w:spacing w:after="0"/>
              <w:rPr>
                <w:sz w:val="11"/>
                <w:szCs w:val="11"/>
                <w:color w:val="auto"/>
              </w:rPr>
            </w:pPr>
          </w:p>
        </w:tc>
        <w:tc>
          <w:tcPr>
            <w:tcW w:w="2500" w:type="dxa"/>
            <w:vAlign w:val="bottom"/>
            <w:shd w:val="clear" w:color="auto" w:fill="314A72"/>
          </w:tcPr>
          <w:p>
            <w:pPr>
              <w:spacing w:after="0"/>
              <w:rPr>
                <w:sz w:val="11"/>
                <w:szCs w:val="11"/>
                <w:color w:val="auto"/>
              </w:rPr>
            </w:pPr>
          </w:p>
        </w:tc>
        <w:tc>
          <w:tcPr>
            <w:tcW w:w="500" w:type="dxa"/>
            <w:vAlign w:val="bottom"/>
            <w:shd w:val="clear" w:color="auto" w:fill="314A72"/>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4840" w:type="dxa"/>
            <w:vAlign w:val="bottom"/>
            <w:vMerge w:val="continue"/>
          </w:tcPr>
          <w:p>
            <w:pPr>
              <w:spacing w:after="0"/>
              <w:rPr>
                <w:sz w:val="6"/>
                <w:szCs w:val="6"/>
                <w:color w:val="auto"/>
              </w:rPr>
            </w:pPr>
          </w:p>
        </w:tc>
        <w:tc>
          <w:tcPr>
            <w:tcW w:w="4640" w:type="dxa"/>
            <w:vAlign w:val="bottom"/>
            <w:gridSpan w:val="3"/>
            <w:vMerge w:val="restart"/>
            <w:shd w:val="clear" w:color="auto" w:fill="DAE6F2"/>
          </w:tcPr>
          <w:p>
            <w:pPr>
              <w:jc w:val="center"/>
              <w:ind w:left="193"/>
              <w:spacing w:after="0"/>
              <w:rPr>
                <w:sz w:val="20"/>
                <w:szCs w:val="20"/>
                <w:color w:val="auto"/>
              </w:rPr>
            </w:pPr>
            <w:r>
              <w:rPr>
                <w:rFonts w:ascii="Arial" w:cs="Arial" w:eastAsia="Arial" w:hAnsi="Arial"/>
                <w:sz w:val="17"/>
                <w:szCs w:val="17"/>
                <w:b w:val="1"/>
                <w:bCs w:val="1"/>
                <w:color w:val="auto"/>
              </w:rPr>
              <w:t>Cash and Equity: 2021</w:t>
            </w:r>
          </w:p>
        </w:tc>
        <w:tc>
          <w:tcPr>
            <w:tcW w:w="500" w:type="dxa"/>
            <w:vAlign w:val="bottom"/>
            <w:shd w:val="clear" w:color="auto" w:fill="DAE6F2"/>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4840" w:type="dxa"/>
            <w:vAlign w:val="bottom"/>
            <w:vMerge w:val="restart"/>
          </w:tcPr>
          <w:p>
            <w:pPr>
              <w:spacing w:after="0" w:line="234" w:lineRule="exact"/>
              <w:rPr>
                <w:sz w:val="20"/>
                <w:szCs w:val="20"/>
                <w:color w:val="auto"/>
              </w:rPr>
            </w:pPr>
            <w:r>
              <w:rPr>
                <w:rFonts w:ascii="Arial" w:cs="Arial" w:eastAsia="Arial" w:hAnsi="Arial"/>
                <w:sz w:val="21"/>
                <w:szCs w:val="21"/>
                <w:color w:val="auto"/>
              </w:rPr>
              <w:t>CAP was also well-aligned with Net Income in all</w:t>
            </w:r>
          </w:p>
        </w:tc>
        <w:tc>
          <w:tcPr>
            <w:tcW w:w="4640" w:type="dxa"/>
            <w:vAlign w:val="bottom"/>
            <w:tcBorders>
              <w:bottom w:val="single" w:sz="8" w:color="auto"/>
            </w:tcBorders>
            <w:gridSpan w:val="3"/>
            <w:vMerge w:val="continue"/>
            <w:shd w:val="clear" w:color="auto" w:fill="DAE6F2"/>
          </w:tcPr>
          <w:p>
            <w:pPr>
              <w:spacing w:after="0"/>
              <w:rPr>
                <w:sz w:val="11"/>
                <w:szCs w:val="11"/>
                <w:color w:val="auto"/>
              </w:rPr>
            </w:pPr>
          </w:p>
        </w:tc>
        <w:tc>
          <w:tcPr>
            <w:tcW w:w="500" w:type="dxa"/>
            <w:vAlign w:val="bottom"/>
            <w:tcBorders>
              <w:bottom w:val="single" w:sz="8" w:color="auto"/>
            </w:tcBorders>
            <w:shd w:val="clear" w:color="auto" w:fill="DAE6F2"/>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840" w:type="dxa"/>
            <w:vAlign w:val="bottom"/>
            <w:vMerge w:val="continue"/>
          </w:tcPr>
          <w:p>
            <w:pPr>
              <w:spacing w:after="0"/>
              <w:rPr>
                <w:sz w:val="7"/>
                <w:szCs w:val="7"/>
                <w:color w:val="auto"/>
              </w:rPr>
            </w:pPr>
          </w:p>
        </w:tc>
        <w:tc>
          <w:tcPr>
            <w:tcW w:w="2080" w:type="dxa"/>
            <w:vAlign w:val="bottom"/>
            <w:vMerge w:val="restart"/>
            <w:shd w:val="clear" w:color="auto" w:fill="DAE6F2"/>
          </w:tcPr>
          <w:p>
            <w:pPr>
              <w:spacing w:after="0"/>
              <w:rPr>
                <w:sz w:val="20"/>
                <w:szCs w:val="20"/>
                <w:color w:val="auto"/>
              </w:rPr>
            </w:pPr>
            <w:r>
              <w:rPr>
                <w:rFonts w:ascii="Arial" w:cs="Arial" w:eastAsia="Arial" w:hAnsi="Arial"/>
                <w:sz w:val="17"/>
                <w:szCs w:val="17"/>
                <w:b w:val="1"/>
                <w:bCs w:val="1"/>
                <w:color w:val="auto"/>
              </w:rPr>
              <w:t xml:space="preserve">  Financial             </w:t>
            </w:r>
          </w:p>
        </w:tc>
        <w:tc>
          <w:tcPr>
            <w:tcW w:w="60" w:type="dxa"/>
            <w:vAlign w:val="bottom"/>
            <w:shd w:val="clear" w:color="auto" w:fill="DAE6F2"/>
          </w:tcPr>
          <w:p>
            <w:pPr>
              <w:spacing w:after="0"/>
              <w:rPr>
                <w:sz w:val="7"/>
                <w:szCs w:val="7"/>
                <w:color w:val="auto"/>
              </w:rPr>
            </w:pPr>
          </w:p>
        </w:tc>
        <w:tc>
          <w:tcPr>
            <w:tcW w:w="2500" w:type="dxa"/>
            <w:vAlign w:val="bottom"/>
            <w:vMerge w:val="restart"/>
            <w:shd w:val="clear" w:color="auto" w:fill="DAE6F2"/>
          </w:tcPr>
          <w:p>
            <w:pPr>
              <w:spacing w:after="0"/>
              <w:rPr>
                <w:sz w:val="20"/>
                <w:szCs w:val="20"/>
                <w:color w:val="auto"/>
              </w:rPr>
            </w:pPr>
            <w:r>
              <w:rPr>
                <w:rFonts w:ascii="Arial" w:cs="Arial" w:eastAsia="Arial" w:hAnsi="Arial"/>
                <w:sz w:val="17"/>
                <w:szCs w:val="17"/>
                <w:color w:val="auto"/>
              </w:rPr>
              <w:t>Earnings Per Share</w:t>
            </w:r>
          </w:p>
        </w:tc>
        <w:tc>
          <w:tcPr>
            <w:tcW w:w="500" w:type="dxa"/>
            <w:vAlign w:val="bottom"/>
            <w:vMerge w:val="restart"/>
            <w:shd w:val="clear" w:color="auto" w:fill="DAE6F2"/>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8"/>
        </w:trPr>
        <w:tc>
          <w:tcPr>
            <w:tcW w:w="4840" w:type="dxa"/>
            <w:vAlign w:val="bottom"/>
            <w:vMerge w:val="restart"/>
          </w:tcPr>
          <w:p>
            <w:pPr>
              <w:spacing w:after="0" w:line="234" w:lineRule="exact"/>
              <w:rPr>
                <w:sz w:val="20"/>
                <w:szCs w:val="20"/>
                <w:color w:val="auto"/>
              </w:rPr>
            </w:pPr>
            <w:r>
              <w:rPr>
                <w:rFonts w:ascii="Arial" w:cs="Arial" w:eastAsia="Arial" w:hAnsi="Arial"/>
                <w:sz w:val="21"/>
                <w:szCs w:val="21"/>
                <w:color w:val="auto"/>
                <w:w w:val="98"/>
              </w:rPr>
              <w:t>years. In 2024 and 2025, EPS lagged slightly behind</w:t>
            </w:r>
          </w:p>
        </w:tc>
        <w:tc>
          <w:tcPr>
            <w:tcW w:w="2080" w:type="dxa"/>
            <w:vAlign w:val="bottom"/>
            <w:vMerge w:val="continue"/>
            <w:shd w:val="clear" w:color="auto" w:fill="DAE6F2"/>
          </w:tcPr>
          <w:p>
            <w:pPr>
              <w:spacing w:after="0"/>
              <w:rPr>
                <w:sz w:val="18"/>
                <w:szCs w:val="18"/>
                <w:color w:val="auto"/>
              </w:rPr>
            </w:pPr>
          </w:p>
        </w:tc>
        <w:tc>
          <w:tcPr>
            <w:tcW w:w="60" w:type="dxa"/>
            <w:vAlign w:val="bottom"/>
            <w:shd w:val="clear" w:color="auto" w:fill="DAE6F2"/>
          </w:tcPr>
          <w:p>
            <w:pPr>
              <w:spacing w:after="0"/>
              <w:rPr>
                <w:sz w:val="18"/>
                <w:szCs w:val="18"/>
                <w:color w:val="auto"/>
              </w:rPr>
            </w:pPr>
          </w:p>
        </w:tc>
        <w:tc>
          <w:tcPr>
            <w:tcW w:w="2500" w:type="dxa"/>
            <w:vAlign w:val="bottom"/>
            <w:vMerge w:val="continue"/>
            <w:shd w:val="clear" w:color="auto" w:fill="DAE6F2"/>
          </w:tcPr>
          <w:p>
            <w:pPr>
              <w:spacing w:after="0"/>
              <w:rPr>
                <w:sz w:val="18"/>
                <w:szCs w:val="18"/>
                <w:color w:val="auto"/>
              </w:rPr>
            </w:pPr>
          </w:p>
        </w:tc>
        <w:tc>
          <w:tcPr>
            <w:tcW w:w="500" w:type="dxa"/>
            <w:vAlign w:val="bottom"/>
            <w:vMerge w:val="continue"/>
            <w:shd w:val="clear" w:color="auto" w:fill="DAE6F2"/>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40" w:type="dxa"/>
            <w:vAlign w:val="bottom"/>
            <w:vMerge w:val="continue"/>
          </w:tcPr>
          <w:p>
            <w:pPr>
              <w:spacing w:after="0"/>
              <w:rPr>
                <w:sz w:val="2"/>
                <w:szCs w:val="2"/>
                <w:color w:val="auto"/>
              </w:rPr>
            </w:pPr>
          </w:p>
        </w:tc>
        <w:tc>
          <w:tcPr>
            <w:tcW w:w="2080" w:type="dxa"/>
            <w:vAlign w:val="bottom"/>
            <w:vMerge w:val="continue"/>
            <w:shd w:val="clear" w:color="auto" w:fill="DAE6F2"/>
          </w:tcPr>
          <w:p>
            <w:pPr>
              <w:spacing w:after="0"/>
              <w:rPr>
                <w:sz w:val="2"/>
                <w:szCs w:val="2"/>
                <w:color w:val="auto"/>
              </w:rPr>
            </w:pPr>
          </w:p>
        </w:tc>
        <w:tc>
          <w:tcPr>
            <w:tcW w:w="60" w:type="dxa"/>
            <w:vAlign w:val="bottom"/>
            <w:shd w:val="clear" w:color="auto" w:fill="DAE6F2"/>
          </w:tcPr>
          <w:p>
            <w:pPr>
              <w:spacing w:after="0"/>
              <w:rPr>
                <w:sz w:val="2"/>
                <w:szCs w:val="2"/>
                <w:color w:val="auto"/>
              </w:rPr>
            </w:pPr>
          </w:p>
        </w:tc>
        <w:tc>
          <w:tcPr>
            <w:tcW w:w="2500" w:type="dxa"/>
            <w:vAlign w:val="bottom"/>
            <w:vMerge w:val="restart"/>
            <w:shd w:val="clear" w:color="auto" w:fill="DAE6F2"/>
          </w:tcPr>
          <w:p>
            <w:pPr>
              <w:spacing w:after="0"/>
              <w:rPr>
                <w:sz w:val="20"/>
                <w:szCs w:val="20"/>
                <w:color w:val="auto"/>
              </w:rPr>
            </w:pPr>
            <w:r>
              <w:rPr>
                <w:rFonts w:ascii="Arial" w:cs="Arial" w:eastAsia="Arial" w:hAnsi="Arial"/>
                <w:sz w:val="17"/>
                <w:szCs w:val="17"/>
                <w:color w:val="auto"/>
              </w:rPr>
              <w:t>O&amp;M Cost Per Customer</w:t>
            </w:r>
          </w:p>
        </w:tc>
        <w:tc>
          <w:tcPr>
            <w:tcW w:w="500" w:type="dxa"/>
            <w:vAlign w:val="bottom"/>
            <w:shd w:val="clear" w:color="auto" w:fill="DAE6F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6"/>
        </w:trPr>
        <w:tc>
          <w:tcPr>
            <w:tcW w:w="4840" w:type="dxa"/>
            <w:vAlign w:val="bottom"/>
          </w:tcPr>
          <w:p>
            <w:pPr>
              <w:spacing w:after="0" w:line="234" w:lineRule="exact"/>
              <w:rPr>
                <w:sz w:val="20"/>
                <w:szCs w:val="20"/>
                <w:color w:val="auto"/>
              </w:rPr>
            </w:pPr>
            <w:r>
              <w:rPr>
                <w:rFonts w:ascii="Arial" w:cs="Arial" w:eastAsia="Arial" w:hAnsi="Arial"/>
                <w:sz w:val="21"/>
                <w:szCs w:val="21"/>
                <w:color w:val="auto"/>
              </w:rPr>
              <w:t>target. However, EPS in both 2024 and 2025</w:t>
            </w:r>
          </w:p>
        </w:tc>
        <w:tc>
          <w:tcPr>
            <w:tcW w:w="2080" w:type="dxa"/>
            <w:vAlign w:val="bottom"/>
            <w:tcBorders>
              <w:bottom w:val="single" w:sz="8" w:color="DAE6F2"/>
            </w:tcBorders>
            <w:shd w:val="clear" w:color="auto" w:fill="DAE6F2"/>
          </w:tcPr>
          <w:p>
            <w:pPr>
              <w:spacing w:after="0"/>
              <w:rPr>
                <w:sz w:val="24"/>
                <w:szCs w:val="24"/>
                <w:color w:val="auto"/>
              </w:rPr>
            </w:pPr>
          </w:p>
        </w:tc>
        <w:tc>
          <w:tcPr>
            <w:tcW w:w="60" w:type="dxa"/>
            <w:vAlign w:val="bottom"/>
            <w:tcBorders>
              <w:bottom w:val="single" w:sz="8" w:color="DAE6F2"/>
            </w:tcBorders>
            <w:shd w:val="clear" w:color="auto" w:fill="DAE6F2"/>
          </w:tcPr>
          <w:p>
            <w:pPr>
              <w:spacing w:after="0"/>
              <w:rPr>
                <w:sz w:val="24"/>
                <w:szCs w:val="24"/>
                <w:color w:val="auto"/>
              </w:rPr>
            </w:pPr>
          </w:p>
        </w:tc>
        <w:tc>
          <w:tcPr>
            <w:tcW w:w="2500" w:type="dxa"/>
            <w:vAlign w:val="bottom"/>
            <w:tcBorders>
              <w:bottom w:val="single" w:sz="8" w:color="DAE6F2"/>
            </w:tcBorders>
            <w:vMerge w:val="continue"/>
            <w:shd w:val="clear" w:color="auto" w:fill="DAE6F2"/>
          </w:tcPr>
          <w:p>
            <w:pPr>
              <w:spacing w:after="0"/>
              <w:rPr>
                <w:sz w:val="24"/>
                <w:szCs w:val="24"/>
                <w:color w:val="auto"/>
              </w:rPr>
            </w:pPr>
          </w:p>
        </w:tc>
        <w:tc>
          <w:tcPr>
            <w:tcW w:w="500" w:type="dxa"/>
            <w:vAlign w:val="bottom"/>
            <w:tcBorders>
              <w:bottom w:val="single" w:sz="8" w:color="DAE6F2"/>
            </w:tcBorders>
            <w:shd w:val="clear" w:color="auto" w:fill="DAE6F2"/>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62"/>
        </w:trPr>
        <w:tc>
          <w:tcPr>
            <w:tcW w:w="4840" w:type="dxa"/>
            <w:vAlign w:val="bottom"/>
          </w:tcPr>
          <w:p>
            <w:pPr>
              <w:spacing w:after="0" w:line="162" w:lineRule="exact"/>
              <w:rPr>
                <w:sz w:val="20"/>
                <w:szCs w:val="20"/>
                <w:color w:val="auto"/>
              </w:rPr>
            </w:pPr>
            <w:r>
              <w:rPr>
                <w:rFonts w:ascii="Arial" w:cs="Arial" w:eastAsia="Arial" w:hAnsi="Arial"/>
                <w:sz w:val="18"/>
                <w:szCs w:val="18"/>
                <w:color w:val="auto"/>
              </w:rPr>
              <w:t>included the transaction costs associated with the</w:t>
            </w:r>
          </w:p>
        </w:tc>
        <w:tc>
          <w:tcPr>
            <w:tcW w:w="2080" w:type="dxa"/>
            <w:vAlign w:val="bottom"/>
            <w:tcBorders>
              <w:top w:val="single" w:sz="8" w:color="auto"/>
            </w:tcBorders>
            <w:vMerge w:val="restart"/>
            <w:shd w:val="clear" w:color="auto" w:fill="DAE6F2"/>
          </w:tcPr>
          <w:p>
            <w:pPr>
              <w:spacing w:after="0"/>
              <w:rPr>
                <w:sz w:val="20"/>
                <w:szCs w:val="20"/>
                <w:color w:val="auto"/>
              </w:rPr>
            </w:pPr>
            <w:r>
              <w:rPr>
                <w:rFonts w:ascii="Arial" w:cs="Arial" w:eastAsia="Arial" w:hAnsi="Arial"/>
                <w:sz w:val="17"/>
                <w:szCs w:val="17"/>
                <w:b w:val="1"/>
                <w:bCs w:val="1"/>
                <w:color w:val="auto"/>
              </w:rPr>
              <w:t>  Safety &amp; Reliability </w:t>
            </w:r>
          </w:p>
        </w:tc>
        <w:tc>
          <w:tcPr>
            <w:tcW w:w="60" w:type="dxa"/>
            <w:vAlign w:val="bottom"/>
            <w:tcBorders>
              <w:top w:val="single" w:sz="8" w:color="auto"/>
            </w:tcBorders>
            <w:shd w:val="clear" w:color="auto" w:fill="DAE6F2"/>
          </w:tcPr>
          <w:p>
            <w:pPr>
              <w:spacing w:after="0"/>
              <w:rPr>
                <w:sz w:val="14"/>
                <w:szCs w:val="14"/>
                <w:color w:val="auto"/>
              </w:rPr>
            </w:pPr>
          </w:p>
        </w:tc>
        <w:tc>
          <w:tcPr>
            <w:tcW w:w="2500" w:type="dxa"/>
            <w:vAlign w:val="bottom"/>
            <w:tcBorders>
              <w:top w:val="single" w:sz="8" w:color="auto"/>
            </w:tcBorders>
            <w:vMerge w:val="restart"/>
            <w:shd w:val="clear" w:color="auto" w:fill="DAE6F2"/>
          </w:tcPr>
          <w:p>
            <w:pPr>
              <w:spacing w:after="0"/>
              <w:rPr>
                <w:sz w:val="20"/>
                <w:szCs w:val="20"/>
                <w:color w:val="auto"/>
              </w:rPr>
            </w:pPr>
            <w:r>
              <w:rPr>
                <w:rFonts w:ascii="Arial" w:cs="Arial" w:eastAsia="Arial" w:hAnsi="Arial"/>
                <w:sz w:val="17"/>
                <w:szCs w:val="17"/>
                <w:color w:val="auto"/>
              </w:rPr>
              <w:t>Electric System Reliability</w:t>
            </w:r>
          </w:p>
        </w:tc>
        <w:tc>
          <w:tcPr>
            <w:tcW w:w="500" w:type="dxa"/>
            <w:vAlign w:val="bottom"/>
            <w:tcBorders>
              <w:top w:val="single" w:sz="8" w:color="auto"/>
            </w:tcBorders>
            <w:vMerge w:val="restart"/>
            <w:shd w:val="clear" w:color="auto" w:fill="DAE6F2"/>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00"/>
        </w:trPr>
        <w:tc>
          <w:tcPr>
            <w:tcW w:w="4840" w:type="dxa"/>
            <w:vAlign w:val="bottom"/>
            <w:vMerge w:val="restart"/>
          </w:tcPr>
          <w:p>
            <w:pPr>
              <w:spacing w:after="0" w:line="234" w:lineRule="exact"/>
              <w:rPr>
                <w:sz w:val="20"/>
                <w:szCs w:val="20"/>
                <w:color w:val="auto"/>
              </w:rPr>
            </w:pPr>
            <w:r>
              <w:rPr>
                <w:rFonts w:ascii="Arial" w:cs="Arial" w:eastAsia="Arial" w:hAnsi="Arial"/>
                <w:sz w:val="21"/>
                <w:szCs w:val="21"/>
                <w:color w:val="auto"/>
              </w:rPr>
              <w:t>then pending acquisition of Bangor Natural Gas</w:t>
            </w:r>
          </w:p>
        </w:tc>
        <w:tc>
          <w:tcPr>
            <w:tcW w:w="2080" w:type="dxa"/>
            <w:vAlign w:val="bottom"/>
            <w:vMerge w:val="continue"/>
            <w:shd w:val="clear" w:color="auto" w:fill="DAE6F2"/>
          </w:tcPr>
          <w:p>
            <w:pPr>
              <w:spacing w:after="0"/>
              <w:rPr>
                <w:sz w:val="8"/>
                <w:szCs w:val="8"/>
                <w:color w:val="auto"/>
              </w:rPr>
            </w:pPr>
          </w:p>
        </w:tc>
        <w:tc>
          <w:tcPr>
            <w:tcW w:w="60" w:type="dxa"/>
            <w:vAlign w:val="bottom"/>
            <w:shd w:val="clear" w:color="auto" w:fill="DAE6F2"/>
          </w:tcPr>
          <w:p>
            <w:pPr>
              <w:spacing w:after="0"/>
              <w:rPr>
                <w:sz w:val="8"/>
                <w:szCs w:val="8"/>
                <w:color w:val="auto"/>
              </w:rPr>
            </w:pPr>
          </w:p>
        </w:tc>
        <w:tc>
          <w:tcPr>
            <w:tcW w:w="2500" w:type="dxa"/>
            <w:vAlign w:val="bottom"/>
            <w:vMerge w:val="continue"/>
            <w:shd w:val="clear" w:color="auto" w:fill="DAE6F2"/>
          </w:tcPr>
          <w:p>
            <w:pPr>
              <w:spacing w:after="0"/>
              <w:rPr>
                <w:sz w:val="8"/>
                <w:szCs w:val="8"/>
                <w:color w:val="auto"/>
              </w:rPr>
            </w:pPr>
          </w:p>
        </w:tc>
        <w:tc>
          <w:tcPr>
            <w:tcW w:w="500" w:type="dxa"/>
            <w:vAlign w:val="bottom"/>
            <w:vMerge w:val="continue"/>
            <w:shd w:val="clear" w:color="auto" w:fill="DAE6F2"/>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840" w:type="dxa"/>
            <w:vAlign w:val="bottom"/>
            <w:vMerge w:val="continue"/>
          </w:tcPr>
          <w:p>
            <w:pPr>
              <w:spacing w:after="0"/>
              <w:rPr>
                <w:sz w:val="11"/>
                <w:szCs w:val="11"/>
                <w:color w:val="auto"/>
              </w:rPr>
            </w:pPr>
          </w:p>
        </w:tc>
        <w:tc>
          <w:tcPr>
            <w:tcW w:w="2080" w:type="dxa"/>
            <w:vAlign w:val="bottom"/>
            <w:shd w:val="clear" w:color="auto" w:fill="DAE6F2"/>
          </w:tcPr>
          <w:p>
            <w:pPr>
              <w:spacing w:after="0"/>
              <w:rPr>
                <w:sz w:val="11"/>
                <w:szCs w:val="11"/>
                <w:color w:val="auto"/>
              </w:rPr>
            </w:pPr>
          </w:p>
        </w:tc>
        <w:tc>
          <w:tcPr>
            <w:tcW w:w="60" w:type="dxa"/>
            <w:vAlign w:val="bottom"/>
            <w:shd w:val="clear" w:color="auto" w:fill="DAE6F2"/>
          </w:tcPr>
          <w:p>
            <w:pPr>
              <w:spacing w:after="0"/>
              <w:rPr>
                <w:sz w:val="11"/>
                <w:szCs w:val="11"/>
                <w:color w:val="auto"/>
              </w:rPr>
            </w:pPr>
          </w:p>
        </w:tc>
        <w:tc>
          <w:tcPr>
            <w:tcW w:w="2500" w:type="dxa"/>
            <w:vAlign w:val="bottom"/>
            <w:vMerge w:val="restart"/>
            <w:shd w:val="clear" w:color="auto" w:fill="DAE6F2"/>
          </w:tcPr>
          <w:p>
            <w:pPr>
              <w:spacing w:after="0"/>
              <w:rPr>
                <w:sz w:val="20"/>
                <w:szCs w:val="20"/>
                <w:color w:val="auto"/>
              </w:rPr>
            </w:pPr>
            <w:r>
              <w:rPr>
                <w:rFonts w:ascii="Arial" w:cs="Arial" w:eastAsia="Arial" w:hAnsi="Arial"/>
                <w:sz w:val="17"/>
                <w:szCs w:val="17"/>
                <w:color w:val="auto"/>
              </w:rPr>
              <w:t>Gas Emergency Response Time</w:t>
            </w:r>
          </w:p>
        </w:tc>
        <w:tc>
          <w:tcPr>
            <w:tcW w:w="500" w:type="dxa"/>
            <w:vAlign w:val="bottom"/>
            <w:vMerge w:val="restart"/>
            <w:shd w:val="clear" w:color="auto" w:fill="DAE6F2"/>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69"/>
        </w:trPr>
        <w:tc>
          <w:tcPr>
            <w:tcW w:w="4840" w:type="dxa"/>
            <w:vAlign w:val="bottom"/>
            <w:vMerge w:val="restart"/>
          </w:tcPr>
          <w:p>
            <w:pPr>
              <w:spacing w:after="0" w:line="234" w:lineRule="exact"/>
              <w:rPr>
                <w:sz w:val="20"/>
                <w:szCs w:val="20"/>
                <w:color w:val="auto"/>
              </w:rPr>
            </w:pPr>
            <w:r>
              <w:rPr>
                <w:rFonts w:ascii="Arial" w:cs="Arial" w:eastAsia="Arial" w:hAnsi="Arial"/>
                <w:sz w:val="21"/>
                <w:szCs w:val="21"/>
                <w:color w:val="auto"/>
              </w:rPr>
              <w:t>Company in January 2025, and the acquisition of</w:t>
            </w:r>
          </w:p>
        </w:tc>
        <w:tc>
          <w:tcPr>
            <w:tcW w:w="2080" w:type="dxa"/>
            <w:vAlign w:val="bottom"/>
            <w:tcBorders>
              <w:bottom w:val="single" w:sz="8" w:color="DAE6F2"/>
            </w:tcBorders>
            <w:shd w:val="clear" w:color="auto" w:fill="DAE6F2"/>
          </w:tcPr>
          <w:p>
            <w:pPr>
              <w:spacing w:after="0"/>
              <w:rPr>
                <w:sz w:val="14"/>
                <w:szCs w:val="14"/>
                <w:color w:val="auto"/>
              </w:rPr>
            </w:pPr>
          </w:p>
        </w:tc>
        <w:tc>
          <w:tcPr>
            <w:tcW w:w="60" w:type="dxa"/>
            <w:vAlign w:val="bottom"/>
            <w:tcBorders>
              <w:bottom w:val="single" w:sz="8" w:color="DAE6F2"/>
            </w:tcBorders>
            <w:shd w:val="clear" w:color="auto" w:fill="DAE6F2"/>
          </w:tcPr>
          <w:p>
            <w:pPr>
              <w:spacing w:after="0"/>
              <w:rPr>
                <w:sz w:val="14"/>
                <w:szCs w:val="14"/>
                <w:color w:val="auto"/>
              </w:rPr>
            </w:pPr>
          </w:p>
        </w:tc>
        <w:tc>
          <w:tcPr>
            <w:tcW w:w="2500" w:type="dxa"/>
            <w:vAlign w:val="bottom"/>
            <w:tcBorders>
              <w:bottom w:val="single" w:sz="8" w:color="DAE6F2"/>
            </w:tcBorders>
            <w:vMerge w:val="continue"/>
            <w:shd w:val="clear" w:color="auto" w:fill="DAE6F2"/>
          </w:tcPr>
          <w:p>
            <w:pPr>
              <w:spacing w:after="0"/>
              <w:rPr>
                <w:sz w:val="14"/>
                <w:szCs w:val="14"/>
                <w:color w:val="auto"/>
              </w:rPr>
            </w:pPr>
          </w:p>
        </w:tc>
        <w:tc>
          <w:tcPr>
            <w:tcW w:w="500" w:type="dxa"/>
            <w:vAlign w:val="bottom"/>
            <w:tcBorders>
              <w:bottom w:val="single" w:sz="8" w:color="DAE6F2"/>
            </w:tcBorders>
            <w:vMerge w:val="continue"/>
            <w:shd w:val="clear" w:color="auto" w:fill="DAE6F2"/>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4840" w:type="dxa"/>
            <w:vAlign w:val="bottom"/>
            <w:vMerge w:val="continue"/>
          </w:tcPr>
          <w:p>
            <w:pPr>
              <w:spacing w:after="0"/>
              <w:rPr>
                <w:sz w:val="3"/>
                <w:szCs w:val="3"/>
                <w:color w:val="auto"/>
              </w:rPr>
            </w:pPr>
          </w:p>
        </w:tc>
        <w:tc>
          <w:tcPr>
            <w:tcW w:w="2080" w:type="dxa"/>
            <w:vAlign w:val="bottom"/>
            <w:tcBorders>
              <w:top w:val="single" w:sz="8" w:color="auto"/>
            </w:tcBorders>
            <w:vMerge w:val="restart"/>
            <w:shd w:val="clear" w:color="auto" w:fill="DAE6F2"/>
          </w:tcPr>
          <w:p>
            <w:pPr>
              <w:spacing w:after="0"/>
              <w:rPr>
                <w:sz w:val="20"/>
                <w:szCs w:val="20"/>
                <w:color w:val="auto"/>
              </w:rPr>
            </w:pPr>
            <w:r>
              <w:rPr>
                <w:rFonts w:ascii="Arial" w:cs="Arial" w:eastAsia="Arial" w:hAnsi="Arial"/>
                <w:sz w:val="17"/>
                <w:szCs w:val="17"/>
                <w:b w:val="1"/>
                <w:bCs w:val="1"/>
                <w:color w:val="auto"/>
                <w:w w:val="99"/>
              </w:rPr>
              <w:t>  Customer Engagement </w:t>
            </w:r>
          </w:p>
        </w:tc>
        <w:tc>
          <w:tcPr>
            <w:tcW w:w="60" w:type="dxa"/>
            <w:vAlign w:val="bottom"/>
            <w:tcBorders>
              <w:top w:val="single" w:sz="8" w:color="auto"/>
            </w:tcBorders>
            <w:shd w:val="clear" w:color="auto" w:fill="DAE6F2"/>
          </w:tcPr>
          <w:p>
            <w:pPr>
              <w:spacing w:after="0"/>
              <w:rPr>
                <w:sz w:val="3"/>
                <w:szCs w:val="3"/>
                <w:color w:val="auto"/>
              </w:rPr>
            </w:pPr>
          </w:p>
        </w:tc>
        <w:tc>
          <w:tcPr>
            <w:tcW w:w="2500" w:type="dxa"/>
            <w:vAlign w:val="bottom"/>
            <w:tcBorders>
              <w:top w:val="single" w:sz="8" w:color="auto"/>
            </w:tcBorders>
            <w:vMerge w:val="restart"/>
            <w:shd w:val="clear" w:color="auto" w:fill="DAE6F2"/>
          </w:tcPr>
          <w:p>
            <w:pPr>
              <w:spacing w:after="0"/>
              <w:rPr>
                <w:sz w:val="20"/>
                <w:szCs w:val="20"/>
                <w:color w:val="auto"/>
              </w:rPr>
            </w:pPr>
            <w:r>
              <w:rPr>
                <w:rFonts w:ascii="Arial" w:cs="Arial" w:eastAsia="Arial" w:hAnsi="Arial"/>
                <w:sz w:val="17"/>
                <w:szCs w:val="17"/>
                <w:color w:val="auto"/>
              </w:rPr>
              <w:t>Customer Satisfaction</w:t>
            </w:r>
          </w:p>
        </w:tc>
        <w:tc>
          <w:tcPr>
            <w:tcW w:w="500" w:type="dxa"/>
            <w:vAlign w:val="bottom"/>
            <w:tcBorders>
              <w:top w:val="single" w:sz="8" w:color="auto"/>
            </w:tcBorders>
            <w:vMerge w:val="restart"/>
            <w:shd w:val="clear" w:color="auto" w:fill="DAE6F2"/>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56"/>
        </w:trPr>
        <w:tc>
          <w:tcPr>
            <w:tcW w:w="4840" w:type="dxa"/>
            <w:vAlign w:val="bottom"/>
            <w:vMerge w:val="restart"/>
          </w:tcPr>
          <w:p>
            <w:pPr>
              <w:spacing w:after="0" w:line="234" w:lineRule="exact"/>
              <w:rPr>
                <w:sz w:val="20"/>
                <w:szCs w:val="20"/>
                <w:color w:val="auto"/>
              </w:rPr>
            </w:pPr>
            <w:r>
              <w:rPr>
                <w:rFonts w:ascii="Arial" w:cs="Arial" w:eastAsia="Arial" w:hAnsi="Arial"/>
                <w:sz w:val="21"/>
                <w:szCs w:val="21"/>
                <w:color w:val="auto"/>
              </w:rPr>
              <w:t>Maine Natural Gas Corporation in October 2025.</w:t>
            </w:r>
          </w:p>
        </w:tc>
        <w:tc>
          <w:tcPr>
            <w:tcW w:w="2080" w:type="dxa"/>
            <w:vAlign w:val="bottom"/>
            <w:tcBorders>
              <w:bottom w:val="single" w:sz="8" w:color="auto"/>
            </w:tcBorders>
            <w:vMerge w:val="continue"/>
            <w:shd w:val="clear" w:color="auto" w:fill="DAE6F2"/>
          </w:tcPr>
          <w:p>
            <w:pPr>
              <w:spacing w:after="0"/>
              <w:rPr>
                <w:sz w:val="13"/>
                <w:szCs w:val="13"/>
                <w:color w:val="auto"/>
              </w:rPr>
            </w:pPr>
          </w:p>
        </w:tc>
        <w:tc>
          <w:tcPr>
            <w:tcW w:w="60" w:type="dxa"/>
            <w:vAlign w:val="bottom"/>
            <w:tcBorders>
              <w:bottom w:val="single" w:sz="8" w:color="auto"/>
            </w:tcBorders>
            <w:shd w:val="clear" w:color="auto" w:fill="DAE6F2"/>
          </w:tcPr>
          <w:p>
            <w:pPr>
              <w:spacing w:after="0"/>
              <w:rPr>
                <w:sz w:val="13"/>
                <w:szCs w:val="13"/>
                <w:color w:val="auto"/>
              </w:rPr>
            </w:pPr>
          </w:p>
        </w:tc>
        <w:tc>
          <w:tcPr>
            <w:tcW w:w="2500" w:type="dxa"/>
            <w:vAlign w:val="bottom"/>
            <w:tcBorders>
              <w:bottom w:val="single" w:sz="8" w:color="auto"/>
            </w:tcBorders>
            <w:vMerge w:val="continue"/>
            <w:shd w:val="clear" w:color="auto" w:fill="DAE6F2"/>
          </w:tcPr>
          <w:p>
            <w:pPr>
              <w:spacing w:after="0"/>
              <w:rPr>
                <w:sz w:val="13"/>
                <w:szCs w:val="13"/>
                <w:color w:val="auto"/>
              </w:rPr>
            </w:pPr>
          </w:p>
        </w:tc>
        <w:tc>
          <w:tcPr>
            <w:tcW w:w="500" w:type="dxa"/>
            <w:vAlign w:val="bottom"/>
            <w:tcBorders>
              <w:bottom w:val="single" w:sz="8" w:color="auto"/>
            </w:tcBorders>
            <w:vMerge w:val="continue"/>
            <w:shd w:val="clear" w:color="auto" w:fill="DAE6F2"/>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840" w:type="dxa"/>
            <w:vAlign w:val="bottom"/>
            <w:vMerge w:val="continue"/>
          </w:tcPr>
          <w:p>
            <w:pPr>
              <w:spacing w:after="0"/>
              <w:rPr>
                <w:sz w:val="5"/>
                <w:szCs w:val="5"/>
                <w:color w:val="auto"/>
              </w:rPr>
            </w:pPr>
          </w:p>
        </w:tc>
        <w:tc>
          <w:tcPr>
            <w:tcW w:w="4640" w:type="dxa"/>
            <w:vAlign w:val="bottom"/>
            <w:gridSpan w:val="3"/>
            <w:vMerge w:val="restart"/>
            <w:shd w:val="clear" w:color="auto" w:fill="DAE6F2"/>
          </w:tcPr>
          <w:p>
            <w:pPr>
              <w:jc w:val="center"/>
              <w:ind w:left="193"/>
              <w:spacing w:after="0"/>
              <w:rPr>
                <w:sz w:val="20"/>
                <w:szCs w:val="20"/>
                <w:color w:val="auto"/>
              </w:rPr>
            </w:pPr>
            <w:r>
              <w:rPr>
                <w:rFonts w:ascii="Arial" w:cs="Arial" w:eastAsia="Arial" w:hAnsi="Arial"/>
                <w:sz w:val="17"/>
                <w:szCs w:val="17"/>
                <w:b w:val="1"/>
                <w:bCs w:val="1"/>
                <w:color w:val="auto"/>
              </w:rPr>
              <w:t>Cash: 2022-2025</w:t>
            </w:r>
          </w:p>
        </w:tc>
        <w:tc>
          <w:tcPr>
            <w:tcW w:w="500" w:type="dxa"/>
            <w:vAlign w:val="bottom"/>
            <w:shd w:val="clear" w:color="auto" w:fill="DAE6F2"/>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40" w:type="dxa"/>
            <w:vAlign w:val="bottom"/>
            <w:vMerge w:val="restart"/>
          </w:tcPr>
          <w:p>
            <w:pPr>
              <w:spacing w:after="0"/>
              <w:rPr>
                <w:sz w:val="20"/>
                <w:szCs w:val="20"/>
                <w:color w:val="auto"/>
              </w:rPr>
            </w:pPr>
            <w:r>
              <w:rPr>
                <w:rFonts w:ascii="Arial" w:cs="Arial" w:eastAsia="Arial" w:hAnsi="Arial"/>
                <w:sz w:val="21"/>
                <w:szCs w:val="21"/>
                <w:color w:val="auto"/>
              </w:rPr>
              <w:t>The respective transaction costs were not included</w:t>
            </w:r>
          </w:p>
        </w:tc>
        <w:tc>
          <w:tcPr>
            <w:tcW w:w="4640" w:type="dxa"/>
            <w:vAlign w:val="bottom"/>
            <w:tcBorders>
              <w:bottom w:val="single" w:sz="8" w:color="auto"/>
            </w:tcBorders>
            <w:gridSpan w:val="3"/>
            <w:vMerge w:val="continue"/>
            <w:shd w:val="clear" w:color="auto" w:fill="DAE6F2"/>
          </w:tcPr>
          <w:p>
            <w:pPr>
              <w:spacing w:after="0"/>
              <w:rPr>
                <w:sz w:val="12"/>
                <w:szCs w:val="12"/>
                <w:color w:val="auto"/>
              </w:rPr>
            </w:pPr>
          </w:p>
        </w:tc>
        <w:tc>
          <w:tcPr>
            <w:tcW w:w="500" w:type="dxa"/>
            <w:vAlign w:val="bottom"/>
            <w:tcBorders>
              <w:bottom w:val="single" w:sz="8" w:color="auto"/>
            </w:tcBorders>
            <w:shd w:val="clear" w:color="auto" w:fill="DAE6F2"/>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4840" w:type="dxa"/>
            <w:vAlign w:val="bottom"/>
            <w:vMerge w:val="continue"/>
          </w:tcPr>
          <w:p>
            <w:pPr>
              <w:spacing w:after="0"/>
              <w:rPr>
                <w:sz w:val="7"/>
                <w:szCs w:val="7"/>
                <w:color w:val="auto"/>
              </w:rPr>
            </w:pPr>
          </w:p>
        </w:tc>
        <w:tc>
          <w:tcPr>
            <w:tcW w:w="2080" w:type="dxa"/>
            <w:vAlign w:val="bottom"/>
            <w:vMerge w:val="restart"/>
            <w:shd w:val="clear" w:color="auto" w:fill="DAE6F2"/>
          </w:tcPr>
          <w:p>
            <w:pPr>
              <w:spacing w:after="0"/>
              <w:rPr>
                <w:sz w:val="20"/>
                <w:szCs w:val="20"/>
                <w:color w:val="auto"/>
              </w:rPr>
            </w:pPr>
            <w:r>
              <w:rPr>
                <w:rFonts w:ascii="Arial" w:cs="Arial" w:eastAsia="Arial" w:hAnsi="Arial"/>
                <w:sz w:val="17"/>
                <w:szCs w:val="17"/>
                <w:b w:val="1"/>
                <w:bCs w:val="1"/>
                <w:color w:val="auto"/>
              </w:rPr>
              <w:t xml:space="preserve">  Financial             </w:t>
            </w:r>
          </w:p>
        </w:tc>
        <w:tc>
          <w:tcPr>
            <w:tcW w:w="60" w:type="dxa"/>
            <w:vAlign w:val="bottom"/>
            <w:shd w:val="clear" w:color="auto" w:fill="DAE6F2"/>
          </w:tcPr>
          <w:p>
            <w:pPr>
              <w:spacing w:after="0"/>
              <w:rPr>
                <w:sz w:val="7"/>
                <w:szCs w:val="7"/>
                <w:color w:val="auto"/>
              </w:rPr>
            </w:pPr>
          </w:p>
        </w:tc>
        <w:tc>
          <w:tcPr>
            <w:tcW w:w="2500" w:type="dxa"/>
            <w:vAlign w:val="bottom"/>
            <w:shd w:val="clear" w:color="auto" w:fill="DAE6F2"/>
          </w:tcPr>
          <w:p>
            <w:pPr>
              <w:spacing w:after="0"/>
              <w:rPr>
                <w:sz w:val="7"/>
                <w:szCs w:val="7"/>
                <w:color w:val="auto"/>
              </w:rPr>
            </w:pPr>
          </w:p>
        </w:tc>
        <w:tc>
          <w:tcPr>
            <w:tcW w:w="500" w:type="dxa"/>
            <w:vAlign w:val="bottom"/>
            <w:vMerge w:val="restart"/>
            <w:shd w:val="clear" w:color="auto" w:fill="DAE6F2"/>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95"/>
        </w:trPr>
        <w:tc>
          <w:tcPr>
            <w:tcW w:w="4840" w:type="dxa"/>
            <w:vAlign w:val="bottom"/>
          </w:tcPr>
          <w:p>
            <w:pPr>
              <w:spacing w:after="0" w:line="195" w:lineRule="exact"/>
              <w:rPr>
                <w:sz w:val="20"/>
                <w:szCs w:val="20"/>
                <w:color w:val="auto"/>
              </w:rPr>
            </w:pPr>
            <w:r>
              <w:rPr>
                <w:rFonts w:ascii="Arial" w:cs="Arial" w:eastAsia="Arial" w:hAnsi="Arial"/>
                <w:sz w:val="21"/>
                <w:szCs w:val="21"/>
                <w:color w:val="auto"/>
                <w:w w:val="99"/>
              </w:rPr>
              <w:t>in the 2024 and 2025 targets when set in early 2024</w:t>
            </w:r>
          </w:p>
        </w:tc>
        <w:tc>
          <w:tcPr>
            <w:tcW w:w="2080" w:type="dxa"/>
            <w:vAlign w:val="bottom"/>
            <w:vMerge w:val="continue"/>
            <w:shd w:val="clear" w:color="auto" w:fill="DAE6F2"/>
          </w:tcPr>
          <w:p>
            <w:pPr>
              <w:spacing w:after="0"/>
              <w:rPr>
                <w:sz w:val="16"/>
                <w:szCs w:val="16"/>
                <w:color w:val="auto"/>
              </w:rPr>
            </w:pPr>
          </w:p>
        </w:tc>
        <w:tc>
          <w:tcPr>
            <w:tcW w:w="60" w:type="dxa"/>
            <w:vAlign w:val="bottom"/>
            <w:shd w:val="clear" w:color="auto" w:fill="DAE6F2"/>
          </w:tcPr>
          <w:p>
            <w:pPr>
              <w:spacing w:after="0"/>
              <w:rPr>
                <w:sz w:val="16"/>
                <w:szCs w:val="16"/>
                <w:color w:val="auto"/>
              </w:rPr>
            </w:pPr>
          </w:p>
        </w:tc>
        <w:tc>
          <w:tcPr>
            <w:tcW w:w="2500" w:type="dxa"/>
            <w:vAlign w:val="bottom"/>
            <w:shd w:val="clear" w:color="auto" w:fill="DAE6F2"/>
          </w:tcPr>
          <w:p>
            <w:pPr>
              <w:spacing w:after="0"/>
              <w:rPr>
                <w:sz w:val="20"/>
                <w:szCs w:val="20"/>
                <w:color w:val="auto"/>
              </w:rPr>
            </w:pPr>
            <w:r>
              <w:rPr>
                <w:rFonts w:ascii="Arial" w:cs="Arial" w:eastAsia="Arial" w:hAnsi="Arial"/>
                <w:sz w:val="17"/>
                <w:szCs w:val="17"/>
                <w:color w:val="auto"/>
              </w:rPr>
              <w:t>Earnings Per Share</w:t>
            </w:r>
          </w:p>
        </w:tc>
        <w:tc>
          <w:tcPr>
            <w:tcW w:w="500" w:type="dxa"/>
            <w:vAlign w:val="bottom"/>
            <w:vMerge w:val="continue"/>
            <w:shd w:val="clear" w:color="auto" w:fill="DAE6F2"/>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4840" w:type="dxa"/>
            <w:vAlign w:val="bottom"/>
          </w:tcPr>
          <w:p>
            <w:pPr>
              <w:spacing w:after="0"/>
              <w:rPr>
                <w:sz w:val="20"/>
                <w:szCs w:val="20"/>
                <w:color w:val="auto"/>
              </w:rPr>
            </w:pPr>
            <w:r>
              <w:rPr>
                <w:rFonts w:ascii="Arial" w:cs="Arial" w:eastAsia="Arial" w:hAnsi="Arial"/>
                <w:sz w:val="21"/>
                <w:szCs w:val="21"/>
                <w:color w:val="auto"/>
              </w:rPr>
              <w:t>and 2025.</w:t>
            </w:r>
          </w:p>
        </w:tc>
        <w:tc>
          <w:tcPr>
            <w:tcW w:w="2080" w:type="dxa"/>
            <w:vAlign w:val="bottom"/>
            <w:tcBorders>
              <w:bottom w:val="single" w:sz="8" w:color="auto"/>
            </w:tcBorders>
            <w:shd w:val="clear" w:color="auto" w:fill="DAE6F2"/>
          </w:tcPr>
          <w:p>
            <w:pPr>
              <w:spacing w:after="0"/>
              <w:rPr>
                <w:sz w:val="24"/>
                <w:szCs w:val="24"/>
                <w:color w:val="auto"/>
              </w:rPr>
            </w:pPr>
          </w:p>
        </w:tc>
        <w:tc>
          <w:tcPr>
            <w:tcW w:w="60" w:type="dxa"/>
            <w:vAlign w:val="bottom"/>
            <w:tcBorders>
              <w:bottom w:val="single" w:sz="8" w:color="auto"/>
            </w:tcBorders>
            <w:shd w:val="clear" w:color="auto" w:fill="DAE6F2"/>
          </w:tcPr>
          <w:p>
            <w:pPr>
              <w:spacing w:after="0"/>
              <w:rPr>
                <w:sz w:val="24"/>
                <w:szCs w:val="24"/>
                <w:color w:val="auto"/>
              </w:rPr>
            </w:pPr>
          </w:p>
        </w:tc>
        <w:tc>
          <w:tcPr>
            <w:tcW w:w="2500" w:type="dxa"/>
            <w:vAlign w:val="bottom"/>
            <w:tcBorders>
              <w:bottom w:val="single" w:sz="8" w:color="auto"/>
            </w:tcBorders>
            <w:shd w:val="clear" w:color="auto" w:fill="DAE6F2"/>
          </w:tcPr>
          <w:p>
            <w:pPr>
              <w:spacing w:after="0"/>
              <w:rPr>
                <w:sz w:val="20"/>
                <w:szCs w:val="20"/>
                <w:color w:val="auto"/>
              </w:rPr>
            </w:pPr>
            <w:r>
              <w:rPr>
                <w:rFonts w:ascii="Arial" w:cs="Arial" w:eastAsia="Arial" w:hAnsi="Arial"/>
                <w:sz w:val="17"/>
                <w:szCs w:val="17"/>
                <w:color w:val="auto"/>
              </w:rPr>
              <w:t>O&amp;M Cost Per Customer</w:t>
            </w:r>
          </w:p>
        </w:tc>
        <w:tc>
          <w:tcPr>
            <w:tcW w:w="500" w:type="dxa"/>
            <w:vAlign w:val="bottom"/>
            <w:tcBorders>
              <w:bottom w:val="single" w:sz="8" w:color="auto"/>
            </w:tcBorders>
            <w:shd w:val="clear" w:color="auto" w:fill="DAE6F2"/>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79"/>
        </w:trPr>
        <w:tc>
          <w:tcPr>
            <w:tcW w:w="4840" w:type="dxa"/>
            <w:vAlign w:val="bottom"/>
            <w:vMerge w:val="restart"/>
          </w:tcPr>
          <w:p>
            <w:pPr>
              <w:spacing w:after="0"/>
              <w:rPr>
                <w:sz w:val="20"/>
                <w:szCs w:val="20"/>
                <w:color w:val="auto"/>
              </w:rPr>
            </w:pPr>
            <w:r>
              <w:rPr>
                <w:rFonts w:ascii="Arial" w:cs="Arial" w:eastAsia="Arial" w:hAnsi="Arial"/>
                <w:sz w:val="21"/>
                <w:szCs w:val="21"/>
                <w:b w:val="1"/>
                <w:bCs w:val="1"/>
                <w:color w:val="auto"/>
              </w:rPr>
              <w:t>2025 Performance Measures</w:t>
            </w:r>
          </w:p>
        </w:tc>
        <w:tc>
          <w:tcPr>
            <w:tcW w:w="2080" w:type="dxa"/>
            <w:vAlign w:val="bottom"/>
            <w:shd w:val="clear" w:color="auto" w:fill="DAE6F2"/>
          </w:tcPr>
          <w:p>
            <w:pPr>
              <w:spacing w:after="0"/>
              <w:rPr>
                <w:sz w:val="20"/>
                <w:szCs w:val="20"/>
                <w:color w:val="auto"/>
              </w:rPr>
            </w:pPr>
            <w:r>
              <w:rPr>
                <w:rFonts w:ascii="Arial" w:cs="Arial" w:eastAsia="Arial" w:hAnsi="Arial"/>
                <w:sz w:val="17"/>
                <w:szCs w:val="17"/>
                <w:b w:val="1"/>
                <w:bCs w:val="1"/>
                <w:color w:val="auto"/>
              </w:rPr>
              <w:t>  Safety &amp; Reliability </w:t>
            </w:r>
          </w:p>
        </w:tc>
        <w:tc>
          <w:tcPr>
            <w:tcW w:w="60" w:type="dxa"/>
            <w:vAlign w:val="bottom"/>
            <w:shd w:val="clear" w:color="auto" w:fill="DAE6F2"/>
          </w:tcPr>
          <w:p>
            <w:pPr>
              <w:spacing w:after="0"/>
              <w:rPr>
                <w:sz w:val="24"/>
                <w:szCs w:val="24"/>
                <w:color w:val="auto"/>
              </w:rPr>
            </w:pPr>
          </w:p>
        </w:tc>
        <w:tc>
          <w:tcPr>
            <w:tcW w:w="2500" w:type="dxa"/>
            <w:vAlign w:val="bottom"/>
            <w:shd w:val="clear" w:color="auto" w:fill="DAE6F2"/>
          </w:tcPr>
          <w:p>
            <w:pPr>
              <w:spacing w:after="0"/>
              <w:rPr>
                <w:sz w:val="20"/>
                <w:szCs w:val="20"/>
                <w:color w:val="auto"/>
              </w:rPr>
            </w:pPr>
            <w:r>
              <w:rPr>
                <w:rFonts w:ascii="Arial" w:cs="Arial" w:eastAsia="Arial" w:hAnsi="Arial"/>
                <w:sz w:val="17"/>
                <w:szCs w:val="17"/>
                <w:color w:val="auto"/>
              </w:rPr>
              <w:t>Electric System Reliability</w:t>
            </w:r>
          </w:p>
        </w:tc>
        <w:tc>
          <w:tcPr>
            <w:tcW w:w="500" w:type="dxa"/>
            <w:vAlign w:val="bottom"/>
            <w:shd w:val="clear" w:color="auto" w:fill="DAE6F2"/>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79"/>
        </w:trPr>
        <w:tc>
          <w:tcPr>
            <w:tcW w:w="4840" w:type="dxa"/>
            <w:vAlign w:val="bottom"/>
            <w:vMerge w:val="continue"/>
          </w:tcPr>
          <w:p>
            <w:pPr>
              <w:spacing w:after="0"/>
              <w:rPr>
                <w:sz w:val="24"/>
                <w:szCs w:val="24"/>
                <w:color w:val="auto"/>
              </w:rPr>
            </w:pPr>
          </w:p>
        </w:tc>
        <w:tc>
          <w:tcPr>
            <w:tcW w:w="2080" w:type="dxa"/>
            <w:vAlign w:val="bottom"/>
            <w:tcBorders>
              <w:bottom w:val="single" w:sz="8" w:color="auto"/>
            </w:tcBorders>
            <w:shd w:val="clear" w:color="auto" w:fill="DAE6F2"/>
          </w:tcPr>
          <w:p>
            <w:pPr>
              <w:spacing w:after="0"/>
              <w:rPr>
                <w:sz w:val="24"/>
                <w:szCs w:val="24"/>
                <w:color w:val="auto"/>
              </w:rPr>
            </w:pPr>
          </w:p>
        </w:tc>
        <w:tc>
          <w:tcPr>
            <w:tcW w:w="60" w:type="dxa"/>
            <w:vAlign w:val="bottom"/>
            <w:tcBorders>
              <w:bottom w:val="single" w:sz="8" w:color="auto"/>
            </w:tcBorders>
            <w:shd w:val="clear" w:color="auto" w:fill="DAE6F2"/>
          </w:tcPr>
          <w:p>
            <w:pPr>
              <w:spacing w:after="0"/>
              <w:rPr>
                <w:sz w:val="24"/>
                <w:szCs w:val="24"/>
                <w:color w:val="auto"/>
              </w:rPr>
            </w:pPr>
          </w:p>
        </w:tc>
        <w:tc>
          <w:tcPr>
            <w:tcW w:w="2500" w:type="dxa"/>
            <w:vAlign w:val="bottom"/>
            <w:tcBorders>
              <w:bottom w:val="single" w:sz="8" w:color="auto"/>
            </w:tcBorders>
            <w:shd w:val="clear" w:color="auto" w:fill="DAE6F2"/>
          </w:tcPr>
          <w:p>
            <w:pPr>
              <w:spacing w:after="0"/>
              <w:rPr>
                <w:sz w:val="20"/>
                <w:szCs w:val="20"/>
                <w:color w:val="auto"/>
              </w:rPr>
            </w:pPr>
            <w:r>
              <w:rPr>
                <w:rFonts w:ascii="Arial" w:cs="Arial" w:eastAsia="Arial" w:hAnsi="Arial"/>
                <w:sz w:val="17"/>
                <w:szCs w:val="17"/>
                <w:color w:val="auto"/>
              </w:rPr>
              <w:t>Gas Emergency Response Time</w:t>
            </w:r>
          </w:p>
        </w:tc>
        <w:tc>
          <w:tcPr>
            <w:tcW w:w="500" w:type="dxa"/>
            <w:vAlign w:val="bottom"/>
            <w:tcBorders>
              <w:bottom w:val="single" w:sz="8" w:color="auto"/>
            </w:tcBorders>
            <w:shd w:val="clear" w:color="auto" w:fill="DAE6F2"/>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8"/>
        </w:trPr>
        <w:tc>
          <w:tcPr>
            <w:tcW w:w="4840" w:type="dxa"/>
            <w:vAlign w:val="bottom"/>
            <w:vMerge w:val="restart"/>
          </w:tcPr>
          <w:p>
            <w:pPr>
              <w:spacing w:after="0"/>
              <w:rPr>
                <w:sz w:val="20"/>
                <w:szCs w:val="20"/>
                <w:color w:val="auto"/>
              </w:rPr>
            </w:pPr>
            <w:r>
              <w:rPr>
                <w:rFonts w:ascii="Arial" w:cs="Arial" w:eastAsia="Arial" w:hAnsi="Arial"/>
                <w:sz w:val="21"/>
                <w:szCs w:val="21"/>
                <w:color w:val="auto"/>
              </w:rPr>
              <w:t>The Compensation Committee believes in a holistic</w:t>
            </w:r>
          </w:p>
        </w:tc>
        <w:tc>
          <w:tcPr>
            <w:tcW w:w="2080" w:type="dxa"/>
            <w:vAlign w:val="bottom"/>
            <w:tcBorders>
              <w:bottom w:val="single" w:sz="8" w:color="auto"/>
            </w:tcBorders>
            <w:shd w:val="clear" w:color="auto" w:fill="DAE6F2"/>
          </w:tcPr>
          <w:p>
            <w:pPr>
              <w:spacing w:after="0" w:line="188" w:lineRule="exact"/>
              <w:rPr>
                <w:sz w:val="20"/>
                <w:szCs w:val="20"/>
                <w:color w:val="auto"/>
              </w:rPr>
            </w:pPr>
            <w:r>
              <w:rPr>
                <w:rFonts w:ascii="Arial" w:cs="Arial" w:eastAsia="Arial" w:hAnsi="Arial"/>
                <w:sz w:val="17"/>
                <w:szCs w:val="17"/>
                <w:b w:val="1"/>
                <w:bCs w:val="1"/>
                <w:color w:val="auto"/>
                <w:w w:val="99"/>
              </w:rPr>
              <w:t>  Customer Engagement </w:t>
            </w:r>
          </w:p>
        </w:tc>
        <w:tc>
          <w:tcPr>
            <w:tcW w:w="60" w:type="dxa"/>
            <w:vAlign w:val="bottom"/>
            <w:tcBorders>
              <w:bottom w:val="single" w:sz="8" w:color="auto"/>
            </w:tcBorders>
            <w:shd w:val="clear" w:color="auto" w:fill="DAE6F2"/>
          </w:tcPr>
          <w:p>
            <w:pPr>
              <w:spacing w:after="0"/>
              <w:rPr>
                <w:sz w:val="18"/>
                <w:szCs w:val="18"/>
                <w:color w:val="auto"/>
              </w:rPr>
            </w:pPr>
          </w:p>
        </w:tc>
        <w:tc>
          <w:tcPr>
            <w:tcW w:w="2500" w:type="dxa"/>
            <w:vAlign w:val="bottom"/>
            <w:tcBorders>
              <w:bottom w:val="single" w:sz="8" w:color="auto"/>
            </w:tcBorders>
            <w:shd w:val="clear" w:color="auto" w:fill="DAE6F2"/>
          </w:tcPr>
          <w:p>
            <w:pPr>
              <w:spacing w:after="0" w:line="188" w:lineRule="exact"/>
              <w:rPr>
                <w:sz w:val="20"/>
                <w:szCs w:val="20"/>
                <w:color w:val="auto"/>
              </w:rPr>
            </w:pPr>
            <w:r>
              <w:rPr>
                <w:rFonts w:ascii="Arial" w:cs="Arial" w:eastAsia="Arial" w:hAnsi="Arial"/>
                <w:sz w:val="17"/>
                <w:szCs w:val="17"/>
                <w:color w:val="auto"/>
              </w:rPr>
              <w:t>Customer Satisfaction</w:t>
            </w:r>
          </w:p>
        </w:tc>
        <w:tc>
          <w:tcPr>
            <w:tcW w:w="500" w:type="dxa"/>
            <w:vAlign w:val="bottom"/>
            <w:tcBorders>
              <w:bottom w:val="single" w:sz="8" w:color="auto"/>
            </w:tcBorders>
            <w:shd w:val="clear" w:color="auto" w:fill="DAE6F2"/>
          </w:tcPr>
          <w:p>
            <w:pPr>
              <w:jc w:val="right"/>
              <w:spacing w:after="0" w:line="188"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2"/>
        </w:trPr>
        <w:tc>
          <w:tcPr>
            <w:tcW w:w="4840" w:type="dxa"/>
            <w:vAlign w:val="bottom"/>
            <w:vMerge w:val="continue"/>
          </w:tcPr>
          <w:p>
            <w:pPr>
              <w:spacing w:after="0"/>
              <w:rPr>
                <w:sz w:val="2"/>
                <w:szCs w:val="2"/>
                <w:color w:val="auto"/>
              </w:rPr>
            </w:pPr>
          </w:p>
        </w:tc>
        <w:tc>
          <w:tcPr>
            <w:tcW w:w="4640" w:type="dxa"/>
            <w:vAlign w:val="bottom"/>
            <w:gridSpan w:val="3"/>
            <w:vMerge w:val="restart"/>
            <w:shd w:val="clear" w:color="auto" w:fill="DAE6F2"/>
          </w:tcPr>
          <w:p>
            <w:pPr>
              <w:jc w:val="center"/>
              <w:ind w:left="213"/>
              <w:spacing w:after="0" w:line="188" w:lineRule="exact"/>
              <w:rPr>
                <w:sz w:val="20"/>
                <w:szCs w:val="20"/>
                <w:color w:val="auto"/>
              </w:rPr>
            </w:pPr>
            <w:r>
              <w:rPr>
                <w:rFonts w:ascii="Arial" w:cs="Arial" w:eastAsia="Arial" w:hAnsi="Arial"/>
                <w:sz w:val="17"/>
                <w:szCs w:val="17"/>
                <w:b w:val="1"/>
                <w:bCs w:val="1"/>
                <w:color w:val="auto"/>
              </w:rPr>
              <w:t>Equity: 2023-2025</w:t>
            </w:r>
          </w:p>
        </w:tc>
        <w:tc>
          <w:tcPr>
            <w:tcW w:w="500" w:type="dxa"/>
            <w:vAlign w:val="bottom"/>
            <w:shd w:val="clear" w:color="auto" w:fill="DAE6F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840" w:type="dxa"/>
            <w:vAlign w:val="bottom"/>
            <w:vMerge w:val="restart"/>
          </w:tcPr>
          <w:p>
            <w:pPr>
              <w:spacing w:after="0" w:line="234" w:lineRule="exact"/>
              <w:rPr>
                <w:sz w:val="20"/>
                <w:szCs w:val="20"/>
                <w:color w:val="auto"/>
              </w:rPr>
            </w:pPr>
            <w:r>
              <w:rPr>
                <w:rFonts w:ascii="Arial" w:cs="Arial" w:eastAsia="Arial" w:hAnsi="Arial"/>
                <w:sz w:val="21"/>
                <w:szCs w:val="21"/>
                <w:color w:val="auto"/>
              </w:rPr>
              <w:t>approach to evaluation of the Named Executive</w:t>
            </w:r>
          </w:p>
        </w:tc>
        <w:tc>
          <w:tcPr>
            <w:tcW w:w="4640" w:type="dxa"/>
            <w:vAlign w:val="bottom"/>
            <w:tcBorders>
              <w:bottom w:val="single" w:sz="8" w:color="auto"/>
            </w:tcBorders>
            <w:gridSpan w:val="3"/>
            <w:vMerge w:val="continue"/>
            <w:shd w:val="clear" w:color="auto" w:fill="DAE6F2"/>
          </w:tcPr>
          <w:p>
            <w:pPr>
              <w:spacing w:after="0"/>
              <w:rPr>
                <w:sz w:val="14"/>
                <w:szCs w:val="14"/>
                <w:color w:val="auto"/>
              </w:rPr>
            </w:pPr>
          </w:p>
        </w:tc>
        <w:tc>
          <w:tcPr>
            <w:tcW w:w="500" w:type="dxa"/>
            <w:vAlign w:val="bottom"/>
            <w:tcBorders>
              <w:bottom w:val="single" w:sz="8" w:color="auto"/>
            </w:tcBorders>
            <w:shd w:val="clear" w:color="auto" w:fill="DAE6F2"/>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4840" w:type="dxa"/>
            <w:vAlign w:val="bottom"/>
            <w:vMerge w:val="continue"/>
          </w:tcPr>
          <w:p>
            <w:pPr>
              <w:spacing w:after="0"/>
              <w:rPr>
                <w:sz w:val="3"/>
                <w:szCs w:val="3"/>
                <w:color w:val="auto"/>
              </w:rPr>
            </w:pPr>
          </w:p>
        </w:tc>
        <w:tc>
          <w:tcPr>
            <w:tcW w:w="2080" w:type="dxa"/>
            <w:vAlign w:val="bottom"/>
            <w:shd w:val="clear" w:color="auto" w:fill="DAE6F2"/>
          </w:tcPr>
          <w:p>
            <w:pPr>
              <w:spacing w:after="0"/>
              <w:rPr>
                <w:sz w:val="3"/>
                <w:szCs w:val="3"/>
                <w:color w:val="auto"/>
              </w:rPr>
            </w:pPr>
          </w:p>
        </w:tc>
        <w:tc>
          <w:tcPr>
            <w:tcW w:w="60" w:type="dxa"/>
            <w:vAlign w:val="bottom"/>
            <w:shd w:val="clear" w:color="auto" w:fill="DAE6F2"/>
          </w:tcPr>
          <w:p>
            <w:pPr>
              <w:spacing w:after="0"/>
              <w:rPr>
                <w:sz w:val="3"/>
                <w:szCs w:val="3"/>
                <w:color w:val="auto"/>
              </w:rPr>
            </w:pPr>
          </w:p>
        </w:tc>
        <w:tc>
          <w:tcPr>
            <w:tcW w:w="2500" w:type="dxa"/>
            <w:vAlign w:val="bottom"/>
            <w:shd w:val="clear" w:color="auto" w:fill="DAE6F2"/>
          </w:tcPr>
          <w:p>
            <w:pPr>
              <w:spacing w:after="0"/>
              <w:rPr>
                <w:sz w:val="3"/>
                <w:szCs w:val="3"/>
                <w:color w:val="auto"/>
              </w:rPr>
            </w:pPr>
          </w:p>
        </w:tc>
        <w:tc>
          <w:tcPr>
            <w:tcW w:w="500" w:type="dxa"/>
            <w:vAlign w:val="bottom"/>
            <w:shd w:val="clear" w:color="auto" w:fill="DAE6F2"/>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840" w:type="dxa"/>
            <w:vAlign w:val="bottom"/>
          </w:tcPr>
          <w:p>
            <w:pPr>
              <w:spacing w:after="0" w:line="217" w:lineRule="exact"/>
              <w:rPr>
                <w:sz w:val="20"/>
                <w:szCs w:val="20"/>
                <w:color w:val="auto"/>
              </w:rPr>
            </w:pPr>
            <w:r>
              <w:rPr>
                <w:rFonts w:ascii="Arial" w:cs="Arial" w:eastAsia="Arial" w:hAnsi="Arial"/>
                <w:sz w:val="21"/>
                <w:szCs w:val="21"/>
                <w:color w:val="auto"/>
                <w:w w:val="99"/>
              </w:rPr>
              <w:t>Officers’ Compensation. The Committee considers a</w:t>
            </w:r>
          </w:p>
        </w:tc>
        <w:tc>
          <w:tcPr>
            <w:tcW w:w="2080" w:type="dxa"/>
            <w:vAlign w:val="bottom"/>
            <w:shd w:val="clear" w:color="auto" w:fill="DAE6F2"/>
          </w:tcPr>
          <w:p>
            <w:pPr>
              <w:spacing w:after="0"/>
              <w:rPr>
                <w:sz w:val="20"/>
                <w:szCs w:val="20"/>
                <w:color w:val="auto"/>
              </w:rPr>
            </w:pPr>
            <w:r>
              <w:rPr>
                <w:rFonts w:ascii="Arial" w:cs="Arial" w:eastAsia="Arial" w:hAnsi="Arial"/>
                <w:sz w:val="17"/>
                <w:szCs w:val="17"/>
                <w:b w:val="1"/>
                <w:bCs w:val="1"/>
                <w:color w:val="auto"/>
              </w:rPr>
              <w:t xml:space="preserve">  Financial             </w:t>
            </w:r>
          </w:p>
        </w:tc>
        <w:tc>
          <w:tcPr>
            <w:tcW w:w="60" w:type="dxa"/>
            <w:vAlign w:val="bottom"/>
            <w:shd w:val="clear" w:color="auto" w:fill="DAE6F2"/>
          </w:tcPr>
          <w:p>
            <w:pPr>
              <w:spacing w:after="0"/>
              <w:rPr>
                <w:sz w:val="18"/>
                <w:szCs w:val="18"/>
                <w:color w:val="auto"/>
              </w:rPr>
            </w:pPr>
          </w:p>
        </w:tc>
        <w:tc>
          <w:tcPr>
            <w:tcW w:w="2500" w:type="dxa"/>
            <w:vAlign w:val="bottom"/>
            <w:shd w:val="clear" w:color="auto" w:fill="DAE6F2"/>
          </w:tcPr>
          <w:p>
            <w:pPr>
              <w:spacing w:after="0"/>
              <w:rPr>
                <w:sz w:val="20"/>
                <w:szCs w:val="20"/>
                <w:color w:val="auto"/>
              </w:rPr>
            </w:pPr>
            <w:r>
              <w:rPr>
                <w:rFonts w:ascii="Arial" w:cs="Arial" w:eastAsia="Arial" w:hAnsi="Arial"/>
                <w:sz w:val="17"/>
                <w:szCs w:val="17"/>
                <w:color w:val="auto"/>
              </w:rPr>
              <w:t>Three-Year Average Return on</w:t>
            </w:r>
          </w:p>
        </w:tc>
        <w:tc>
          <w:tcPr>
            <w:tcW w:w="500" w:type="dxa"/>
            <w:vAlign w:val="bottom"/>
            <w:vMerge w:val="restart"/>
            <w:shd w:val="clear" w:color="auto" w:fill="DAE6F2"/>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51"/>
        </w:trPr>
        <w:tc>
          <w:tcPr>
            <w:tcW w:w="4840" w:type="dxa"/>
            <w:vAlign w:val="bottom"/>
            <w:vMerge w:val="restart"/>
          </w:tcPr>
          <w:p>
            <w:pPr>
              <w:spacing w:after="0"/>
              <w:rPr>
                <w:sz w:val="20"/>
                <w:szCs w:val="20"/>
                <w:color w:val="auto"/>
              </w:rPr>
            </w:pPr>
            <w:r>
              <w:rPr>
                <w:rFonts w:ascii="Arial" w:cs="Arial" w:eastAsia="Arial" w:hAnsi="Arial"/>
                <w:sz w:val="21"/>
                <w:szCs w:val="21"/>
                <w:color w:val="auto"/>
              </w:rPr>
              <w:t>mix of financial, operations, and customer-centric</w:t>
            </w:r>
          </w:p>
        </w:tc>
        <w:tc>
          <w:tcPr>
            <w:tcW w:w="2080" w:type="dxa"/>
            <w:vAlign w:val="bottom"/>
            <w:shd w:val="clear" w:color="auto" w:fill="DAE6F2"/>
          </w:tcPr>
          <w:p>
            <w:pPr>
              <w:spacing w:after="0"/>
              <w:rPr>
                <w:sz w:val="13"/>
                <w:szCs w:val="13"/>
                <w:color w:val="auto"/>
              </w:rPr>
            </w:pPr>
          </w:p>
        </w:tc>
        <w:tc>
          <w:tcPr>
            <w:tcW w:w="60" w:type="dxa"/>
            <w:vAlign w:val="bottom"/>
            <w:shd w:val="clear" w:color="auto" w:fill="DAE6F2"/>
          </w:tcPr>
          <w:p>
            <w:pPr>
              <w:spacing w:after="0"/>
              <w:rPr>
                <w:sz w:val="13"/>
                <w:szCs w:val="13"/>
                <w:color w:val="auto"/>
              </w:rPr>
            </w:pPr>
          </w:p>
        </w:tc>
        <w:tc>
          <w:tcPr>
            <w:tcW w:w="2500" w:type="dxa"/>
            <w:vAlign w:val="bottom"/>
            <w:vMerge w:val="restart"/>
            <w:shd w:val="clear" w:color="auto" w:fill="DAE6F2"/>
          </w:tcPr>
          <w:p>
            <w:pPr>
              <w:spacing w:after="0"/>
              <w:rPr>
                <w:sz w:val="20"/>
                <w:szCs w:val="20"/>
                <w:color w:val="auto"/>
              </w:rPr>
            </w:pPr>
            <w:r>
              <w:rPr>
                <w:rFonts w:ascii="Arial" w:cs="Arial" w:eastAsia="Arial" w:hAnsi="Arial"/>
                <w:sz w:val="17"/>
                <w:szCs w:val="17"/>
                <w:color w:val="auto"/>
              </w:rPr>
              <w:t>Equity</w:t>
            </w:r>
          </w:p>
        </w:tc>
        <w:tc>
          <w:tcPr>
            <w:tcW w:w="500" w:type="dxa"/>
            <w:vAlign w:val="bottom"/>
            <w:vMerge w:val="continue"/>
            <w:shd w:val="clear" w:color="auto" w:fill="DAE6F2"/>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4840" w:type="dxa"/>
            <w:vAlign w:val="bottom"/>
            <w:vMerge w:val="continue"/>
          </w:tcPr>
          <w:p>
            <w:pPr>
              <w:spacing w:after="0"/>
              <w:rPr>
                <w:sz w:val="8"/>
                <w:szCs w:val="8"/>
                <w:color w:val="auto"/>
              </w:rPr>
            </w:pPr>
          </w:p>
        </w:tc>
        <w:tc>
          <w:tcPr>
            <w:tcW w:w="2080" w:type="dxa"/>
            <w:vAlign w:val="bottom"/>
            <w:shd w:val="clear" w:color="auto" w:fill="DAE6F2"/>
          </w:tcPr>
          <w:p>
            <w:pPr>
              <w:spacing w:after="0"/>
              <w:rPr>
                <w:sz w:val="8"/>
                <w:szCs w:val="8"/>
                <w:color w:val="auto"/>
              </w:rPr>
            </w:pPr>
          </w:p>
        </w:tc>
        <w:tc>
          <w:tcPr>
            <w:tcW w:w="60" w:type="dxa"/>
            <w:vAlign w:val="bottom"/>
            <w:shd w:val="clear" w:color="auto" w:fill="DAE6F2"/>
          </w:tcPr>
          <w:p>
            <w:pPr>
              <w:spacing w:after="0"/>
              <w:rPr>
                <w:sz w:val="8"/>
                <w:szCs w:val="8"/>
                <w:color w:val="auto"/>
              </w:rPr>
            </w:pPr>
          </w:p>
        </w:tc>
        <w:tc>
          <w:tcPr>
            <w:tcW w:w="2500" w:type="dxa"/>
            <w:vAlign w:val="bottom"/>
            <w:vMerge w:val="continue"/>
            <w:shd w:val="clear" w:color="auto" w:fill="DAE6F2"/>
          </w:tcPr>
          <w:p>
            <w:pPr>
              <w:spacing w:after="0"/>
              <w:rPr>
                <w:sz w:val="8"/>
                <w:szCs w:val="8"/>
                <w:color w:val="auto"/>
              </w:rPr>
            </w:pPr>
          </w:p>
        </w:tc>
        <w:tc>
          <w:tcPr>
            <w:tcW w:w="500" w:type="dxa"/>
            <w:vAlign w:val="bottom"/>
            <w:shd w:val="clear" w:color="auto" w:fill="DAE6F2"/>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840" w:type="dxa"/>
            <w:vAlign w:val="bottom"/>
          </w:tcPr>
          <w:p>
            <w:pPr>
              <w:spacing w:after="0" w:line="212" w:lineRule="exact"/>
              <w:rPr>
                <w:sz w:val="20"/>
                <w:szCs w:val="20"/>
                <w:color w:val="auto"/>
              </w:rPr>
            </w:pPr>
            <w:r>
              <w:rPr>
                <w:rFonts w:ascii="Arial" w:cs="Arial" w:eastAsia="Arial" w:hAnsi="Arial"/>
                <w:sz w:val="21"/>
                <w:szCs w:val="21"/>
                <w:color w:val="auto"/>
              </w:rPr>
              <w:t>metrics, as well as the obligation to meet the</w:t>
            </w:r>
          </w:p>
        </w:tc>
        <w:tc>
          <w:tcPr>
            <w:tcW w:w="2080" w:type="dxa"/>
            <w:vAlign w:val="bottom"/>
            <w:shd w:val="clear" w:color="auto" w:fill="DAE6F2"/>
          </w:tcPr>
          <w:p>
            <w:pPr>
              <w:spacing w:after="0"/>
              <w:rPr>
                <w:sz w:val="18"/>
                <w:szCs w:val="18"/>
                <w:color w:val="auto"/>
              </w:rPr>
            </w:pPr>
          </w:p>
        </w:tc>
        <w:tc>
          <w:tcPr>
            <w:tcW w:w="60" w:type="dxa"/>
            <w:vAlign w:val="bottom"/>
            <w:shd w:val="clear" w:color="auto" w:fill="DAE6F2"/>
          </w:tcPr>
          <w:p>
            <w:pPr>
              <w:spacing w:after="0"/>
              <w:rPr>
                <w:sz w:val="18"/>
                <w:szCs w:val="18"/>
                <w:color w:val="auto"/>
              </w:rPr>
            </w:pPr>
          </w:p>
        </w:tc>
        <w:tc>
          <w:tcPr>
            <w:tcW w:w="2500" w:type="dxa"/>
            <w:vAlign w:val="bottom"/>
            <w:shd w:val="clear" w:color="auto" w:fill="DAE6F2"/>
          </w:tcPr>
          <w:p>
            <w:pPr>
              <w:spacing w:after="0"/>
              <w:rPr>
                <w:sz w:val="20"/>
                <w:szCs w:val="20"/>
                <w:color w:val="auto"/>
              </w:rPr>
            </w:pPr>
            <w:r>
              <w:rPr>
                <w:rFonts w:ascii="Arial" w:cs="Arial" w:eastAsia="Arial" w:hAnsi="Arial"/>
                <w:sz w:val="17"/>
                <w:szCs w:val="17"/>
                <w:color w:val="auto"/>
              </w:rPr>
              <w:t>Three-Year Average Growth in</w:t>
            </w:r>
          </w:p>
        </w:tc>
        <w:tc>
          <w:tcPr>
            <w:tcW w:w="500" w:type="dxa"/>
            <w:vAlign w:val="bottom"/>
            <w:shd w:val="clear" w:color="auto" w:fill="DAE6F2"/>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8"/>
        </w:trPr>
        <w:tc>
          <w:tcPr>
            <w:tcW w:w="4840" w:type="dxa"/>
            <w:vAlign w:val="bottom"/>
            <w:vMerge w:val="restart"/>
          </w:tcPr>
          <w:p>
            <w:pPr>
              <w:spacing w:after="0"/>
              <w:rPr>
                <w:sz w:val="20"/>
                <w:szCs w:val="20"/>
                <w:color w:val="auto"/>
              </w:rPr>
            </w:pPr>
            <w:r>
              <w:rPr>
                <w:rFonts w:ascii="Arial" w:cs="Arial" w:eastAsia="Arial" w:hAnsi="Arial"/>
                <w:sz w:val="21"/>
                <w:szCs w:val="21"/>
                <w:color w:val="auto"/>
              </w:rPr>
              <w:t>various state public utility regulatory requirements</w:t>
            </w:r>
          </w:p>
        </w:tc>
        <w:tc>
          <w:tcPr>
            <w:tcW w:w="2080" w:type="dxa"/>
            <w:vAlign w:val="bottom"/>
            <w:tcBorders>
              <w:bottom w:val="single" w:sz="8" w:color="auto"/>
            </w:tcBorders>
            <w:shd w:val="clear" w:color="auto" w:fill="DAE6F2"/>
          </w:tcPr>
          <w:p>
            <w:pPr>
              <w:spacing w:after="0"/>
              <w:rPr>
                <w:sz w:val="18"/>
                <w:szCs w:val="18"/>
                <w:color w:val="auto"/>
              </w:rPr>
            </w:pPr>
          </w:p>
        </w:tc>
        <w:tc>
          <w:tcPr>
            <w:tcW w:w="60" w:type="dxa"/>
            <w:vAlign w:val="bottom"/>
            <w:tcBorders>
              <w:bottom w:val="single" w:sz="8" w:color="auto"/>
            </w:tcBorders>
            <w:shd w:val="clear" w:color="auto" w:fill="DAE6F2"/>
          </w:tcPr>
          <w:p>
            <w:pPr>
              <w:spacing w:after="0"/>
              <w:rPr>
                <w:sz w:val="18"/>
                <w:szCs w:val="18"/>
                <w:color w:val="auto"/>
              </w:rPr>
            </w:pPr>
          </w:p>
        </w:tc>
        <w:tc>
          <w:tcPr>
            <w:tcW w:w="2500" w:type="dxa"/>
            <w:vAlign w:val="bottom"/>
            <w:tcBorders>
              <w:bottom w:val="single" w:sz="8" w:color="auto"/>
            </w:tcBorders>
            <w:shd w:val="clear" w:color="auto" w:fill="DAE6F2"/>
          </w:tcPr>
          <w:p>
            <w:pPr>
              <w:spacing w:after="0" w:line="188" w:lineRule="exact"/>
              <w:rPr>
                <w:sz w:val="20"/>
                <w:szCs w:val="20"/>
                <w:color w:val="auto"/>
              </w:rPr>
            </w:pPr>
            <w:r>
              <w:rPr>
                <w:rFonts w:ascii="Arial" w:cs="Arial" w:eastAsia="Arial" w:hAnsi="Arial"/>
                <w:sz w:val="17"/>
                <w:szCs w:val="17"/>
                <w:color w:val="auto"/>
              </w:rPr>
              <w:t>Book Value Per Share</w:t>
            </w:r>
          </w:p>
        </w:tc>
        <w:tc>
          <w:tcPr>
            <w:tcW w:w="500" w:type="dxa"/>
            <w:vAlign w:val="bottom"/>
            <w:tcBorders>
              <w:bottom w:val="single" w:sz="8" w:color="auto"/>
            </w:tcBorders>
            <w:shd w:val="clear" w:color="auto" w:fill="DAE6F2"/>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48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640"/>
        <w:spacing w:after="0"/>
        <w:rPr>
          <w:sz w:val="20"/>
          <w:szCs w:val="20"/>
          <w:color w:val="auto"/>
        </w:rPr>
      </w:pPr>
      <w:r>
        <w:rPr>
          <w:rFonts w:ascii="Arial" w:cs="Arial" w:eastAsia="Arial" w:hAnsi="Arial"/>
          <w:sz w:val="21"/>
          <w:szCs w:val="21"/>
          <w:color w:val="auto"/>
        </w:rPr>
        <w:t>to include a certain percentage of operations and customer-focused metrics when setting the 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156210</wp:posOffset>
            </wp:positionV>
            <wp:extent cx="6337300" cy="825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620"/>
          </w:cols>
          <w:pgMar w:left="320" w:top="470" w:right="9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120"/>
        <w:spacing w:after="0" w:line="239" w:lineRule="auto"/>
        <w:rPr>
          <w:sz w:val="20"/>
          <w:szCs w:val="20"/>
          <w:color w:val="auto"/>
        </w:rPr>
      </w:pPr>
      <w:r>
        <w:rPr>
          <w:rFonts w:ascii="Arial" w:cs="Arial" w:eastAsia="Arial" w:hAnsi="Arial"/>
          <w:sz w:val="21"/>
          <w:szCs w:val="21"/>
          <w:color w:val="auto"/>
        </w:rPr>
        <w:t xml:space="preserve">performance measures for the year. The Committee continued to limit the long-term performance measures exclusively to financial measures as such measures set appropriate stretch goals in the long-term and are more difficult to achieve. The 2025 cash incentive performance measures and results are described in greater detail in the section entitled </w:t>
      </w:r>
      <w:r>
        <w:rPr>
          <w:rFonts w:ascii="Arial" w:cs="Arial" w:eastAsia="Arial" w:hAnsi="Arial"/>
          <w:sz w:val="21"/>
          <w:szCs w:val="21"/>
          <w:i w:val="1"/>
          <w:iCs w:val="1"/>
          <w:color w:val="auto"/>
        </w:rPr>
        <w:t>2025 Performance Metrics, Goals and Results</w:t>
      </w:r>
      <w:r>
        <w:rPr>
          <w:rFonts w:ascii="Arial" w:cs="Arial" w:eastAsia="Arial" w:hAnsi="Arial"/>
          <w:sz w:val="21"/>
          <w:szCs w:val="21"/>
          <w:color w:val="auto"/>
        </w:rPr>
        <w:t xml:space="preserve"> of this proxy statement. The equity performance measures are described in greater detail in the section entitled </w:t>
      </w:r>
      <w:r>
        <w:rPr>
          <w:rFonts w:ascii="Arial" w:cs="Arial" w:eastAsia="Arial" w:hAnsi="Arial"/>
          <w:sz w:val="21"/>
          <w:szCs w:val="21"/>
          <w:i w:val="1"/>
          <w:iCs w:val="1"/>
          <w:color w:val="auto"/>
        </w:rPr>
        <w:t>Incentive</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Compensation </w:t>
      </w:r>
      <w:r>
        <w:rPr>
          <w:rFonts w:ascii="Arial" w:cs="Arial" w:eastAsia="Arial" w:hAnsi="Arial"/>
          <w:sz w:val="21"/>
          <w:szCs w:val="21"/>
          <w:color w:val="auto"/>
        </w:rPr>
        <w:t>-</w:t>
      </w:r>
      <w:r>
        <w:rPr>
          <w:rFonts w:ascii="Arial" w:cs="Arial" w:eastAsia="Arial" w:hAnsi="Arial"/>
          <w:sz w:val="21"/>
          <w:szCs w:val="21"/>
          <w:i w:val="1"/>
          <w:iCs w:val="1"/>
          <w:color w:val="auto"/>
        </w:rPr>
        <w:t xml:space="preserve"> Long-Term Equity Incentive Compensation Program </w:t>
      </w:r>
      <w:r>
        <w:rPr>
          <w:rFonts w:ascii="Arial" w:cs="Arial" w:eastAsia="Arial" w:hAnsi="Arial"/>
          <w:sz w:val="21"/>
          <w:szCs w:val="21"/>
          <w:color w:val="auto"/>
        </w:rPr>
        <w:t>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148590</wp:posOffset>
            </wp:positionV>
            <wp:extent cx="6337300" cy="825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620"/>
          </w:cols>
          <w:pgMar w:left="320" w:top="470" w:right="9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53340</wp:posOffset>
            </wp:positionV>
            <wp:extent cx="63373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59" w:lineRule="exact"/>
        <w:rPr>
          <w:sz w:val="20"/>
          <w:szCs w:val="20"/>
          <w:color w:val="auto"/>
        </w:rPr>
      </w:pPr>
    </w:p>
    <w:p>
      <w:pPr>
        <w:ind w:left="640" w:right="760"/>
        <w:spacing w:after="0" w:line="290" w:lineRule="auto"/>
        <w:rPr>
          <w:sz w:val="20"/>
          <w:szCs w:val="20"/>
          <w:color w:val="auto"/>
        </w:rPr>
      </w:pPr>
      <w:r>
        <w:rPr>
          <w:rFonts w:ascii="Arial" w:cs="Arial" w:eastAsia="Arial" w:hAnsi="Arial"/>
          <w:sz w:val="20"/>
          <w:szCs w:val="20"/>
          <w:color w:val="auto"/>
        </w:rPr>
        <w:t>The table below provides information with respect to the grants of plan-based awards, which includes Management Incentive Plan awards made to the Named Executive Officers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109220</wp:posOffset>
            </wp:positionV>
            <wp:extent cx="6370320" cy="1981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370320" cy="198120"/>
                    </a:xfrm>
                    <a:prstGeom prst="rect">
                      <a:avLst/>
                    </a:prstGeom>
                    <a:noFill/>
                  </pic:spPr>
                </pic:pic>
              </a:graphicData>
            </a:graphic>
          </wp:anchor>
        </w:drawing>
      </w:r>
    </w:p>
    <w:p>
      <w:pPr>
        <w:spacing w:after="0" w:line="191" w:lineRule="exact"/>
        <w:rPr>
          <w:sz w:val="20"/>
          <w:szCs w:val="20"/>
          <w:color w:val="auto"/>
        </w:rPr>
      </w:pPr>
    </w:p>
    <w:p>
      <w:pPr>
        <w:ind w:left="2820"/>
        <w:spacing w:after="0"/>
        <w:rPr>
          <w:sz w:val="20"/>
          <w:szCs w:val="20"/>
          <w:color w:val="auto"/>
        </w:rPr>
      </w:pPr>
      <w:r>
        <w:rPr>
          <w:rFonts w:ascii="Arial" w:cs="Arial" w:eastAsia="Arial" w:hAnsi="Arial"/>
          <w:sz w:val="21"/>
          <w:szCs w:val="21"/>
          <w:b w:val="1"/>
          <w:bCs w:val="1"/>
          <w:color w:val="FFFFFF"/>
        </w:rPr>
        <w:t>GRANTS OF PLAN-BASED AWARDS: FISCAL YEAR 2025</w:t>
      </w:r>
    </w:p>
    <w:p>
      <w:pPr>
        <w:spacing w:after="0" w:line="32" w:lineRule="exact"/>
        <w:rPr>
          <w:sz w:val="20"/>
          <w:szCs w:val="20"/>
          <w:color w:val="auto"/>
        </w:rPr>
      </w:pPr>
    </w:p>
    <w:tbl>
      <w:tblPr>
        <w:tblLayout w:type="fixed"/>
        <w:tblInd w:w="640" w:type="dxa"/>
        <w:tblCellMar>
          <w:top w:w="0" w:type="dxa"/>
          <w:left w:w="0" w:type="dxa"/>
          <w:bottom w:w="0" w:type="dxa"/>
          <w:right w:w="0" w:type="dxa"/>
        </w:tblCellMar>
      </w:tblPr>
      <w:tr>
        <w:trPr>
          <w:trHeight w:val="175"/>
        </w:trPr>
        <w:tc>
          <w:tcPr>
            <w:tcW w:w="172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3040" w:type="dxa"/>
            <w:vAlign w:val="bottom"/>
            <w:tcBorders>
              <w:top w:val="single" w:sz="8" w:color="auto"/>
              <w:right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9"/>
              </w:rPr>
              <w:t>Estimated Future Payouts ($)</w:t>
            </w:r>
          </w:p>
        </w:tc>
        <w:tc>
          <w:tcPr>
            <w:tcW w:w="242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Estimated Future Payouts (# Shares)</w:t>
            </w:r>
          </w:p>
        </w:tc>
        <w:tc>
          <w:tcPr>
            <w:tcW w:w="1020" w:type="dxa"/>
            <w:vAlign w:val="bottom"/>
            <w:tcBorders>
              <w:top w:val="single" w:sz="8" w:color="auto"/>
              <w:right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8"/>
              </w:rPr>
              <w:t>All Other</w:t>
            </w: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w:t>
            </w:r>
          </w:p>
        </w:tc>
      </w:tr>
      <w:tr>
        <w:trPr>
          <w:trHeight w:val="156"/>
        </w:trPr>
        <w:tc>
          <w:tcPr>
            <w:tcW w:w="17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gridSpan w:val="3"/>
          </w:tcPr>
          <w:p>
            <w:pPr>
              <w:jc w:val="center"/>
              <w:spacing w:after="0" w:line="156" w:lineRule="exact"/>
              <w:rPr>
                <w:sz w:val="20"/>
                <w:szCs w:val="20"/>
                <w:color w:val="auto"/>
              </w:rPr>
            </w:pPr>
            <w:r>
              <w:rPr>
                <w:rFonts w:ascii="Arial" w:cs="Arial" w:eastAsia="Arial" w:hAnsi="Arial"/>
                <w:sz w:val="14"/>
                <w:szCs w:val="14"/>
                <w:b w:val="1"/>
                <w:bCs w:val="1"/>
                <w:color w:val="auto"/>
                <w:w w:val="99"/>
              </w:rPr>
              <w:t>Under Non-Equity</w:t>
            </w:r>
          </w:p>
        </w:tc>
        <w:tc>
          <w:tcPr>
            <w:tcW w:w="920" w:type="dxa"/>
            <w:vAlign w:val="bottom"/>
            <w:tcBorders>
              <w:right w:val="single" w:sz="8" w:color="auto"/>
            </w:tcBorders>
          </w:tcPr>
          <w:p>
            <w:pPr>
              <w:spacing w:after="0"/>
              <w:rPr>
                <w:sz w:val="13"/>
                <w:szCs w:val="13"/>
                <w:color w:val="auto"/>
              </w:rPr>
            </w:pPr>
          </w:p>
        </w:tc>
        <w:tc>
          <w:tcPr>
            <w:tcW w:w="2420" w:type="dxa"/>
            <w:vAlign w:val="bottom"/>
            <w:tcBorders>
              <w:right w:val="single" w:sz="8" w:color="auto"/>
            </w:tcBorders>
            <w:gridSpan w:val="3"/>
          </w:tcPr>
          <w:p>
            <w:pPr>
              <w:jc w:val="center"/>
              <w:spacing w:after="0" w:line="156" w:lineRule="exact"/>
              <w:rPr>
                <w:sz w:val="20"/>
                <w:szCs w:val="20"/>
                <w:color w:val="auto"/>
              </w:rPr>
            </w:pPr>
            <w:r>
              <w:rPr>
                <w:rFonts w:ascii="Arial" w:cs="Arial" w:eastAsia="Arial" w:hAnsi="Arial"/>
                <w:sz w:val="14"/>
                <w:szCs w:val="14"/>
                <w:b w:val="1"/>
                <w:bCs w:val="1"/>
                <w:color w:val="auto"/>
                <w:w w:val="98"/>
              </w:rPr>
              <w:t>Under Equity Incentive Plan</w:t>
            </w:r>
          </w:p>
        </w:tc>
        <w:tc>
          <w:tcPr>
            <w:tcW w:w="1020" w:type="dxa"/>
            <w:vAlign w:val="bottom"/>
            <w:tcBorders>
              <w:right w:val="single" w:sz="8" w:color="auto"/>
            </w:tcBorders>
          </w:tcPr>
          <w:p>
            <w:pPr>
              <w:jc w:val="center"/>
              <w:ind w:right="12"/>
              <w:spacing w:after="0" w:line="156" w:lineRule="exact"/>
              <w:rPr>
                <w:sz w:val="20"/>
                <w:szCs w:val="20"/>
                <w:color w:val="auto"/>
              </w:rPr>
            </w:pPr>
            <w:r>
              <w:rPr>
                <w:rFonts w:ascii="Arial" w:cs="Arial" w:eastAsia="Arial" w:hAnsi="Arial"/>
                <w:sz w:val="14"/>
                <w:szCs w:val="14"/>
                <w:b w:val="1"/>
                <w:bCs w:val="1"/>
                <w:color w:val="auto"/>
                <w:w w:val="99"/>
              </w:rPr>
              <w:t>Stock</w:t>
            </w:r>
          </w:p>
        </w:tc>
        <w:tc>
          <w:tcPr>
            <w:tcW w:w="9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Date Fair</w:t>
            </w:r>
          </w:p>
        </w:tc>
      </w:tr>
      <w:tr>
        <w:trPr>
          <w:trHeight w:val="156"/>
        </w:trPr>
        <w:tc>
          <w:tcPr>
            <w:tcW w:w="17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gridSpan w:val="5"/>
          </w:tcPr>
          <w:p>
            <w:pPr>
              <w:jc w:val="center"/>
              <w:spacing w:after="0" w:line="156" w:lineRule="exact"/>
              <w:rPr>
                <w:sz w:val="20"/>
                <w:szCs w:val="20"/>
                <w:color w:val="auto"/>
              </w:rPr>
            </w:pPr>
            <w:r>
              <w:rPr>
                <w:rFonts w:ascii="Arial" w:cs="Arial" w:eastAsia="Arial" w:hAnsi="Arial"/>
                <w:sz w:val="13"/>
                <w:szCs w:val="13"/>
                <w:b w:val="1"/>
                <w:bCs w:val="1"/>
                <w:color w:val="auto"/>
              </w:rPr>
              <w:t xml:space="preserve">Incentive Plan Awards </w:t>
            </w:r>
            <w:r>
              <w:rPr>
                <w:rFonts w:ascii="Arial" w:cs="Arial" w:eastAsia="Arial" w:hAnsi="Arial"/>
                <w:sz w:val="18"/>
                <w:szCs w:val="18"/>
                <w:i w:val="1"/>
                <w:iCs w:val="1"/>
                <w:color w:val="auto"/>
                <w:vertAlign w:val="superscript"/>
              </w:rPr>
              <w:t>(1)</w:t>
            </w:r>
          </w:p>
        </w:tc>
        <w:tc>
          <w:tcPr>
            <w:tcW w:w="800" w:type="dxa"/>
            <w:vAlign w:val="bottom"/>
          </w:tcPr>
          <w:p>
            <w:pPr>
              <w:spacing w:after="0"/>
              <w:rPr>
                <w:sz w:val="13"/>
                <w:szCs w:val="13"/>
                <w:color w:val="auto"/>
              </w:rPr>
            </w:pPr>
          </w:p>
        </w:tc>
        <w:tc>
          <w:tcPr>
            <w:tcW w:w="760" w:type="dxa"/>
            <w:vAlign w:val="bottom"/>
          </w:tcPr>
          <w:p>
            <w:pPr>
              <w:jc w:val="center"/>
              <w:spacing w:after="0" w:line="156" w:lineRule="exact"/>
              <w:rPr>
                <w:sz w:val="20"/>
                <w:szCs w:val="20"/>
                <w:color w:val="auto"/>
              </w:rPr>
            </w:pPr>
            <w:r>
              <w:rPr>
                <w:rFonts w:ascii="Arial" w:cs="Arial" w:eastAsia="Arial" w:hAnsi="Arial"/>
                <w:sz w:val="13"/>
                <w:szCs w:val="13"/>
                <w:b w:val="1"/>
                <w:bCs w:val="1"/>
                <w:color w:val="auto"/>
              </w:rPr>
              <w:t xml:space="preserve">Awards </w:t>
            </w:r>
            <w:r>
              <w:rPr>
                <w:rFonts w:ascii="Arial" w:cs="Arial" w:eastAsia="Arial" w:hAnsi="Arial"/>
                <w:sz w:val="18"/>
                <w:szCs w:val="18"/>
                <w:i w:val="1"/>
                <w:iCs w:val="1"/>
                <w:color w:val="auto"/>
                <w:vertAlign w:val="superscript"/>
              </w:rPr>
              <w:t>(2)</w:t>
            </w:r>
          </w:p>
        </w:tc>
        <w:tc>
          <w:tcPr>
            <w:tcW w:w="86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jc w:val="center"/>
              <w:ind w:right="12"/>
              <w:spacing w:after="0" w:line="156" w:lineRule="exact"/>
              <w:rPr>
                <w:sz w:val="20"/>
                <w:szCs w:val="20"/>
                <w:color w:val="auto"/>
              </w:rPr>
            </w:pPr>
            <w:r>
              <w:rPr>
                <w:rFonts w:ascii="Arial" w:cs="Arial" w:eastAsia="Arial" w:hAnsi="Arial"/>
                <w:sz w:val="14"/>
                <w:szCs w:val="14"/>
                <w:b w:val="1"/>
                <w:bCs w:val="1"/>
                <w:color w:val="auto"/>
                <w:w w:val="97"/>
              </w:rPr>
              <w:t>Awards:</w:t>
            </w:r>
          </w:p>
        </w:tc>
        <w:tc>
          <w:tcPr>
            <w:tcW w:w="9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9"/>
              </w:rPr>
              <w:t>Value of</w:t>
            </w:r>
          </w:p>
        </w:tc>
      </w:tr>
      <w:tr>
        <w:trPr>
          <w:trHeight w:val="101"/>
        </w:trPr>
        <w:tc>
          <w:tcPr>
            <w:tcW w:w="17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60" w:type="dxa"/>
            <w:vAlign w:val="bottom"/>
            <w:tcBorders>
              <w:bottom w:val="single" w:sz="8" w:color="auto"/>
              <w:right w:val="single" w:sz="8" w:color="auto"/>
            </w:tcBorders>
          </w:tcPr>
          <w:p>
            <w:pPr>
              <w:spacing w:after="0"/>
              <w:rPr>
                <w:sz w:val="8"/>
                <w:szCs w:val="8"/>
                <w:color w:val="auto"/>
              </w:rPr>
            </w:pPr>
          </w:p>
        </w:tc>
        <w:tc>
          <w:tcPr>
            <w:tcW w:w="1020" w:type="dxa"/>
            <w:vAlign w:val="bottom"/>
            <w:tcBorders>
              <w:right w:val="single" w:sz="8" w:color="auto"/>
            </w:tcBorders>
          </w:tcPr>
          <w:p>
            <w:pPr>
              <w:jc w:val="center"/>
              <w:ind w:right="12"/>
              <w:spacing w:after="0" w:line="101" w:lineRule="exact"/>
              <w:rPr>
                <w:sz w:val="20"/>
                <w:szCs w:val="20"/>
                <w:color w:val="auto"/>
              </w:rPr>
            </w:pPr>
            <w:r>
              <w:rPr>
                <w:rFonts w:ascii="Arial" w:cs="Arial" w:eastAsia="Arial" w:hAnsi="Arial"/>
                <w:sz w:val="10"/>
                <w:szCs w:val="10"/>
                <w:b w:val="1"/>
                <w:bCs w:val="1"/>
                <w:color w:val="auto"/>
              </w:rPr>
              <w:t>Number of</w:t>
            </w:r>
          </w:p>
        </w:tc>
        <w:tc>
          <w:tcPr>
            <w:tcW w:w="96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rPr>
              <w:t>Stock and</w:t>
            </w:r>
          </w:p>
        </w:tc>
      </w:tr>
      <w:tr>
        <w:trPr>
          <w:trHeight w:val="156"/>
        </w:trPr>
        <w:tc>
          <w:tcPr>
            <w:tcW w:w="17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Grant</w:t>
            </w:r>
          </w:p>
        </w:tc>
        <w:tc>
          <w:tcPr>
            <w:tcW w:w="8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 xml:space="preserve">   </w:t>
            </w:r>
          </w:p>
        </w:tc>
        <w:tc>
          <w:tcPr>
            <w:tcW w:w="7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jc w:val="center"/>
              <w:ind w:right="32"/>
              <w:spacing w:after="0" w:line="156" w:lineRule="exact"/>
              <w:rPr>
                <w:sz w:val="20"/>
                <w:szCs w:val="20"/>
                <w:color w:val="auto"/>
              </w:rPr>
            </w:pPr>
            <w:r>
              <w:rPr>
                <w:rFonts w:ascii="Arial" w:cs="Arial" w:eastAsia="Arial" w:hAnsi="Arial"/>
                <w:sz w:val="14"/>
                <w:szCs w:val="14"/>
                <w:b w:val="1"/>
                <w:bCs w:val="1"/>
                <w:color w:val="auto"/>
              </w:rPr>
              <w:t>Shares of</w:t>
            </w:r>
          </w:p>
        </w:tc>
        <w:tc>
          <w:tcPr>
            <w:tcW w:w="9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7"/>
              </w:rPr>
              <w:t>Option</w:t>
            </w:r>
          </w:p>
        </w:tc>
      </w:tr>
      <w:tr>
        <w:trPr>
          <w:trHeight w:val="202"/>
        </w:trPr>
        <w:tc>
          <w:tcPr>
            <w:tcW w:w="1720" w:type="dxa"/>
            <w:vAlign w:val="bottom"/>
          </w:tcPr>
          <w:p>
            <w:pPr>
              <w:spacing w:after="0"/>
              <w:rPr>
                <w:sz w:val="20"/>
                <w:szCs w:val="20"/>
                <w:color w:val="auto"/>
              </w:rPr>
            </w:pPr>
            <w:r>
              <w:rPr>
                <w:rFonts w:ascii="Arial" w:cs="Arial" w:eastAsia="Arial" w:hAnsi="Arial"/>
                <w:sz w:val="14"/>
                <w:szCs w:val="14"/>
                <w:b w:val="1"/>
                <w:bCs w:val="1"/>
                <w:color w:val="auto"/>
              </w:rPr>
              <w:t>   Name</w:t>
            </w:r>
          </w:p>
        </w:tc>
        <w:tc>
          <w:tcPr>
            <w:tcW w:w="1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Threshold </w:t>
            </w:r>
          </w:p>
        </w:tc>
        <w:tc>
          <w:tcPr>
            <w:tcW w:w="1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00" w:type="dxa"/>
            <w:vAlign w:val="bottom"/>
          </w:tcPr>
          <w:p>
            <w:pPr>
              <w:spacing w:after="0"/>
              <w:rPr>
                <w:sz w:val="17"/>
                <w:szCs w:val="17"/>
                <w:color w:val="auto"/>
              </w:rPr>
            </w:pPr>
          </w:p>
        </w:tc>
        <w:tc>
          <w:tcPr>
            <w:tcW w:w="920" w:type="dxa"/>
            <w:vAlign w:val="bottom"/>
            <w:tcBorders>
              <w:right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Max</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Threshold   </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   Target   </w:t>
            </w:r>
          </w:p>
        </w:tc>
        <w:tc>
          <w:tcPr>
            <w:tcW w:w="860" w:type="dxa"/>
            <w:vAlign w:val="bottom"/>
            <w:tcBorders>
              <w:right w:val="single" w:sz="8" w:color="auto"/>
            </w:tcBorders>
          </w:tcPr>
          <w:p>
            <w:pPr>
              <w:ind w:left="200"/>
              <w:spacing w:after="0"/>
              <w:rPr>
                <w:sz w:val="20"/>
                <w:szCs w:val="20"/>
                <w:color w:val="auto"/>
              </w:rPr>
            </w:pPr>
            <w:r>
              <w:rPr>
                <w:rFonts w:ascii="Arial" w:cs="Arial" w:eastAsia="Arial" w:hAnsi="Arial"/>
                <w:sz w:val="14"/>
                <w:szCs w:val="14"/>
                <w:b w:val="1"/>
                <w:bCs w:val="1"/>
                <w:color w:val="auto"/>
              </w:rPr>
              <w:t xml:space="preserve">   Max   </w:t>
            </w:r>
          </w:p>
        </w:tc>
        <w:tc>
          <w:tcPr>
            <w:tcW w:w="1020" w:type="dxa"/>
            <w:vAlign w:val="bottom"/>
            <w:tcBorders>
              <w:right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8"/>
              </w:rPr>
              <w:t>Stock or Units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Awards</w:t>
            </w:r>
          </w:p>
        </w:tc>
      </w:tr>
      <w:tr>
        <w:trPr>
          <w:trHeight w:val="28"/>
        </w:trPr>
        <w:tc>
          <w:tcPr>
            <w:tcW w:w="1720" w:type="dxa"/>
            <w:vAlign w:val="bottom"/>
            <w:tcBorders>
              <w:bottom w:val="single" w:sz="8" w:color="314A72"/>
            </w:tcBorders>
          </w:tcPr>
          <w:p>
            <w:pPr>
              <w:spacing w:after="0"/>
              <w:rPr>
                <w:sz w:val="2"/>
                <w:szCs w:val="2"/>
                <w:color w:val="auto"/>
              </w:rPr>
            </w:pPr>
          </w:p>
        </w:tc>
        <w:tc>
          <w:tcPr>
            <w:tcW w:w="100" w:type="dxa"/>
            <w:vAlign w:val="bottom"/>
            <w:tcBorders>
              <w:bottom w:val="single" w:sz="8" w:color="314A72"/>
              <w:right w:val="single" w:sz="8" w:color="auto"/>
            </w:tcBorders>
          </w:tcPr>
          <w:p>
            <w:pPr>
              <w:spacing w:after="0"/>
              <w:rPr>
                <w:sz w:val="2"/>
                <w:szCs w:val="2"/>
                <w:color w:val="auto"/>
              </w:rPr>
            </w:pPr>
          </w:p>
        </w:tc>
        <w:tc>
          <w:tcPr>
            <w:tcW w:w="780" w:type="dxa"/>
            <w:vAlign w:val="bottom"/>
            <w:tcBorders>
              <w:bottom w:val="single" w:sz="8" w:color="314A72"/>
              <w:right w:val="single" w:sz="8" w:color="auto"/>
            </w:tcBorders>
          </w:tcPr>
          <w:p>
            <w:pPr>
              <w:spacing w:after="0"/>
              <w:rPr>
                <w:sz w:val="2"/>
                <w:szCs w:val="2"/>
                <w:color w:val="auto"/>
              </w:rPr>
            </w:pPr>
          </w:p>
        </w:tc>
        <w:tc>
          <w:tcPr>
            <w:tcW w:w="860" w:type="dxa"/>
            <w:vAlign w:val="bottom"/>
            <w:tcBorders>
              <w:bottom w:val="single" w:sz="8" w:color="314A72"/>
            </w:tcBorders>
          </w:tcPr>
          <w:p>
            <w:pPr>
              <w:spacing w:after="0"/>
              <w:rPr>
                <w:sz w:val="2"/>
                <w:szCs w:val="2"/>
                <w:color w:val="auto"/>
              </w:rPr>
            </w:pPr>
          </w:p>
        </w:tc>
        <w:tc>
          <w:tcPr>
            <w:tcW w:w="140" w:type="dxa"/>
            <w:vAlign w:val="bottom"/>
            <w:tcBorders>
              <w:bottom w:val="single" w:sz="8" w:color="314A72"/>
              <w:right w:val="single" w:sz="8" w:color="auto"/>
            </w:tcBorders>
          </w:tcPr>
          <w:p>
            <w:pPr>
              <w:spacing w:after="0"/>
              <w:rPr>
                <w:sz w:val="2"/>
                <w:szCs w:val="2"/>
                <w:color w:val="auto"/>
              </w:rPr>
            </w:pPr>
          </w:p>
        </w:tc>
        <w:tc>
          <w:tcPr>
            <w:tcW w:w="1020" w:type="dxa"/>
            <w:vAlign w:val="bottom"/>
            <w:tcBorders>
              <w:bottom w:val="single" w:sz="8" w:color="314A72"/>
              <w:right w:val="single" w:sz="8" w:color="auto"/>
            </w:tcBorders>
          </w:tcPr>
          <w:p>
            <w:pPr>
              <w:spacing w:after="0"/>
              <w:rPr>
                <w:sz w:val="2"/>
                <w:szCs w:val="2"/>
                <w:color w:val="auto"/>
              </w:rPr>
            </w:pPr>
          </w:p>
        </w:tc>
        <w:tc>
          <w:tcPr>
            <w:tcW w:w="100" w:type="dxa"/>
            <w:vAlign w:val="bottom"/>
            <w:tcBorders>
              <w:bottom w:val="single" w:sz="8" w:color="314A72"/>
            </w:tcBorders>
          </w:tcPr>
          <w:p>
            <w:pPr>
              <w:spacing w:after="0"/>
              <w:rPr>
                <w:sz w:val="2"/>
                <w:szCs w:val="2"/>
                <w:color w:val="auto"/>
              </w:rPr>
            </w:pPr>
          </w:p>
        </w:tc>
        <w:tc>
          <w:tcPr>
            <w:tcW w:w="920" w:type="dxa"/>
            <w:vAlign w:val="bottom"/>
            <w:tcBorders>
              <w:bottom w:val="single" w:sz="8" w:color="314A72"/>
              <w:right w:val="single" w:sz="8" w:color="auto"/>
            </w:tcBorders>
          </w:tcPr>
          <w:p>
            <w:pPr>
              <w:spacing w:after="0"/>
              <w:rPr>
                <w:sz w:val="2"/>
                <w:szCs w:val="2"/>
                <w:color w:val="auto"/>
              </w:rPr>
            </w:pPr>
          </w:p>
        </w:tc>
        <w:tc>
          <w:tcPr>
            <w:tcW w:w="800" w:type="dxa"/>
            <w:vAlign w:val="bottom"/>
            <w:tcBorders>
              <w:bottom w:val="single" w:sz="8" w:color="314A72"/>
              <w:right w:val="single" w:sz="8" w:color="auto"/>
            </w:tcBorders>
          </w:tcPr>
          <w:p>
            <w:pPr>
              <w:spacing w:after="0"/>
              <w:rPr>
                <w:sz w:val="2"/>
                <w:szCs w:val="2"/>
                <w:color w:val="auto"/>
              </w:rPr>
            </w:pPr>
          </w:p>
        </w:tc>
        <w:tc>
          <w:tcPr>
            <w:tcW w:w="760" w:type="dxa"/>
            <w:vAlign w:val="bottom"/>
            <w:tcBorders>
              <w:bottom w:val="single" w:sz="8" w:color="314A72"/>
              <w:right w:val="single" w:sz="8" w:color="auto"/>
            </w:tcBorders>
          </w:tcPr>
          <w:p>
            <w:pPr>
              <w:spacing w:after="0"/>
              <w:rPr>
                <w:sz w:val="2"/>
                <w:szCs w:val="2"/>
                <w:color w:val="auto"/>
              </w:rPr>
            </w:pPr>
          </w:p>
        </w:tc>
        <w:tc>
          <w:tcPr>
            <w:tcW w:w="860" w:type="dxa"/>
            <w:vAlign w:val="bottom"/>
            <w:tcBorders>
              <w:bottom w:val="single" w:sz="8" w:color="314A72"/>
              <w:right w:val="single" w:sz="8" w:color="auto"/>
            </w:tcBorders>
          </w:tcPr>
          <w:p>
            <w:pPr>
              <w:spacing w:after="0"/>
              <w:rPr>
                <w:sz w:val="2"/>
                <w:szCs w:val="2"/>
                <w:color w:val="auto"/>
              </w:rPr>
            </w:pPr>
          </w:p>
        </w:tc>
        <w:tc>
          <w:tcPr>
            <w:tcW w:w="1020" w:type="dxa"/>
            <w:vAlign w:val="bottom"/>
            <w:tcBorders>
              <w:bottom w:val="single" w:sz="8" w:color="314A72"/>
              <w:right w:val="single" w:sz="8" w:color="auto"/>
            </w:tcBorders>
          </w:tcPr>
          <w:p>
            <w:pPr>
              <w:spacing w:after="0"/>
              <w:rPr>
                <w:sz w:val="2"/>
                <w:szCs w:val="2"/>
                <w:color w:val="auto"/>
              </w:rPr>
            </w:pPr>
          </w:p>
        </w:tc>
        <w:tc>
          <w:tcPr>
            <w:tcW w:w="960" w:type="dxa"/>
            <w:vAlign w:val="bottom"/>
            <w:tcBorders>
              <w:bottom w:val="single" w:sz="8" w:color="314A72"/>
            </w:tcBorders>
          </w:tcPr>
          <w:p>
            <w:pPr>
              <w:spacing w:after="0"/>
              <w:rPr>
                <w:sz w:val="2"/>
                <w:szCs w:val="2"/>
                <w:color w:val="auto"/>
              </w:rPr>
            </w:pPr>
          </w:p>
        </w:tc>
      </w:tr>
      <w:tr>
        <w:trPr>
          <w:trHeight w:val="187"/>
        </w:trPr>
        <w:tc>
          <w:tcPr>
            <w:tcW w:w="1720" w:type="dxa"/>
            <w:vAlign w:val="bottom"/>
            <w:tcBorders>
              <w:bottom w:val="single" w:sz="8" w:color="auto"/>
            </w:tcBorders>
            <w:shd w:val="clear" w:color="auto" w:fill="314A72"/>
          </w:tcPr>
          <w:p>
            <w:pPr>
              <w:ind w:left="820"/>
              <w:spacing w:after="0"/>
              <w:rPr>
                <w:sz w:val="20"/>
                <w:szCs w:val="20"/>
                <w:color w:val="auto"/>
              </w:rPr>
            </w:pPr>
            <w:r>
              <w:rPr>
                <w:rFonts w:ascii="Arial" w:cs="Arial" w:eastAsia="Arial" w:hAnsi="Arial"/>
                <w:sz w:val="14"/>
                <w:szCs w:val="14"/>
                <w:b w:val="1"/>
                <w:bCs w:val="1"/>
                <w:color w:val="FFFFFF"/>
              </w:rPr>
              <w:t>(a)</w:t>
            </w:r>
          </w:p>
        </w:tc>
        <w:tc>
          <w:tcPr>
            <w:tcW w:w="100" w:type="dxa"/>
            <w:vAlign w:val="bottom"/>
            <w:tcBorders>
              <w:bottom w:val="single" w:sz="8" w:color="auto"/>
              <w:right w:val="single" w:sz="8" w:color="314A72"/>
            </w:tcBorders>
            <w:shd w:val="clear" w:color="auto" w:fill="314A72"/>
          </w:tcPr>
          <w:p>
            <w:pPr>
              <w:spacing w:after="0"/>
              <w:rPr>
                <w:sz w:val="16"/>
                <w:szCs w:val="16"/>
                <w:color w:val="auto"/>
              </w:rPr>
            </w:pPr>
          </w:p>
        </w:tc>
        <w:tc>
          <w:tcPr>
            <w:tcW w:w="780" w:type="dxa"/>
            <w:vAlign w:val="bottom"/>
            <w:tcBorders>
              <w:bottom w:val="single" w:sz="8" w:color="auto"/>
              <w:right w:val="single" w:sz="8" w:color="314A72"/>
            </w:tcBorders>
            <w:shd w:val="clear" w:color="auto" w:fill="314A72"/>
          </w:tcPr>
          <w:p>
            <w:pPr>
              <w:jc w:val="center"/>
              <w:spacing w:after="0"/>
              <w:rPr>
                <w:sz w:val="20"/>
                <w:szCs w:val="20"/>
                <w:color w:val="auto"/>
              </w:rPr>
            </w:pPr>
            <w:r>
              <w:rPr>
                <w:rFonts w:ascii="Arial" w:cs="Arial" w:eastAsia="Arial" w:hAnsi="Arial"/>
                <w:sz w:val="14"/>
                <w:szCs w:val="14"/>
                <w:b w:val="1"/>
                <w:bCs w:val="1"/>
                <w:color w:val="FFFFFF"/>
              </w:rPr>
              <w:t>(b)</w:t>
            </w:r>
          </w:p>
        </w:tc>
        <w:tc>
          <w:tcPr>
            <w:tcW w:w="860" w:type="dxa"/>
            <w:vAlign w:val="bottom"/>
            <w:tcBorders>
              <w:bottom w:val="single" w:sz="8" w:color="auto"/>
            </w:tcBorders>
            <w:shd w:val="clear" w:color="auto" w:fill="314A72"/>
          </w:tcPr>
          <w:p>
            <w:pPr>
              <w:jc w:val="right"/>
              <w:ind w:right="51"/>
              <w:spacing w:after="0"/>
              <w:rPr>
                <w:sz w:val="20"/>
                <w:szCs w:val="20"/>
                <w:color w:val="auto"/>
              </w:rPr>
            </w:pPr>
            <w:r>
              <w:rPr>
                <w:rFonts w:ascii="Arial" w:cs="Arial" w:eastAsia="Arial" w:hAnsi="Arial"/>
                <w:sz w:val="14"/>
                <w:szCs w:val="14"/>
                <w:b w:val="1"/>
                <w:bCs w:val="1"/>
                <w:color w:val="FFFFFF"/>
              </w:rPr>
              <w:t xml:space="preserve">      (c)    </w:t>
            </w:r>
          </w:p>
        </w:tc>
        <w:tc>
          <w:tcPr>
            <w:tcW w:w="140" w:type="dxa"/>
            <w:vAlign w:val="bottom"/>
            <w:tcBorders>
              <w:bottom w:val="single" w:sz="8" w:color="auto"/>
              <w:right w:val="single" w:sz="8" w:color="314A72"/>
            </w:tcBorders>
            <w:shd w:val="clear" w:color="auto" w:fill="314A72"/>
          </w:tcPr>
          <w:p>
            <w:pPr>
              <w:spacing w:after="0"/>
              <w:rPr>
                <w:sz w:val="16"/>
                <w:szCs w:val="16"/>
                <w:color w:val="auto"/>
              </w:rPr>
            </w:pPr>
          </w:p>
        </w:tc>
        <w:tc>
          <w:tcPr>
            <w:tcW w:w="1120" w:type="dxa"/>
            <w:vAlign w:val="bottom"/>
            <w:tcBorders>
              <w:bottom w:val="single" w:sz="8" w:color="auto"/>
            </w:tcBorders>
            <w:gridSpan w:val="2"/>
            <w:shd w:val="clear" w:color="auto" w:fill="314A72"/>
          </w:tcPr>
          <w:p>
            <w:pPr>
              <w:ind w:left="120"/>
              <w:spacing w:after="0"/>
              <w:rPr>
                <w:sz w:val="20"/>
                <w:szCs w:val="20"/>
                <w:color w:val="auto"/>
              </w:rPr>
            </w:pPr>
            <w:r>
              <w:rPr>
                <w:rFonts w:ascii="Arial" w:cs="Arial" w:eastAsia="Arial" w:hAnsi="Arial"/>
                <w:sz w:val="14"/>
                <w:szCs w:val="14"/>
                <w:b w:val="1"/>
                <w:bCs w:val="1"/>
                <w:color w:val="FFFFFF"/>
              </w:rPr>
              <w:t xml:space="preserve">      (d)    </w:t>
            </w:r>
          </w:p>
        </w:tc>
        <w:tc>
          <w:tcPr>
            <w:tcW w:w="920" w:type="dxa"/>
            <w:vAlign w:val="bottom"/>
            <w:tcBorders>
              <w:bottom w:val="single" w:sz="8" w:color="auto"/>
              <w:right w:val="single" w:sz="8" w:color="314A72"/>
            </w:tcBorders>
            <w:shd w:val="clear" w:color="auto" w:fill="314A72"/>
          </w:tcPr>
          <w:p>
            <w:pPr>
              <w:jc w:val="right"/>
              <w:ind w:right="211"/>
              <w:spacing w:after="0"/>
              <w:rPr>
                <w:sz w:val="20"/>
                <w:szCs w:val="20"/>
                <w:color w:val="auto"/>
              </w:rPr>
            </w:pPr>
            <w:r>
              <w:rPr>
                <w:rFonts w:ascii="Arial" w:cs="Arial" w:eastAsia="Arial" w:hAnsi="Arial"/>
                <w:sz w:val="14"/>
                <w:szCs w:val="14"/>
                <w:b w:val="1"/>
                <w:bCs w:val="1"/>
                <w:color w:val="FFFFFF"/>
              </w:rPr>
              <w:t xml:space="preserve">      (e)    </w:t>
            </w:r>
          </w:p>
        </w:tc>
        <w:tc>
          <w:tcPr>
            <w:tcW w:w="800" w:type="dxa"/>
            <w:vAlign w:val="bottom"/>
            <w:tcBorders>
              <w:bottom w:val="single" w:sz="8" w:color="auto"/>
              <w:right w:val="single" w:sz="8" w:color="314A72"/>
            </w:tcBorders>
            <w:shd w:val="clear" w:color="auto" w:fill="314A72"/>
          </w:tcPr>
          <w:p>
            <w:pPr>
              <w:jc w:val="center"/>
              <w:spacing w:after="0"/>
              <w:rPr>
                <w:sz w:val="20"/>
                <w:szCs w:val="20"/>
                <w:color w:val="auto"/>
              </w:rPr>
            </w:pPr>
            <w:r>
              <w:rPr>
                <w:rFonts w:ascii="Arial" w:cs="Arial" w:eastAsia="Arial" w:hAnsi="Arial"/>
                <w:sz w:val="14"/>
                <w:szCs w:val="14"/>
                <w:b w:val="1"/>
                <w:bCs w:val="1"/>
                <w:color w:val="FFFFFF"/>
                <w:w w:val="99"/>
              </w:rPr>
              <w:t>(f)</w:t>
            </w:r>
          </w:p>
        </w:tc>
        <w:tc>
          <w:tcPr>
            <w:tcW w:w="760" w:type="dxa"/>
            <w:vAlign w:val="bottom"/>
            <w:tcBorders>
              <w:bottom w:val="single" w:sz="8" w:color="auto"/>
              <w:right w:val="single" w:sz="8" w:color="314A72"/>
            </w:tcBorders>
            <w:shd w:val="clear" w:color="auto" w:fill="314A72"/>
          </w:tcPr>
          <w:p>
            <w:pPr>
              <w:jc w:val="right"/>
              <w:ind w:right="231"/>
              <w:spacing w:after="0"/>
              <w:rPr>
                <w:sz w:val="20"/>
                <w:szCs w:val="20"/>
                <w:color w:val="auto"/>
              </w:rPr>
            </w:pPr>
            <w:r>
              <w:rPr>
                <w:rFonts w:ascii="Arial" w:cs="Arial" w:eastAsia="Arial" w:hAnsi="Arial"/>
                <w:sz w:val="14"/>
                <w:szCs w:val="14"/>
                <w:b w:val="1"/>
                <w:bCs w:val="1"/>
                <w:color w:val="FFFFFF"/>
              </w:rPr>
              <w:t>(g)</w:t>
            </w:r>
          </w:p>
        </w:tc>
        <w:tc>
          <w:tcPr>
            <w:tcW w:w="860" w:type="dxa"/>
            <w:vAlign w:val="bottom"/>
            <w:tcBorders>
              <w:bottom w:val="single" w:sz="8" w:color="auto"/>
              <w:right w:val="single" w:sz="8" w:color="314A72"/>
            </w:tcBorders>
            <w:shd w:val="clear" w:color="auto" w:fill="314A72"/>
          </w:tcPr>
          <w:p>
            <w:pPr>
              <w:ind w:left="320"/>
              <w:spacing w:after="0"/>
              <w:rPr>
                <w:sz w:val="20"/>
                <w:szCs w:val="20"/>
                <w:color w:val="auto"/>
              </w:rPr>
            </w:pPr>
            <w:r>
              <w:rPr>
                <w:rFonts w:ascii="Arial" w:cs="Arial" w:eastAsia="Arial" w:hAnsi="Arial"/>
                <w:sz w:val="14"/>
                <w:szCs w:val="14"/>
                <w:b w:val="1"/>
                <w:bCs w:val="1"/>
                <w:color w:val="FFFFFF"/>
              </w:rPr>
              <w:t>(h)</w:t>
            </w:r>
          </w:p>
        </w:tc>
        <w:tc>
          <w:tcPr>
            <w:tcW w:w="1020" w:type="dxa"/>
            <w:vAlign w:val="bottom"/>
            <w:tcBorders>
              <w:bottom w:val="single" w:sz="8" w:color="auto"/>
              <w:right w:val="single" w:sz="8" w:color="314A72"/>
            </w:tcBorders>
            <w:shd w:val="clear" w:color="auto" w:fill="314A72"/>
          </w:tcPr>
          <w:p>
            <w:pPr>
              <w:jc w:val="center"/>
              <w:ind w:right="12"/>
              <w:spacing w:after="0"/>
              <w:rPr>
                <w:sz w:val="20"/>
                <w:szCs w:val="20"/>
                <w:color w:val="auto"/>
              </w:rPr>
            </w:pPr>
            <w:r>
              <w:rPr>
                <w:rFonts w:ascii="Arial" w:cs="Arial" w:eastAsia="Arial" w:hAnsi="Arial"/>
                <w:sz w:val="14"/>
                <w:szCs w:val="14"/>
                <w:b w:val="1"/>
                <w:bCs w:val="1"/>
                <w:color w:val="FFFFFF"/>
              </w:rPr>
              <w:t>(i)</w:t>
            </w:r>
          </w:p>
        </w:tc>
        <w:tc>
          <w:tcPr>
            <w:tcW w:w="960" w:type="dxa"/>
            <w:vAlign w:val="bottom"/>
            <w:tcBorders>
              <w:bottom w:val="single" w:sz="8" w:color="auto"/>
            </w:tcBorders>
            <w:shd w:val="clear" w:color="auto" w:fill="314A72"/>
          </w:tcPr>
          <w:p>
            <w:pPr>
              <w:jc w:val="center"/>
              <w:spacing w:after="0"/>
              <w:rPr>
                <w:sz w:val="20"/>
                <w:szCs w:val="20"/>
                <w:color w:val="auto"/>
              </w:rPr>
            </w:pPr>
            <w:r>
              <w:rPr>
                <w:rFonts w:ascii="Arial" w:cs="Arial" w:eastAsia="Arial" w:hAnsi="Arial"/>
                <w:sz w:val="14"/>
                <w:szCs w:val="14"/>
                <w:b w:val="1"/>
                <w:bCs w:val="1"/>
                <w:color w:val="FFFFFF"/>
              </w:rPr>
              <w:t>(j)</w:t>
            </w:r>
          </w:p>
        </w:tc>
      </w:tr>
      <w:tr>
        <w:trPr>
          <w:trHeight w:val="281"/>
        </w:trPr>
        <w:tc>
          <w:tcPr>
            <w:tcW w:w="1720" w:type="dxa"/>
            <w:vAlign w:val="bottom"/>
            <w:shd w:val="clear" w:color="auto" w:fill="F7AB6C"/>
          </w:tcPr>
          <w:p>
            <w:pPr>
              <w:ind w:left="80"/>
              <w:spacing w:after="0"/>
              <w:rPr>
                <w:sz w:val="20"/>
                <w:szCs w:val="20"/>
                <w:color w:val="auto"/>
              </w:rPr>
            </w:pPr>
            <w:r>
              <w:rPr>
                <w:rFonts w:ascii="Arial" w:cs="Arial" w:eastAsia="Arial" w:hAnsi="Arial"/>
                <w:sz w:val="14"/>
                <w:szCs w:val="14"/>
                <w:b w:val="1"/>
                <w:bCs w:val="1"/>
                <w:color w:val="auto"/>
                <w:w w:val="92"/>
              </w:rPr>
              <w:t>Thomas P. Meissner, Jr. </w:t>
            </w:r>
          </w:p>
        </w:tc>
        <w:tc>
          <w:tcPr>
            <w:tcW w:w="100" w:type="dxa"/>
            <w:vAlign w:val="bottom"/>
            <w:tcBorders>
              <w:right w:val="single" w:sz="8" w:color="auto"/>
            </w:tcBorders>
            <w:shd w:val="clear" w:color="auto" w:fill="F7AB6C"/>
          </w:tcPr>
          <w:p>
            <w:pPr>
              <w:ind w:left="60"/>
              <w:spacing w:after="0"/>
              <w:rPr>
                <w:sz w:val="20"/>
                <w:szCs w:val="20"/>
                <w:color w:val="auto"/>
              </w:rPr>
            </w:pPr>
            <w:r>
              <w:rPr>
                <w:rFonts w:ascii="Arial" w:cs="Arial" w:eastAsia="Arial" w:hAnsi="Arial"/>
                <w:sz w:val="1"/>
                <w:szCs w:val="1"/>
                <w:b w:val="1"/>
                <w:bCs w:val="1"/>
                <w:color w:val="auto"/>
                <w:w w:val="4294967267"/>
              </w:rPr>
              <w:t> </w:t>
            </w: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1/27/26</w:t>
            </w:r>
            <w:r>
              <w:rPr>
                <w:rFonts w:ascii="Arial" w:cs="Arial" w:eastAsia="Arial" w:hAnsi="Arial"/>
                <w:sz w:val="20"/>
                <w:szCs w:val="20"/>
                <w:i w:val="1"/>
                <w:iCs w:val="1"/>
                <w:color w:val="auto"/>
                <w:vertAlign w:val="superscript"/>
              </w:rPr>
              <w:t>(3)</w:t>
            </w:r>
          </w:p>
        </w:tc>
        <w:tc>
          <w:tcPr>
            <w:tcW w:w="860" w:type="dxa"/>
            <w:vAlign w:val="bottom"/>
          </w:tcPr>
          <w:p>
            <w:pPr>
              <w:jc w:val="right"/>
              <w:spacing w:after="0"/>
              <w:rPr>
                <w:sz w:val="20"/>
                <w:szCs w:val="20"/>
                <w:color w:val="auto"/>
              </w:rPr>
            </w:pPr>
            <w:r>
              <w:rPr>
                <w:rFonts w:ascii="Arial" w:cs="Arial" w:eastAsia="Arial" w:hAnsi="Arial"/>
                <w:sz w:val="14"/>
                <w:szCs w:val="14"/>
                <w:color w:val="auto"/>
              </w:rPr>
              <w:t>$241,821 </w:t>
            </w:r>
          </w:p>
        </w:tc>
        <w:tc>
          <w:tcPr>
            <w:tcW w:w="1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$483,643 </w:t>
            </w:r>
          </w:p>
        </w:tc>
        <w:tc>
          <w:tcPr>
            <w:tcW w:w="100" w:type="dxa"/>
            <w:vAlign w:val="bottom"/>
          </w:tcPr>
          <w:p>
            <w:pPr>
              <w:spacing w:after="0"/>
              <w:rPr>
                <w:sz w:val="24"/>
                <w:szCs w:val="24"/>
                <w:color w:val="auto"/>
              </w:rPr>
            </w:pPr>
          </w:p>
        </w:tc>
        <w:tc>
          <w:tcPr>
            <w:tcW w:w="9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$725,464 </w:t>
            </w:r>
          </w:p>
        </w:tc>
        <w:tc>
          <w:tcPr>
            <w:tcW w:w="80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w:t>
            </w:r>
          </w:p>
        </w:tc>
      </w:tr>
      <w:tr>
        <w:trPr>
          <w:trHeight w:val="260"/>
        </w:trPr>
        <w:tc>
          <w:tcPr>
            <w:tcW w:w="1720" w:type="dxa"/>
            <w:vAlign w:val="bottom"/>
            <w:shd w:val="clear" w:color="auto" w:fill="F7AB6C"/>
          </w:tcPr>
          <w:p>
            <w:pPr>
              <w:spacing w:after="0"/>
              <w:rPr>
                <w:sz w:val="22"/>
                <w:szCs w:val="22"/>
                <w:color w:val="auto"/>
              </w:rPr>
            </w:pPr>
          </w:p>
        </w:tc>
        <w:tc>
          <w:tcPr>
            <w:tcW w:w="100" w:type="dxa"/>
            <w:vAlign w:val="bottom"/>
            <w:tcBorders>
              <w:right w:val="single" w:sz="8" w:color="auto"/>
            </w:tcBorders>
            <w:shd w:val="clear" w:color="auto" w:fill="F7AB6C"/>
          </w:tcPr>
          <w:p>
            <w:pPr>
              <w:spacing w:after="0"/>
              <w:rPr>
                <w:sz w:val="22"/>
                <w:szCs w:val="22"/>
                <w:color w:val="auto"/>
              </w:rPr>
            </w:pP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1/28/25</w:t>
            </w:r>
            <w:r>
              <w:rPr>
                <w:rFonts w:ascii="Arial" w:cs="Arial" w:eastAsia="Arial" w:hAnsi="Arial"/>
                <w:sz w:val="20"/>
                <w:szCs w:val="20"/>
                <w:i w:val="1"/>
                <w:iCs w:val="1"/>
                <w:color w:val="auto"/>
                <w:vertAlign w:val="superscript"/>
              </w:rPr>
              <w:t>(4)</w:t>
            </w:r>
          </w:p>
        </w:tc>
        <w:tc>
          <w:tcPr>
            <w:tcW w:w="860" w:type="dxa"/>
            <w:vAlign w:val="bottom"/>
          </w:tcPr>
          <w:p>
            <w:pPr>
              <w:jc w:val="right"/>
              <w:spacing w:after="0"/>
              <w:rPr>
                <w:sz w:val="20"/>
                <w:szCs w:val="20"/>
                <w:color w:val="auto"/>
              </w:rPr>
            </w:pPr>
            <w:r>
              <w:rPr>
                <w:rFonts w:ascii="Arial" w:cs="Arial" w:eastAsia="Arial" w:hAnsi="Arial"/>
                <w:sz w:val="14"/>
                <w:szCs w:val="14"/>
                <w:color w:val="auto"/>
              </w:rPr>
              <w:t>— </w:t>
            </w:r>
          </w:p>
        </w:tc>
        <w:tc>
          <w:tcPr>
            <w:tcW w:w="1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22"/>
                <w:szCs w:val="22"/>
                <w:color w:val="auto"/>
              </w:rPr>
            </w:pPr>
          </w:p>
        </w:tc>
        <w:tc>
          <w:tcPr>
            <w:tcW w:w="9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80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3,570</w:t>
            </w:r>
          </w:p>
        </w:tc>
        <w:tc>
          <w:tcPr>
            <w:tcW w:w="760" w:type="dxa"/>
            <w:vAlign w:val="bottom"/>
            <w:tcBorders>
              <w:right w:val="single" w:sz="8" w:color="auto"/>
            </w:tcBorders>
          </w:tcPr>
          <w:p>
            <w:pPr>
              <w:jc w:val="right"/>
              <w:ind w:right="111"/>
              <w:spacing w:after="0"/>
              <w:rPr>
                <w:sz w:val="20"/>
                <w:szCs w:val="20"/>
                <w:color w:val="auto"/>
              </w:rPr>
            </w:pPr>
            <w:r>
              <w:rPr>
                <w:rFonts w:ascii="Arial" w:cs="Arial" w:eastAsia="Arial" w:hAnsi="Arial"/>
                <w:sz w:val="14"/>
                <w:szCs w:val="14"/>
                <w:color w:val="auto"/>
              </w:rPr>
              <w:t>7,140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10,710</w:t>
            </w:r>
          </w:p>
        </w:tc>
        <w:tc>
          <w:tcPr>
            <w:tcW w:w="10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$375,921</w:t>
            </w:r>
          </w:p>
        </w:tc>
      </w:tr>
      <w:tr>
        <w:trPr>
          <w:trHeight w:val="219"/>
        </w:trPr>
        <w:tc>
          <w:tcPr>
            <w:tcW w:w="1720" w:type="dxa"/>
            <w:vAlign w:val="bottom"/>
            <w:tcBorders>
              <w:bottom w:val="single" w:sz="8" w:color="auto"/>
            </w:tcBorders>
            <w:shd w:val="clear" w:color="auto" w:fill="F7AB6C"/>
          </w:tcPr>
          <w:p>
            <w:pPr>
              <w:spacing w:after="0"/>
              <w:rPr>
                <w:sz w:val="19"/>
                <w:szCs w:val="19"/>
                <w:color w:val="auto"/>
              </w:rPr>
            </w:pPr>
          </w:p>
        </w:tc>
        <w:tc>
          <w:tcPr>
            <w:tcW w:w="100" w:type="dxa"/>
            <w:vAlign w:val="bottom"/>
            <w:tcBorders>
              <w:bottom w:val="single" w:sz="8" w:color="auto"/>
              <w:right w:val="single" w:sz="8" w:color="auto"/>
            </w:tcBorders>
            <w:shd w:val="clear" w:color="auto" w:fill="F7AB6C"/>
          </w:tcPr>
          <w:p>
            <w:pPr>
              <w:spacing w:after="0"/>
              <w:rPr>
                <w:sz w:val="19"/>
                <w:szCs w:val="19"/>
                <w:color w:val="auto"/>
              </w:rPr>
            </w:pPr>
          </w:p>
        </w:tc>
        <w:tc>
          <w:tcPr>
            <w:tcW w:w="780" w:type="dxa"/>
            <w:vAlign w:val="bottom"/>
            <w:tcBorders>
              <w:bottom w:val="single" w:sz="8" w:color="auto"/>
              <w:right w:val="single" w:sz="8" w:color="auto"/>
            </w:tcBorders>
          </w:tcPr>
          <w:p>
            <w:pPr>
              <w:ind w:left="60"/>
              <w:spacing w:after="0" w:line="219" w:lineRule="exact"/>
              <w:rPr>
                <w:sz w:val="20"/>
                <w:szCs w:val="20"/>
                <w:color w:val="auto"/>
              </w:rPr>
            </w:pPr>
            <w:r>
              <w:rPr>
                <w:rFonts w:ascii="Arial" w:cs="Arial" w:eastAsia="Arial" w:hAnsi="Arial"/>
                <w:sz w:val="14"/>
                <w:szCs w:val="14"/>
                <w:color w:val="auto"/>
              </w:rPr>
              <w:t>1/28/25</w:t>
            </w:r>
            <w:r>
              <w:rPr>
                <w:rFonts w:ascii="Arial" w:cs="Arial" w:eastAsia="Arial" w:hAnsi="Arial"/>
                <w:sz w:val="20"/>
                <w:szCs w:val="20"/>
                <w:i w:val="1"/>
                <w:iCs w:val="1"/>
                <w:color w:val="auto"/>
                <w:vertAlign w:val="superscript"/>
              </w:rPr>
              <w:t>(5)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color w:val="auto"/>
              </w:rPr>
              <w:t>7,140</w:t>
            </w:r>
          </w:p>
        </w:tc>
        <w:tc>
          <w:tcPr>
            <w:tcW w:w="760" w:type="dxa"/>
            <w:vAlign w:val="bottom"/>
            <w:tcBorders>
              <w:bottom w:val="single" w:sz="8" w:color="auto"/>
              <w:right w:val="single" w:sz="8" w:color="auto"/>
            </w:tcBorders>
          </w:tcPr>
          <w:p>
            <w:pPr>
              <w:jc w:val="right"/>
              <w:ind w:right="111"/>
              <w:spacing w:after="0"/>
              <w:rPr>
                <w:sz w:val="20"/>
                <w:szCs w:val="20"/>
                <w:color w:val="auto"/>
              </w:rPr>
            </w:pPr>
            <w:r>
              <w:rPr>
                <w:rFonts w:ascii="Arial" w:cs="Arial" w:eastAsia="Arial" w:hAnsi="Arial"/>
                <w:sz w:val="14"/>
                <w:szCs w:val="14"/>
                <w:color w:val="auto"/>
              </w:rPr>
              <w:t>7,140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  7,140</w:t>
            </w:r>
          </w:p>
        </w:tc>
        <w:tc>
          <w:tcPr>
            <w:tcW w:w="102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$375,921</w:t>
            </w:r>
          </w:p>
        </w:tc>
      </w:tr>
      <w:tr>
        <w:trPr>
          <w:trHeight w:val="281"/>
        </w:trPr>
        <w:tc>
          <w:tcPr>
            <w:tcW w:w="1720" w:type="dxa"/>
            <w:vAlign w:val="bottom"/>
            <w:shd w:val="clear" w:color="auto" w:fill="F7AB6C"/>
          </w:tcPr>
          <w:p>
            <w:pPr>
              <w:ind w:left="80"/>
              <w:spacing w:after="0"/>
              <w:rPr>
                <w:sz w:val="20"/>
                <w:szCs w:val="20"/>
                <w:color w:val="auto"/>
              </w:rPr>
            </w:pPr>
            <w:r>
              <w:rPr>
                <w:rFonts w:ascii="Arial" w:cs="Arial" w:eastAsia="Arial" w:hAnsi="Arial"/>
                <w:sz w:val="14"/>
                <w:szCs w:val="14"/>
                <w:b w:val="1"/>
                <w:bCs w:val="1"/>
                <w:color w:val="auto"/>
              </w:rPr>
              <w:t>Robert B. Hevert</w:t>
            </w:r>
          </w:p>
        </w:tc>
        <w:tc>
          <w:tcPr>
            <w:tcW w:w="100" w:type="dxa"/>
            <w:vAlign w:val="bottom"/>
            <w:tcBorders>
              <w:right w:val="single" w:sz="8" w:color="auto"/>
            </w:tcBorders>
            <w:shd w:val="clear" w:color="auto" w:fill="F7AB6C"/>
          </w:tcPr>
          <w:p>
            <w:pPr>
              <w:spacing w:after="0"/>
              <w:rPr>
                <w:sz w:val="24"/>
                <w:szCs w:val="24"/>
                <w:color w:val="auto"/>
              </w:rPr>
            </w:pP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1/27/26</w:t>
            </w:r>
            <w:r>
              <w:rPr>
                <w:rFonts w:ascii="Arial" w:cs="Arial" w:eastAsia="Arial" w:hAnsi="Arial"/>
                <w:sz w:val="20"/>
                <w:szCs w:val="20"/>
                <w:i w:val="1"/>
                <w:iCs w:val="1"/>
                <w:color w:val="auto"/>
                <w:vertAlign w:val="superscript"/>
              </w:rPr>
              <w:t>(6)</w:t>
            </w:r>
          </w:p>
        </w:tc>
        <w:tc>
          <w:tcPr>
            <w:tcW w:w="860" w:type="dxa"/>
            <w:vAlign w:val="bottom"/>
          </w:tcPr>
          <w:p>
            <w:pPr>
              <w:jc w:val="right"/>
              <w:spacing w:after="0"/>
              <w:rPr>
                <w:sz w:val="20"/>
                <w:szCs w:val="20"/>
                <w:color w:val="auto"/>
              </w:rPr>
            </w:pPr>
            <w:r>
              <w:rPr>
                <w:rFonts w:ascii="Arial" w:cs="Arial" w:eastAsia="Arial" w:hAnsi="Arial"/>
                <w:sz w:val="14"/>
                <w:szCs w:val="14"/>
                <w:color w:val="auto"/>
              </w:rPr>
              <w:t>$121,500 </w:t>
            </w:r>
          </w:p>
        </w:tc>
        <w:tc>
          <w:tcPr>
            <w:tcW w:w="1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$243,000 </w:t>
            </w:r>
          </w:p>
        </w:tc>
        <w:tc>
          <w:tcPr>
            <w:tcW w:w="100" w:type="dxa"/>
            <w:vAlign w:val="bottom"/>
          </w:tcPr>
          <w:p>
            <w:pPr>
              <w:spacing w:after="0"/>
              <w:rPr>
                <w:sz w:val="24"/>
                <w:szCs w:val="24"/>
                <w:color w:val="auto"/>
              </w:rPr>
            </w:pPr>
          </w:p>
        </w:tc>
        <w:tc>
          <w:tcPr>
            <w:tcW w:w="9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$364,500 </w:t>
            </w:r>
          </w:p>
        </w:tc>
        <w:tc>
          <w:tcPr>
            <w:tcW w:w="80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w:t>
            </w:r>
          </w:p>
        </w:tc>
      </w:tr>
      <w:tr>
        <w:trPr>
          <w:trHeight w:val="260"/>
        </w:trPr>
        <w:tc>
          <w:tcPr>
            <w:tcW w:w="1720" w:type="dxa"/>
            <w:vAlign w:val="bottom"/>
            <w:shd w:val="clear" w:color="auto" w:fill="F7AB6C"/>
          </w:tcPr>
          <w:p>
            <w:pPr>
              <w:spacing w:after="0"/>
              <w:rPr>
                <w:sz w:val="22"/>
                <w:szCs w:val="22"/>
                <w:color w:val="auto"/>
              </w:rPr>
            </w:pPr>
          </w:p>
        </w:tc>
        <w:tc>
          <w:tcPr>
            <w:tcW w:w="100" w:type="dxa"/>
            <w:vAlign w:val="bottom"/>
            <w:tcBorders>
              <w:right w:val="single" w:sz="8" w:color="auto"/>
            </w:tcBorders>
            <w:shd w:val="clear" w:color="auto" w:fill="F7AB6C"/>
          </w:tcPr>
          <w:p>
            <w:pPr>
              <w:spacing w:after="0"/>
              <w:rPr>
                <w:sz w:val="22"/>
                <w:szCs w:val="22"/>
                <w:color w:val="auto"/>
              </w:rPr>
            </w:pP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1/28/25</w:t>
            </w:r>
            <w:r>
              <w:rPr>
                <w:rFonts w:ascii="Arial" w:cs="Arial" w:eastAsia="Arial" w:hAnsi="Arial"/>
                <w:sz w:val="20"/>
                <w:szCs w:val="20"/>
                <w:i w:val="1"/>
                <w:iCs w:val="1"/>
                <w:color w:val="auto"/>
                <w:vertAlign w:val="superscript"/>
              </w:rPr>
              <w:t>(7)</w:t>
            </w:r>
          </w:p>
        </w:tc>
        <w:tc>
          <w:tcPr>
            <w:tcW w:w="860" w:type="dxa"/>
            <w:vAlign w:val="bottom"/>
          </w:tcPr>
          <w:p>
            <w:pPr>
              <w:jc w:val="right"/>
              <w:spacing w:after="0"/>
              <w:rPr>
                <w:sz w:val="20"/>
                <w:szCs w:val="20"/>
                <w:color w:val="auto"/>
              </w:rPr>
            </w:pPr>
            <w:r>
              <w:rPr>
                <w:rFonts w:ascii="Arial" w:cs="Arial" w:eastAsia="Arial" w:hAnsi="Arial"/>
                <w:sz w:val="14"/>
                <w:szCs w:val="14"/>
                <w:color w:val="auto"/>
              </w:rPr>
              <w:t>— </w:t>
            </w:r>
          </w:p>
        </w:tc>
        <w:tc>
          <w:tcPr>
            <w:tcW w:w="1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22"/>
                <w:szCs w:val="22"/>
                <w:color w:val="auto"/>
              </w:rPr>
            </w:pPr>
          </w:p>
        </w:tc>
        <w:tc>
          <w:tcPr>
            <w:tcW w:w="9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80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1,655</w:t>
            </w:r>
          </w:p>
        </w:tc>
        <w:tc>
          <w:tcPr>
            <w:tcW w:w="760" w:type="dxa"/>
            <w:vAlign w:val="bottom"/>
            <w:tcBorders>
              <w:right w:val="single" w:sz="8" w:color="auto"/>
            </w:tcBorders>
          </w:tcPr>
          <w:p>
            <w:pPr>
              <w:jc w:val="right"/>
              <w:ind w:right="111"/>
              <w:spacing w:after="0"/>
              <w:rPr>
                <w:sz w:val="20"/>
                <w:szCs w:val="20"/>
                <w:color w:val="auto"/>
              </w:rPr>
            </w:pPr>
            <w:r>
              <w:rPr>
                <w:rFonts w:ascii="Arial" w:cs="Arial" w:eastAsia="Arial" w:hAnsi="Arial"/>
                <w:sz w:val="14"/>
                <w:szCs w:val="14"/>
                <w:color w:val="auto"/>
              </w:rPr>
              <w:t>3,310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  4,965</w:t>
            </w:r>
          </w:p>
        </w:tc>
        <w:tc>
          <w:tcPr>
            <w:tcW w:w="10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$174,272</w:t>
            </w:r>
          </w:p>
        </w:tc>
      </w:tr>
      <w:tr>
        <w:trPr>
          <w:trHeight w:val="219"/>
        </w:trPr>
        <w:tc>
          <w:tcPr>
            <w:tcW w:w="1720" w:type="dxa"/>
            <w:vAlign w:val="bottom"/>
            <w:tcBorders>
              <w:bottom w:val="single" w:sz="8" w:color="auto"/>
            </w:tcBorders>
            <w:shd w:val="clear" w:color="auto" w:fill="F7AB6C"/>
          </w:tcPr>
          <w:p>
            <w:pPr>
              <w:spacing w:after="0"/>
              <w:rPr>
                <w:sz w:val="19"/>
                <w:szCs w:val="19"/>
                <w:color w:val="auto"/>
              </w:rPr>
            </w:pPr>
          </w:p>
        </w:tc>
        <w:tc>
          <w:tcPr>
            <w:tcW w:w="100" w:type="dxa"/>
            <w:vAlign w:val="bottom"/>
            <w:tcBorders>
              <w:bottom w:val="single" w:sz="8" w:color="auto"/>
              <w:right w:val="single" w:sz="8" w:color="auto"/>
            </w:tcBorders>
            <w:shd w:val="clear" w:color="auto" w:fill="F7AB6C"/>
          </w:tcPr>
          <w:p>
            <w:pPr>
              <w:spacing w:after="0"/>
              <w:rPr>
                <w:sz w:val="19"/>
                <w:szCs w:val="19"/>
                <w:color w:val="auto"/>
              </w:rPr>
            </w:pPr>
          </w:p>
        </w:tc>
        <w:tc>
          <w:tcPr>
            <w:tcW w:w="780" w:type="dxa"/>
            <w:vAlign w:val="bottom"/>
            <w:tcBorders>
              <w:bottom w:val="single" w:sz="8" w:color="auto"/>
              <w:right w:val="single" w:sz="8" w:color="auto"/>
            </w:tcBorders>
          </w:tcPr>
          <w:p>
            <w:pPr>
              <w:ind w:left="60"/>
              <w:spacing w:after="0" w:line="219" w:lineRule="exact"/>
              <w:rPr>
                <w:sz w:val="20"/>
                <w:szCs w:val="20"/>
                <w:color w:val="auto"/>
              </w:rPr>
            </w:pPr>
            <w:r>
              <w:rPr>
                <w:rFonts w:ascii="Arial" w:cs="Arial" w:eastAsia="Arial" w:hAnsi="Arial"/>
                <w:sz w:val="14"/>
                <w:szCs w:val="14"/>
                <w:color w:val="auto"/>
              </w:rPr>
              <w:t>1/28/25</w:t>
            </w:r>
            <w:r>
              <w:rPr>
                <w:rFonts w:ascii="Arial" w:cs="Arial" w:eastAsia="Arial" w:hAnsi="Arial"/>
                <w:sz w:val="20"/>
                <w:szCs w:val="20"/>
                <w:i w:val="1"/>
                <w:iCs w:val="1"/>
                <w:color w:val="auto"/>
                <w:vertAlign w:val="superscript"/>
              </w:rPr>
              <w:t>(8)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color w:val="auto"/>
              </w:rPr>
              <w:t>3,310</w:t>
            </w:r>
          </w:p>
        </w:tc>
        <w:tc>
          <w:tcPr>
            <w:tcW w:w="760" w:type="dxa"/>
            <w:vAlign w:val="bottom"/>
            <w:tcBorders>
              <w:bottom w:val="single" w:sz="8" w:color="auto"/>
              <w:right w:val="single" w:sz="8" w:color="auto"/>
            </w:tcBorders>
          </w:tcPr>
          <w:p>
            <w:pPr>
              <w:jc w:val="right"/>
              <w:ind w:right="111"/>
              <w:spacing w:after="0"/>
              <w:rPr>
                <w:sz w:val="20"/>
                <w:szCs w:val="20"/>
                <w:color w:val="auto"/>
              </w:rPr>
            </w:pPr>
            <w:r>
              <w:rPr>
                <w:rFonts w:ascii="Arial" w:cs="Arial" w:eastAsia="Arial" w:hAnsi="Arial"/>
                <w:sz w:val="14"/>
                <w:szCs w:val="14"/>
                <w:color w:val="auto"/>
              </w:rPr>
              <w:t>3,310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  3,310</w:t>
            </w:r>
          </w:p>
        </w:tc>
        <w:tc>
          <w:tcPr>
            <w:tcW w:w="102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$174,272</w:t>
            </w:r>
          </w:p>
        </w:tc>
      </w:tr>
      <w:tr>
        <w:trPr>
          <w:trHeight w:val="281"/>
        </w:trPr>
        <w:tc>
          <w:tcPr>
            <w:tcW w:w="1720" w:type="dxa"/>
            <w:vAlign w:val="bottom"/>
            <w:shd w:val="clear" w:color="auto" w:fill="F7AB6C"/>
          </w:tcPr>
          <w:p>
            <w:pPr>
              <w:ind w:left="80"/>
              <w:spacing w:after="0"/>
              <w:rPr>
                <w:sz w:val="20"/>
                <w:szCs w:val="20"/>
                <w:color w:val="auto"/>
              </w:rPr>
            </w:pPr>
            <w:r>
              <w:rPr>
                <w:rFonts w:ascii="Arial" w:cs="Arial" w:eastAsia="Arial" w:hAnsi="Arial"/>
                <w:sz w:val="14"/>
                <w:szCs w:val="14"/>
                <w:b w:val="1"/>
                <w:bCs w:val="1"/>
                <w:color w:val="auto"/>
              </w:rPr>
              <w:t>Daniel J. Hurstak</w:t>
            </w:r>
          </w:p>
        </w:tc>
        <w:tc>
          <w:tcPr>
            <w:tcW w:w="100" w:type="dxa"/>
            <w:vAlign w:val="bottom"/>
            <w:tcBorders>
              <w:right w:val="single" w:sz="8" w:color="auto"/>
            </w:tcBorders>
            <w:shd w:val="clear" w:color="auto" w:fill="F7AB6C"/>
          </w:tcPr>
          <w:p>
            <w:pPr>
              <w:spacing w:after="0"/>
              <w:rPr>
                <w:sz w:val="24"/>
                <w:szCs w:val="24"/>
                <w:color w:val="auto"/>
              </w:rPr>
            </w:pP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1/27/26</w:t>
            </w:r>
            <w:r>
              <w:rPr>
                <w:rFonts w:ascii="Arial" w:cs="Arial" w:eastAsia="Arial" w:hAnsi="Arial"/>
                <w:sz w:val="20"/>
                <w:szCs w:val="20"/>
                <w:i w:val="1"/>
                <w:iCs w:val="1"/>
                <w:color w:val="auto"/>
                <w:vertAlign w:val="superscript"/>
              </w:rPr>
              <w:t>(9)</w:t>
            </w:r>
          </w:p>
        </w:tc>
        <w:tc>
          <w:tcPr>
            <w:tcW w:w="860" w:type="dxa"/>
            <w:vAlign w:val="bottom"/>
          </w:tcPr>
          <w:p>
            <w:pPr>
              <w:jc w:val="right"/>
              <w:spacing w:after="0"/>
              <w:rPr>
                <w:sz w:val="20"/>
                <w:szCs w:val="20"/>
                <w:color w:val="auto"/>
              </w:rPr>
            </w:pPr>
            <w:r>
              <w:rPr>
                <w:rFonts w:ascii="Arial" w:cs="Arial" w:eastAsia="Arial" w:hAnsi="Arial"/>
                <w:sz w:val="14"/>
                <w:szCs w:val="14"/>
                <w:color w:val="auto"/>
              </w:rPr>
              <w:t>$79,401 </w:t>
            </w:r>
          </w:p>
        </w:tc>
        <w:tc>
          <w:tcPr>
            <w:tcW w:w="1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$158,801 </w:t>
            </w:r>
          </w:p>
        </w:tc>
        <w:tc>
          <w:tcPr>
            <w:tcW w:w="100" w:type="dxa"/>
            <w:vAlign w:val="bottom"/>
          </w:tcPr>
          <w:p>
            <w:pPr>
              <w:spacing w:after="0"/>
              <w:rPr>
                <w:sz w:val="24"/>
                <w:szCs w:val="24"/>
                <w:color w:val="auto"/>
              </w:rPr>
            </w:pPr>
          </w:p>
        </w:tc>
        <w:tc>
          <w:tcPr>
            <w:tcW w:w="9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$238,202 </w:t>
            </w:r>
          </w:p>
        </w:tc>
        <w:tc>
          <w:tcPr>
            <w:tcW w:w="80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w:t>
            </w:r>
          </w:p>
        </w:tc>
      </w:tr>
      <w:tr>
        <w:trPr>
          <w:trHeight w:val="260"/>
        </w:trPr>
        <w:tc>
          <w:tcPr>
            <w:tcW w:w="1720" w:type="dxa"/>
            <w:vAlign w:val="bottom"/>
            <w:shd w:val="clear" w:color="auto" w:fill="F7AB6C"/>
          </w:tcPr>
          <w:p>
            <w:pPr>
              <w:spacing w:after="0"/>
              <w:rPr>
                <w:sz w:val="22"/>
                <w:szCs w:val="22"/>
                <w:color w:val="auto"/>
              </w:rPr>
            </w:pPr>
          </w:p>
        </w:tc>
        <w:tc>
          <w:tcPr>
            <w:tcW w:w="100" w:type="dxa"/>
            <w:vAlign w:val="bottom"/>
            <w:tcBorders>
              <w:right w:val="single" w:sz="8" w:color="auto"/>
            </w:tcBorders>
            <w:shd w:val="clear" w:color="auto" w:fill="F7AB6C"/>
          </w:tcPr>
          <w:p>
            <w:pPr>
              <w:spacing w:after="0"/>
              <w:rPr>
                <w:sz w:val="22"/>
                <w:szCs w:val="22"/>
                <w:color w:val="auto"/>
              </w:rPr>
            </w:pP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6"/>
              </w:rPr>
              <w:t>1/28/25</w:t>
            </w:r>
            <w:r>
              <w:rPr>
                <w:rFonts w:ascii="Arial" w:cs="Arial" w:eastAsia="Arial" w:hAnsi="Arial"/>
                <w:sz w:val="20"/>
                <w:szCs w:val="20"/>
                <w:i w:val="1"/>
                <w:iCs w:val="1"/>
                <w:color w:val="auto"/>
                <w:w w:val="96"/>
                <w:vertAlign w:val="superscript"/>
              </w:rPr>
              <w:t>(10)</w:t>
            </w:r>
          </w:p>
        </w:tc>
        <w:tc>
          <w:tcPr>
            <w:tcW w:w="860" w:type="dxa"/>
            <w:vAlign w:val="bottom"/>
          </w:tcPr>
          <w:p>
            <w:pPr>
              <w:jc w:val="right"/>
              <w:spacing w:after="0"/>
              <w:rPr>
                <w:sz w:val="20"/>
                <w:szCs w:val="20"/>
                <w:color w:val="auto"/>
              </w:rPr>
            </w:pPr>
            <w:r>
              <w:rPr>
                <w:rFonts w:ascii="Arial" w:cs="Arial" w:eastAsia="Arial" w:hAnsi="Arial"/>
                <w:sz w:val="14"/>
                <w:szCs w:val="14"/>
                <w:color w:val="auto"/>
              </w:rPr>
              <w:t>— </w:t>
            </w:r>
          </w:p>
        </w:tc>
        <w:tc>
          <w:tcPr>
            <w:tcW w:w="1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22"/>
                <w:szCs w:val="22"/>
                <w:color w:val="auto"/>
              </w:rPr>
            </w:pPr>
          </w:p>
        </w:tc>
        <w:tc>
          <w:tcPr>
            <w:tcW w:w="9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80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1,070</w:t>
            </w:r>
          </w:p>
        </w:tc>
        <w:tc>
          <w:tcPr>
            <w:tcW w:w="760" w:type="dxa"/>
            <w:vAlign w:val="bottom"/>
            <w:tcBorders>
              <w:right w:val="single" w:sz="8" w:color="auto"/>
            </w:tcBorders>
          </w:tcPr>
          <w:p>
            <w:pPr>
              <w:jc w:val="right"/>
              <w:ind w:right="111"/>
              <w:spacing w:after="0"/>
              <w:rPr>
                <w:sz w:val="20"/>
                <w:szCs w:val="20"/>
                <w:color w:val="auto"/>
              </w:rPr>
            </w:pPr>
            <w:r>
              <w:rPr>
                <w:rFonts w:ascii="Arial" w:cs="Arial" w:eastAsia="Arial" w:hAnsi="Arial"/>
                <w:sz w:val="14"/>
                <w:szCs w:val="14"/>
                <w:color w:val="auto"/>
              </w:rPr>
              <w:t>2,140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  3,210</w:t>
            </w:r>
          </w:p>
        </w:tc>
        <w:tc>
          <w:tcPr>
            <w:tcW w:w="10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$112,671</w:t>
            </w:r>
          </w:p>
        </w:tc>
      </w:tr>
      <w:tr>
        <w:trPr>
          <w:trHeight w:val="219"/>
        </w:trPr>
        <w:tc>
          <w:tcPr>
            <w:tcW w:w="1720" w:type="dxa"/>
            <w:vAlign w:val="bottom"/>
            <w:tcBorders>
              <w:bottom w:val="single" w:sz="8" w:color="auto"/>
            </w:tcBorders>
            <w:shd w:val="clear" w:color="auto" w:fill="F7AB6C"/>
          </w:tcPr>
          <w:p>
            <w:pPr>
              <w:spacing w:after="0"/>
              <w:rPr>
                <w:sz w:val="19"/>
                <w:szCs w:val="19"/>
                <w:color w:val="auto"/>
              </w:rPr>
            </w:pPr>
          </w:p>
        </w:tc>
        <w:tc>
          <w:tcPr>
            <w:tcW w:w="100" w:type="dxa"/>
            <w:vAlign w:val="bottom"/>
            <w:tcBorders>
              <w:bottom w:val="single" w:sz="8" w:color="auto"/>
              <w:right w:val="single" w:sz="8" w:color="auto"/>
            </w:tcBorders>
            <w:shd w:val="clear" w:color="auto" w:fill="F7AB6C"/>
          </w:tcPr>
          <w:p>
            <w:pPr>
              <w:spacing w:after="0"/>
              <w:rPr>
                <w:sz w:val="19"/>
                <w:szCs w:val="19"/>
                <w:color w:val="auto"/>
              </w:rPr>
            </w:pPr>
          </w:p>
        </w:tc>
        <w:tc>
          <w:tcPr>
            <w:tcW w:w="780" w:type="dxa"/>
            <w:vAlign w:val="bottom"/>
            <w:tcBorders>
              <w:bottom w:val="single" w:sz="8" w:color="auto"/>
              <w:right w:val="single" w:sz="8" w:color="auto"/>
            </w:tcBorders>
          </w:tcPr>
          <w:p>
            <w:pPr>
              <w:ind w:left="60"/>
              <w:spacing w:after="0" w:line="219" w:lineRule="exact"/>
              <w:rPr>
                <w:sz w:val="20"/>
                <w:szCs w:val="20"/>
                <w:color w:val="auto"/>
              </w:rPr>
            </w:pPr>
            <w:r>
              <w:rPr>
                <w:rFonts w:ascii="Arial" w:cs="Arial" w:eastAsia="Arial" w:hAnsi="Arial"/>
                <w:sz w:val="14"/>
                <w:szCs w:val="14"/>
                <w:color w:val="auto"/>
                <w:w w:val="96"/>
              </w:rPr>
              <w:t>1/28/25</w:t>
            </w:r>
            <w:r>
              <w:rPr>
                <w:rFonts w:ascii="Arial" w:cs="Arial" w:eastAsia="Arial" w:hAnsi="Arial"/>
                <w:sz w:val="20"/>
                <w:szCs w:val="20"/>
                <w:i w:val="1"/>
                <w:iCs w:val="1"/>
                <w:color w:val="auto"/>
                <w:w w:val="96"/>
                <w:vertAlign w:val="superscript"/>
              </w:rPr>
              <w:t>(11)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color w:val="auto"/>
              </w:rPr>
              <w:t>2,140</w:t>
            </w:r>
          </w:p>
        </w:tc>
        <w:tc>
          <w:tcPr>
            <w:tcW w:w="760" w:type="dxa"/>
            <w:vAlign w:val="bottom"/>
            <w:tcBorders>
              <w:bottom w:val="single" w:sz="8" w:color="auto"/>
              <w:right w:val="single" w:sz="8" w:color="auto"/>
            </w:tcBorders>
          </w:tcPr>
          <w:p>
            <w:pPr>
              <w:jc w:val="right"/>
              <w:ind w:right="111"/>
              <w:spacing w:after="0"/>
              <w:rPr>
                <w:sz w:val="20"/>
                <w:szCs w:val="20"/>
                <w:color w:val="auto"/>
              </w:rPr>
            </w:pPr>
            <w:r>
              <w:rPr>
                <w:rFonts w:ascii="Arial" w:cs="Arial" w:eastAsia="Arial" w:hAnsi="Arial"/>
                <w:sz w:val="14"/>
                <w:szCs w:val="14"/>
                <w:color w:val="auto"/>
              </w:rPr>
              <w:t>2,140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  2,140</w:t>
            </w:r>
          </w:p>
        </w:tc>
        <w:tc>
          <w:tcPr>
            <w:tcW w:w="102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$112,671</w:t>
            </w:r>
          </w:p>
        </w:tc>
      </w:tr>
      <w:tr>
        <w:trPr>
          <w:trHeight w:val="281"/>
        </w:trPr>
        <w:tc>
          <w:tcPr>
            <w:tcW w:w="1720" w:type="dxa"/>
            <w:vAlign w:val="bottom"/>
            <w:shd w:val="clear" w:color="auto" w:fill="F7AB6C"/>
          </w:tcPr>
          <w:p>
            <w:pPr>
              <w:ind w:left="80"/>
              <w:spacing w:after="0"/>
              <w:rPr>
                <w:sz w:val="20"/>
                <w:szCs w:val="20"/>
                <w:color w:val="auto"/>
              </w:rPr>
            </w:pPr>
            <w:r>
              <w:rPr>
                <w:rFonts w:ascii="Arial" w:cs="Arial" w:eastAsia="Arial" w:hAnsi="Arial"/>
                <w:sz w:val="14"/>
                <w:szCs w:val="14"/>
                <w:b w:val="1"/>
                <w:bCs w:val="1"/>
                <w:color w:val="auto"/>
              </w:rPr>
              <w:t>Justin Eisfeller</w:t>
            </w:r>
          </w:p>
        </w:tc>
        <w:tc>
          <w:tcPr>
            <w:tcW w:w="100" w:type="dxa"/>
            <w:vAlign w:val="bottom"/>
            <w:tcBorders>
              <w:right w:val="single" w:sz="8" w:color="auto"/>
            </w:tcBorders>
            <w:shd w:val="clear" w:color="auto" w:fill="F7AB6C"/>
          </w:tcPr>
          <w:p>
            <w:pPr>
              <w:spacing w:after="0"/>
              <w:rPr>
                <w:sz w:val="24"/>
                <w:szCs w:val="24"/>
                <w:color w:val="auto"/>
              </w:rPr>
            </w:pP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6"/>
              </w:rPr>
              <w:t>1/27/26</w:t>
            </w:r>
            <w:r>
              <w:rPr>
                <w:rFonts w:ascii="Arial" w:cs="Arial" w:eastAsia="Arial" w:hAnsi="Arial"/>
                <w:sz w:val="20"/>
                <w:szCs w:val="20"/>
                <w:i w:val="1"/>
                <w:iCs w:val="1"/>
                <w:color w:val="auto"/>
                <w:w w:val="96"/>
                <w:vertAlign w:val="superscript"/>
              </w:rPr>
              <w:t>(12)</w:t>
            </w:r>
          </w:p>
        </w:tc>
        <w:tc>
          <w:tcPr>
            <w:tcW w:w="860" w:type="dxa"/>
            <w:vAlign w:val="bottom"/>
          </w:tcPr>
          <w:p>
            <w:pPr>
              <w:jc w:val="right"/>
              <w:spacing w:after="0"/>
              <w:rPr>
                <w:sz w:val="20"/>
                <w:szCs w:val="20"/>
                <w:color w:val="auto"/>
              </w:rPr>
            </w:pPr>
            <w:r>
              <w:rPr>
                <w:rFonts w:ascii="Arial" w:cs="Arial" w:eastAsia="Arial" w:hAnsi="Arial"/>
                <w:sz w:val="14"/>
                <w:szCs w:val="14"/>
                <w:color w:val="auto"/>
              </w:rPr>
              <w:t>$51,966 </w:t>
            </w:r>
          </w:p>
        </w:tc>
        <w:tc>
          <w:tcPr>
            <w:tcW w:w="1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$103,933 </w:t>
            </w:r>
          </w:p>
        </w:tc>
        <w:tc>
          <w:tcPr>
            <w:tcW w:w="100" w:type="dxa"/>
            <w:vAlign w:val="bottom"/>
          </w:tcPr>
          <w:p>
            <w:pPr>
              <w:spacing w:after="0"/>
              <w:rPr>
                <w:sz w:val="24"/>
                <w:szCs w:val="24"/>
                <w:color w:val="auto"/>
              </w:rPr>
            </w:pPr>
          </w:p>
        </w:tc>
        <w:tc>
          <w:tcPr>
            <w:tcW w:w="9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$155,899 </w:t>
            </w:r>
          </w:p>
        </w:tc>
        <w:tc>
          <w:tcPr>
            <w:tcW w:w="80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w:t>
            </w:r>
          </w:p>
        </w:tc>
      </w:tr>
      <w:tr>
        <w:trPr>
          <w:trHeight w:val="260"/>
        </w:trPr>
        <w:tc>
          <w:tcPr>
            <w:tcW w:w="1720" w:type="dxa"/>
            <w:vAlign w:val="bottom"/>
            <w:shd w:val="clear" w:color="auto" w:fill="F7AB6C"/>
          </w:tcPr>
          <w:p>
            <w:pPr>
              <w:spacing w:after="0"/>
              <w:rPr>
                <w:sz w:val="22"/>
                <w:szCs w:val="22"/>
                <w:color w:val="auto"/>
              </w:rPr>
            </w:pPr>
          </w:p>
        </w:tc>
        <w:tc>
          <w:tcPr>
            <w:tcW w:w="100" w:type="dxa"/>
            <w:vAlign w:val="bottom"/>
            <w:tcBorders>
              <w:right w:val="single" w:sz="8" w:color="auto"/>
            </w:tcBorders>
            <w:shd w:val="clear" w:color="auto" w:fill="F7AB6C"/>
          </w:tcPr>
          <w:p>
            <w:pPr>
              <w:spacing w:after="0"/>
              <w:rPr>
                <w:sz w:val="22"/>
                <w:szCs w:val="22"/>
                <w:color w:val="auto"/>
              </w:rPr>
            </w:pP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6"/>
              </w:rPr>
              <w:t>1/28/25</w:t>
            </w:r>
            <w:r>
              <w:rPr>
                <w:rFonts w:ascii="Arial" w:cs="Arial" w:eastAsia="Arial" w:hAnsi="Arial"/>
                <w:sz w:val="20"/>
                <w:szCs w:val="20"/>
                <w:i w:val="1"/>
                <w:iCs w:val="1"/>
                <w:color w:val="auto"/>
                <w:w w:val="96"/>
                <w:vertAlign w:val="superscript"/>
              </w:rPr>
              <w:t>(13)</w:t>
            </w:r>
          </w:p>
        </w:tc>
        <w:tc>
          <w:tcPr>
            <w:tcW w:w="860" w:type="dxa"/>
            <w:vAlign w:val="bottom"/>
          </w:tcPr>
          <w:p>
            <w:pPr>
              <w:jc w:val="right"/>
              <w:spacing w:after="0"/>
              <w:rPr>
                <w:sz w:val="20"/>
                <w:szCs w:val="20"/>
                <w:color w:val="auto"/>
              </w:rPr>
            </w:pPr>
            <w:r>
              <w:rPr>
                <w:rFonts w:ascii="Arial" w:cs="Arial" w:eastAsia="Arial" w:hAnsi="Arial"/>
                <w:sz w:val="14"/>
                <w:szCs w:val="14"/>
                <w:color w:val="auto"/>
              </w:rPr>
              <w:t>— </w:t>
            </w:r>
          </w:p>
        </w:tc>
        <w:tc>
          <w:tcPr>
            <w:tcW w:w="1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22"/>
                <w:szCs w:val="22"/>
                <w:color w:val="auto"/>
              </w:rPr>
            </w:pPr>
          </w:p>
        </w:tc>
        <w:tc>
          <w:tcPr>
            <w:tcW w:w="9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80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480</w:t>
            </w:r>
          </w:p>
        </w:tc>
        <w:tc>
          <w:tcPr>
            <w:tcW w:w="760" w:type="dxa"/>
            <w:vAlign w:val="bottom"/>
            <w:tcBorders>
              <w:right w:val="single" w:sz="8" w:color="auto"/>
            </w:tcBorders>
          </w:tcPr>
          <w:p>
            <w:pPr>
              <w:jc w:val="right"/>
              <w:ind w:right="111"/>
              <w:spacing w:after="0"/>
              <w:rPr>
                <w:sz w:val="20"/>
                <w:szCs w:val="20"/>
                <w:color w:val="auto"/>
              </w:rPr>
            </w:pPr>
            <w:r>
              <w:rPr>
                <w:rFonts w:ascii="Arial" w:cs="Arial" w:eastAsia="Arial" w:hAnsi="Arial"/>
                <w:sz w:val="14"/>
                <w:szCs w:val="14"/>
                <w:color w:val="auto"/>
              </w:rPr>
              <w:t>960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  1,440</w:t>
            </w:r>
          </w:p>
        </w:tc>
        <w:tc>
          <w:tcPr>
            <w:tcW w:w="10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$50,544</w:t>
            </w:r>
          </w:p>
        </w:tc>
      </w:tr>
      <w:tr>
        <w:trPr>
          <w:trHeight w:val="219"/>
        </w:trPr>
        <w:tc>
          <w:tcPr>
            <w:tcW w:w="1720" w:type="dxa"/>
            <w:vAlign w:val="bottom"/>
            <w:tcBorders>
              <w:bottom w:val="single" w:sz="8" w:color="auto"/>
            </w:tcBorders>
            <w:shd w:val="clear" w:color="auto" w:fill="F7AB6C"/>
          </w:tcPr>
          <w:p>
            <w:pPr>
              <w:spacing w:after="0"/>
              <w:rPr>
                <w:sz w:val="19"/>
                <w:szCs w:val="19"/>
                <w:color w:val="auto"/>
              </w:rPr>
            </w:pPr>
          </w:p>
        </w:tc>
        <w:tc>
          <w:tcPr>
            <w:tcW w:w="100" w:type="dxa"/>
            <w:vAlign w:val="bottom"/>
            <w:tcBorders>
              <w:bottom w:val="single" w:sz="8" w:color="auto"/>
              <w:right w:val="single" w:sz="8" w:color="auto"/>
            </w:tcBorders>
            <w:shd w:val="clear" w:color="auto" w:fill="F7AB6C"/>
          </w:tcPr>
          <w:p>
            <w:pPr>
              <w:spacing w:after="0"/>
              <w:rPr>
                <w:sz w:val="19"/>
                <w:szCs w:val="19"/>
                <w:color w:val="auto"/>
              </w:rPr>
            </w:pPr>
          </w:p>
        </w:tc>
        <w:tc>
          <w:tcPr>
            <w:tcW w:w="780" w:type="dxa"/>
            <w:vAlign w:val="bottom"/>
            <w:tcBorders>
              <w:bottom w:val="single" w:sz="8" w:color="auto"/>
              <w:right w:val="single" w:sz="8" w:color="auto"/>
            </w:tcBorders>
          </w:tcPr>
          <w:p>
            <w:pPr>
              <w:ind w:left="60"/>
              <w:spacing w:after="0" w:line="219" w:lineRule="exact"/>
              <w:rPr>
                <w:sz w:val="20"/>
                <w:szCs w:val="20"/>
                <w:color w:val="auto"/>
              </w:rPr>
            </w:pPr>
            <w:r>
              <w:rPr>
                <w:rFonts w:ascii="Arial" w:cs="Arial" w:eastAsia="Arial" w:hAnsi="Arial"/>
                <w:sz w:val="14"/>
                <w:szCs w:val="14"/>
                <w:color w:val="auto"/>
                <w:w w:val="96"/>
              </w:rPr>
              <w:t>1/28/25</w:t>
            </w:r>
            <w:r>
              <w:rPr>
                <w:rFonts w:ascii="Arial" w:cs="Arial" w:eastAsia="Arial" w:hAnsi="Arial"/>
                <w:sz w:val="20"/>
                <w:szCs w:val="20"/>
                <w:i w:val="1"/>
                <w:iCs w:val="1"/>
                <w:color w:val="auto"/>
                <w:w w:val="96"/>
                <w:vertAlign w:val="superscript"/>
              </w:rPr>
              <w:t>(14)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color w:val="auto"/>
              </w:rPr>
              <w:t>960</w:t>
            </w:r>
          </w:p>
        </w:tc>
        <w:tc>
          <w:tcPr>
            <w:tcW w:w="760" w:type="dxa"/>
            <w:vAlign w:val="bottom"/>
            <w:tcBorders>
              <w:bottom w:val="single" w:sz="8" w:color="auto"/>
              <w:right w:val="single" w:sz="8" w:color="auto"/>
            </w:tcBorders>
          </w:tcPr>
          <w:p>
            <w:pPr>
              <w:jc w:val="right"/>
              <w:ind w:right="111"/>
              <w:spacing w:after="0"/>
              <w:rPr>
                <w:sz w:val="20"/>
                <w:szCs w:val="20"/>
                <w:color w:val="auto"/>
              </w:rPr>
            </w:pPr>
            <w:r>
              <w:rPr>
                <w:rFonts w:ascii="Arial" w:cs="Arial" w:eastAsia="Arial" w:hAnsi="Arial"/>
                <w:sz w:val="14"/>
                <w:szCs w:val="14"/>
                <w:color w:val="auto"/>
              </w:rPr>
              <w:t>960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    960</w:t>
            </w:r>
          </w:p>
        </w:tc>
        <w:tc>
          <w:tcPr>
            <w:tcW w:w="102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$50,544</w:t>
            </w:r>
          </w:p>
        </w:tc>
      </w:tr>
      <w:tr>
        <w:trPr>
          <w:trHeight w:val="281"/>
        </w:trPr>
        <w:tc>
          <w:tcPr>
            <w:tcW w:w="1720" w:type="dxa"/>
            <w:vAlign w:val="bottom"/>
            <w:shd w:val="clear" w:color="auto" w:fill="F7AB6C"/>
          </w:tcPr>
          <w:p>
            <w:pPr>
              <w:ind w:left="80"/>
              <w:spacing w:after="0"/>
              <w:rPr>
                <w:sz w:val="20"/>
                <w:szCs w:val="20"/>
                <w:color w:val="auto"/>
              </w:rPr>
            </w:pPr>
            <w:r>
              <w:rPr>
                <w:rFonts w:ascii="Arial" w:cs="Arial" w:eastAsia="Arial" w:hAnsi="Arial"/>
                <w:sz w:val="14"/>
                <w:szCs w:val="14"/>
                <w:b w:val="1"/>
                <w:bCs w:val="1"/>
                <w:color w:val="auto"/>
              </w:rPr>
              <w:t>Christopher J. LeBlanc</w:t>
            </w:r>
          </w:p>
        </w:tc>
        <w:tc>
          <w:tcPr>
            <w:tcW w:w="100" w:type="dxa"/>
            <w:vAlign w:val="bottom"/>
            <w:tcBorders>
              <w:right w:val="single" w:sz="8" w:color="auto"/>
            </w:tcBorders>
            <w:shd w:val="clear" w:color="auto" w:fill="F7AB6C"/>
          </w:tcPr>
          <w:p>
            <w:pPr>
              <w:spacing w:after="0"/>
              <w:rPr>
                <w:sz w:val="24"/>
                <w:szCs w:val="24"/>
                <w:color w:val="auto"/>
              </w:rPr>
            </w:pP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6"/>
              </w:rPr>
              <w:t>1/27/26</w:t>
            </w:r>
            <w:r>
              <w:rPr>
                <w:rFonts w:ascii="Arial" w:cs="Arial" w:eastAsia="Arial" w:hAnsi="Arial"/>
                <w:sz w:val="20"/>
                <w:szCs w:val="20"/>
                <w:i w:val="1"/>
                <w:iCs w:val="1"/>
                <w:color w:val="auto"/>
                <w:w w:val="96"/>
                <w:vertAlign w:val="superscript"/>
              </w:rPr>
              <w:t>(15)</w:t>
            </w:r>
          </w:p>
        </w:tc>
        <w:tc>
          <w:tcPr>
            <w:tcW w:w="860" w:type="dxa"/>
            <w:vAlign w:val="bottom"/>
          </w:tcPr>
          <w:p>
            <w:pPr>
              <w:jc w:val="right"/>
              <w:spacing w:after="0"/>
              <w:rPr>
                <w:sz w:val="20"/>
                <w:szCs w:val="20"/>
                <w:color w:val="auto"/>
              </w:rPr>
            </w:pPr>
            <w:r>
              <w:rPr>
                <w:rFonts w:ascii="Arial" w:cs="Arial" w:eastAsia="Arial" w:hAnsi="Arial"/>
                <w:sz w:val="14"/>
                <w:szCs w:val="14"/>
                <w:color w:val="auto"/>
              </w:rPr>
              <w:t>$53,616 </w:t>
            </w:r>
          </w:p>
        </w:tc>
        <w:tc>
          <w:tcPr>
            <w:tcW w:w="1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$107,231 </w:t>
            </w:r>
          </w:p>
        </w:tc>
        <w:tc>
          <w:tcPr>
            <w:tcW w:w="100" w:type="dxa"/>
            <w:vAlign w:val="bottom"/>
          </w:tcPr>
          <w:p>
            <w:pPr>
              <w:spacing w:after="0"/>
              <w:rPr>
                <w:sz w:val="24"/>
                <w:szCs w:val="24"/>
                <w:color w:val="auto"/>
              </w:rPr>
            </w:pPr>
          </w:p>
        </w:tc>
        <w:tc>
          <w:tcPr>
            <w:tcW w:w="9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$160,847 </w:t>
            </w:r>
          </w:p>
        </w:tc>
        <w:tc>
          <w:tcPr>
            <w:tcW w:w="80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w:t>
            </w:r>
          </w:p>
        </w:tc>
      </w:tr>
      <w:tr>
        <w:trPr>
          <w:trHeight w:val="260"/>
        </w:trPr>
        <w:tc>
          <w:tcPr>
            <w:tcW w:w="1720" w:type="dxa"/>
            <w:vAlign w:val="bottom"/>
            <w:shd w:val="clear" w:color="auto" w:fill="F7AB6C"/>
          </w:tcPr>
          <w:p>
            <w:pPr>
              <w:spacing w:after="0"/>
              <w:rPr>
                <w:sz w:val="22"/>
                <w:szCs w:val="22"/>
                <w:color w:val="auto"/>
              </w:rPr>
            </w:pPr>
          </w:p>
        </w:tc>
        <w:tc>
          <w:tcPr>
            <w:tcW w:w="100" w:type="dxa"/>
            <w:vAlign w:val="bottom"/>
            <w:tcBorders>
              <w:right w:val="single" w:sz="8" w:color="auto"/>
            </w:tcBorders>
            <w:shd w:val="clear" w:color="auto" w:fill="F7AB6C"/>
          </w:tcPr>
          <w:p>
            <w:pPr>
              <w:spacing w:after="0"/>
              <w:rPr>
                <w:sz w:val="22"/>
                <w:szCs w:val="22"/>
                <w:color w:val="auto"/>
              </w:rPr>
            </w:pPr>
          </w:p>
        </w:tc>
        <w:tc>
          <w:tcPr>
            <w:tcW w:w="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6"/>
              </w:rPr>
              <w:t>1/28/25</w:t>
            </w:r>
            <w:r>
              <w:rPr>
                <w:rFonts w:ascii="Arial" w:cs="Arial" w:eastAsia="Arial" w:hAnsi="Arial"/>
                <w:sz w:val="20"/>
                <w:szCs w:val="20"/>
                <w:i w:val="1"/>
                <w:iCs w:val="1"/>
                <w:color w:val="auto"/>
                <w:w w:val="96"/>
                <w:vertAlign w:val="superscript"/>
              </w:rPr>
              <w:t>(16)</w:t>
            </w:r>
          </w:p>
        </w:tc>
        <w:tc>
          <w:tcPr>
            <w:tcW w:w="860" w:type="dxa"/>
            <w:vAlign w:val="bottom"/>
          </w:tcPr>
          <w:p>
            <w:pPr>
              <w:jc w:val="right"/>
              <w:spacing w:after="0"/>
              <w:rPr>
                <w:sz w:val="20"/>
                <w:szCs w:val="20"/>
                <w:color w:val="auto"/>
              </w:rPr>
            </w:pPr>
            <w:r>
              <w:rPr>
                <w:rFonts w:ascii="Arial" w:cs="Arial" w:eastAsia="Arial" w:hAnsi="Arial"/>
                <w:sz w:val="14"/>
                <w:szCs w:val="14"/>
                <w:color w:val="auto"/>
              </w:rPr>
              <w:t>— </w:t>
            </w:r>
          </w:p>
        </w:tc>
        <w:tc>
          <w:tcPr>
            <w:tcW w:w="1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22"/>
                <w:szCs w:val="22"/>
                <w:color w:val="auto"/>
              </w:rPr>
            </w:pPr>
          </w:p>
        </w:tc>
        <w:tc>
          <w:tcPr>
            <w:tcW w:w="92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80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480</w:t>
            </w:r>
          </w:p>
        </w:tc>
        <w:tc>
          <w:tcPr>
            <w:tcW w:w="760" w:type="dxa"/>
            <w:vAlign w:val="bottom"/>
            <w:tcBorders>
              <w:right w:val="single" w:sz="8" w:color="auto"/>
            </w:tcBorders>
          </w:tcPr>
          <w:p>
            <w:pPr>
              <w:jc w:val="right"/>
              <w:ind w:right="111"/>
              <w:spacing w:after="0"/>
              <w:rPr>
                <w:sz w:val="20"/>
                <w:szCs w:val="20"/>
                <w:color w:val="auto"/>
              </w:rPr>
            </w:pPr>
            <w:r>
              <w:rPr>
                <w:rFonts w:ascii="Arial" w:cs="Arial" w:eastAsia="Arial" w:hAnsi="Arial"/>
                <w:sz w:val="14"/>
                <w:szCs w:val="14"/>
                <w:color w:val="auto"/>
              </w:rPr>
              <w:t>960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  1,440</w:t>
            </w:r>
          </w:p>
        </w:tc>
        <w:tc>
          <w:tcPr>
            <w:tcW w:w="102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$50,544</w:t>
            </w:r>
          </w:p>
        </w:tc>
      </w:tr>
      <w:tr>
        <w:trPr>
          <w:trHeight w:val="219"/>
        </w:trPr>
        <w:tc>
          <w:tcPr>
            <w:tcW w:w="1720" w:type="dxa"/>
            <w:vAlign w:val="bottom"/>
            <w:tcBorders>
              <w:bottom w:val="single" w:sz="8" w:color="auto"/>
            </w:tcBorders>
            <w:shd w:val="clear" w:color="auto" w:fill="F7AB6C"/>
          </w:tcPr>
          <w:p>
            <w:pPr>
              <w:spacing w:after="0"/>
              <w:rPr>
                <w:sz w:val="19"/>
                <w:szCs w:val="19"/>
                <w:color w:val="auto"/>
              </w:rPr>
            </w:pPr>
          </w:p>
        </w:tc>
        <w:tc>
          <w:tcPr>
            <w:tcW w:w="100" w:type="dxa"/>
            <w:vAlign w:val="bottom"/>
            <w:tcBorders>
              <w:bottom w:val="single" w:sz="8" w:color="auto"/>
              <w:right w:val="single" w:sz="8" w:color="auto"/>
            </w:tcBorders>
            <w:shd w:val="clear" w:color="auto" w:fill="F7AB6C"/>
          </w:tcPr>
          <w:p>
            <w:pPr>
              <w:spacing w:after="0"/>
              <w:rPr>
                <w:sz w:val="19"/>
                <w:szCs w:val="19"/>
                <w:color w:val="auto"/>
              </w:rPr>
            </w:pPr>
          </w:p>
        </w:tc>
        <w:tc>
          <w:tcPr>
            <w:tcW w:w="780" w:type="dxa"/>
            <w:vAlign w:val="bottom"/>
            <w:tcBorders>
              <w:bottom w:val="single" w:sz="8" w:color="auto"/>
              <w:right w:val="single" w:sz="8" w:color="auto"/>
            </w:tcBorders>
          </w:tcPr>
          <w:p>
            <w:pPr>
              <w:ind w:left="60"/>
              <w:spacing w:after="0" w:line="219" w:lineRule="exact"/>
              <w:rPr>
                <w:sz w:val="20"/>
                <w:szCs w:val="20"/>
                <w:color w:val="auto"/>
              </w:rPr>
            </w:pPr>
            <w:r>
              <w:rPr>
                <w:rFonts w:ascii="Arial" w:cs="Arial" w:eastAsia="Arial" w:hAnsi="Arial"/>
                <w:sz w:val="14"/>
                <w:szCs w:val="14"/>
                <w:color w:val="auto"/>
                <w:w w:val="96"/>
              </w:rPr>
              <w:t>1/28/25</w:t>
            </w:r>
            <w:r>
              <w:rPr>
                <w:rFonts w:ascii="Arial" w:cs="Arial" w:eastAsia="Arial" w:hAnsi="Arial"/>
                <w:sz w:val="20"/>
                <w:szCs w:val="20"/>
                <w:i w:val="1"/>
                <w:iCs w:val="1"/>
                <w:color w:val="auto"/>
                <w:w w:val="96"/>
                <w:vertAlign w:val="superscript"/>
              </w:rPr>
              <w:t>(17)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right w:val="single" w:sz="8" w:color="auto"/>
            </w:tcBorders>
          </w:tcPr>
          <w:p>
            <w:pPr>
              <w:jc w:val="right"/>
              <w:ind w:right="131"/>
              <w:spacing w:after="0"/>
              <w:rPr>
                <w:sz w:val="20"/>
                <w:szCs w:val="20"/>
                <w:color w:val="auto"/>
              </w:rPr>
            </w:pPr>
            <w:r>
              <w:rPr>
                <w:rFonts w:ascii="Arial" w:cs="Arial" w:eastAsia="Arial" w:hAnsi="Arial"/>
                <w:sz w:val="14"/>
                <w:szCs w:val="14"/>
                <w:color w:val="auto"/>
              </w:rPr>
              <w:t>960</w:t>
            </w:r>
          </w:p>
        </w:tc>
        <w:tc>
          <w:tcPr>
            <w:tcW w:w="760" w:type="dxa"/>
            <w:vAlign w:val="bottom"/>
            <w:tcBorders>
              <w:bottom w:val="single" w:sz="8" w:color="auto"/>
              <w:right w:val="single" w:sz="8" w:color="auto"/>
            </w:tcBorders>
          </w:tcPr>
          <w:p>
            <w:pPr>
              <w:jc w:val="right"/>
              <w:ind w:right="111"/>
              <w:spacing w:after="0"/>
              <w:rPr>
                <w:sz w:val="20"/>
                <w:szCs w:val="20"/>
                <w:color w:val="auto"/>
              </w:rPr>
            </w:pPr>
            <w:r>
              <w:rPr>
                <w:rFonts w:ascii="Arial" w:cs="Arial" w:eastAsia="Arial" w:hAnsi="Arial"/>
                <w:sz w:val="14"/>
                <w:szCs w:val="14"/>
                <w:color w:val="auto"/>
              </w:rPr>
              <w:t>960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    960</w:t>
            </w:r>
          </w:p>
        </w:tc>
        <w:tc>
          <w:tcPr>
            <w:tcW w:w="102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$50,544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-2614930</wp:posOffset>
            </wp:positionV>
            <wp:extent cx="6370320" cy="1403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370320" cy="14033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396240</wp:posOffset>
            </wp:positionV>
            <wp:extent cx="63373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NOTES:</w:t>
      </w:r>
    </w:p>
    <w:p>
      <w:pPr>
        <w:spacing w:after="0" w:line="116" w:lineRule="exact"/>
        <w:rPr>
          <w:sz w:val="20"/>
          <w:szCs w:val="20"/>
          <w:color w:val="auto"/>
        </w:rPr>
      </w:pPr>
    </w:p>
    <w:p>
      <w:pPr>
        <w:jc w:val="both"/>
        <w:ind w:left="1620" w:right="400" w:hanging="492"/>
        <w:spacing w:after="0" w:line="259" w:lineRule="auto"/>
        <w:tabs>
          <w:tab w:leader="none" w:pos="1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“Threshold” reference shown in the table means the minimum cash incentive award if the minimum threshold performance level is met. Failure to meet the minimum threshold for all performance measures would result in no award.</w:t>
      </w:r>
    </w:p>
    <w:p>
      <w:pPr>
        <w:spacing w:after="0" w:line="68" w:lineRule="exact"/>
        <w:rPr>
          <w:rFonts w:ascii="Arial" w:cs="Arial" w:eastAsia="Arial" w:hAnsi="Arial"/>
          <w:sz w:val="17"/>
          <w:szCs w:val="17"/>
          <w:color w:val="auto"/>
        </w:rPr>
      </w:pPr>
    </w:p>
    <w:p>
      <w:pPr>
        <w:ind w:left="1620" w:right="100" w:hanging="492"/>
        <w:spacing w:after="0" w:line="252" w:lineRule="auto"/>
        <w:tabs>
          <w:tab w:leader="none" w:pos="1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The “Threshold” reference shown in the table means the minimum stock award that will vest if the minimum threshold performance level is met. Failure to meet the minimum threshold for all performance measures would result in no vesting of Performance Restricted Shares. See the section entitled </w:t>
      </w:r>
      <w:r>
        <w:rPr>
          <w:rFonts w:ascii="Arial" w:cs="Arial" w:eastAsia="Arial" w:hAnsi="Arial"/>
          <w:sz w:val="17"/>
          <w:szCs w:val="17"/>
          <w:i w:val="1"/>
          <w:iCs w:val="1"/>
          <w:color w:val="auto"/>
        </w:rPr>
        <w:t>Incentive Compensation – Long-Term 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Incentive Compensation Program </w:t>
      </w:r>
      <w:r>
        <w:rPr>
          <w:rFonts w:ascii="Arial" w:cs="Arial" w:eastAsia="Arial" w:hAnsi="Arial"/>
          <w:sz w:val="17"/>
          <w:szCs w:val="17"/>
          <w:color w:val="auto"/>
        </w:rPr>
        <w:t>for additional information on the mechanics of the Third Amended Stock Plan.</w:t>
      </w:r>
    </w:p>
    <w:p>
      <w:pPr>
        <w:spacing w:after="0" w:line="75" w:lineRule="exact"/>
        <w:rPr>
          <w:rFonts w:ascii="Arial" w:cs="Arial" w:eastAsia="Arial" w:hAnsi="Arial"/>
          <w:sz w:val="17"/>
          <w:szCs w:val="17"/>
          <w:color w:val="auto"/>
        </w:rPr>
      </w:pPr>
    </w:p>
    <w:p>
      <w:pPr>
        <w:ind w:left="1620" w:right="140" w:hanging="492"/>
        <w:spacing w:after="0" w:line="249" w:lineRule="auto"/>
        <w:tabs>
          <w:tab w:leader="none" w:pos="1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The Compensation Committee selected the performance metrics and goals for the 2025 Management Incentive Plan awards on January 28, 2025, and payment was made on January 27, 2026. The estimated future payout information shown for the Management Incentive Plan is for a payment in 2026 based on 2025 performance. Mr. Meissner’s actual cash award was 137% of Target, for a total award of $662,591. See also column (g) of the Summary Compensation Table in the 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1620" w:right="140" w:hanging="492"/>
        <w:spacing w:after="0" w:line="254" w:lineRule="auto"/>
        <w:tabs>
          <w:tab w:leader="none" w:pos="1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estimated future payout information shown for Performance Restricted Shares granted from the Third Amended Stock Plan in 2025 is based on the results of the three-year performance period of 2025 - 2027. Mr. Meissner’s stock award was granted at 100% of Target, for a total award of 7,140 Performance Restricted Shares with a closing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268605</wp:posOffset>
            </wp:positionV>
            <wp:extent cx="6337300" cy="825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680"/>
          </w:cols>
          <w:pgMar w:left="320" w:top="470" w:right="8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15" w:lineRule="exact"/>
        <w:rPr>
          <w:sz w:val="20"/>
          <w:szCs w:val="20"/>
          <w:color w:val="auto"/>
        </w:rPr>
      </w:pPr>
    </w:p>
    <w:p>
      <w:pPr>
        <w:ind w:left="1620" w:right="380"/>
        <w:spacing w:after="0" w:line="259" w:lineRule="auto"/>
        <w:rPr>
          <w:sz w:val="20"/>
          <w:szCs w:val="20"/>
          <w:color w:val="auto"/>
        </w:rPr>
      </w:pPr>
      <w:r>
        <w:rPr>
          <w:rFonts w:ascii="Arial" w:cs="Arial" w:eastAsia="Arial" w:hAnsi="Arial"/>
          <w:sz w:val="17"/>
          <w:szCs w:val="17"/>
          <w:color w:val="auto"/>
        </w:rPr>
        <w:t xml:space="preserve">price of $52.65 per share on the date of grant. See also the section entitled </w:t>
      </w:r>
      <w:r>
        <w:rPr>
          <w:rFonts w:ascii="Arial" w:cs="Arial" w:eastAsia="Arial" w:hAnsi="Arial"/>
          <w:sz w:val="17"/>
          <w:szCs w:val="17"/>
          <w:i w:val="1"/>
          <w:iCs w:val="1"/>
          <w:color w:val="auto"/>
        </w:rPr>
        <w:t>Long-Term Equity Incentive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Program </w:t>
      </w:r>
      <w:r>
        <w:rPr>
          <w:rFonts w:ascii="Arial" w:cs="Arial" w:eastAsia="Arial" w:hAnsi="Arial"/>
          <w:sz w:val="17"/>
          <w:szCs w:val="17"/>
          <w:color w:val="auto"/>
        </w:rPr>
        <w:t>of this proxy statement. See also column (e) of the Summary Compensation Table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69" w:lineRule="exact"/>
        <w:rPr>
          <w:sz w:val="20"/>
          <w:szCs w:val="20"/>
          <w:color w:val="auto"/>
        </w:rPr>
      </w:pPr>
    </w:p>
    <w:p>
      <w:pPr>
        <w:ind w:left="1620" w:right="80" w:hanging="492"/>
        <w:spacing w:after="0" w:line="246" w:lineRule="auto"/>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estimated future payout information is shown for Time Restricted Shares granted from the Third Amended Stock Plan in 2025. Time Restricted Shares will vest 100% over a four-year period at a rate of 25% per year, generally subject to continued employment (with the exception of death, disability or retirement). Mr. Meissner’s stock award was 100% of Target, for a total award of 7,140 Time Restricted Shares with a closing market price of $52.65 per share on the date of grant. See also the section entitled </w:t>
      </w:r>
      <w:r>
        <w:rPr>
          <w:rFonts w:ascii="Arial" w:cs="Arial" w:eastAsia="Arial" w:hAnsi="Arial"/>
          <w:sz w:val="17"/>
          <w:szCs w:val="17"/>
          <w:i w:val="1"/>
          <w:iCs w:val="1"/>
          <w:color w:val="auto"/>
        </w:rPr>
        <w:t>Incentive Compensation - Long-Term Equity Incentive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Program </w:t>
      </w:r>
      <w:r>
        <w:rPr>
          <w:rFonts w:ascii="Arial" w:cs="Arial" w:eastAsia="Arial" w:hAnsi="Arial"/>
          <w:sz w:val="17"/>
          <w:szCs w:val="17"/>
          <w:color w:val="auto"/>
        </w:rPr>
        <w:t>of this proxy statement. See also column (e) of the Summary Compensation Table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jc w:val="both"/>
        <w:ind w:left="1620" w:right="80" w:hanging="492"/>
        <w:spacing w:after="0" w:line="249" w:lineRule="auto"/>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Compensation Committee selected the performance metrics and goals for the 2025 Management Incentive Plan awards on January 28, 2025, and payment was made on January 27, 2026. The estimated future payout information shown for the Management Incentive Plan is for a payment in 2026 based on 2025 performance. Mr. Hevert’s actual cash award was 137% of Target, for a total award of $332,910. See also column (g) of the Summary Compensation Table in the 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1620" w:right="120" w:hanging="492"/>
        <w:spacing w:after="0" w:line="247" w:lineRule="auto"/>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estimated future payout information shown for Performance Restricted Shares granted from the Third Amended Stock Plan in 2025 is based on the results of the three-year performance period of 2025 - 2027. Mr. Hevert’s stock award was granted at 100% of Target, for a total award of 3,310 Performance Restricted Shares with a closing market price of $52.65 per share on the date of grant. See also the section entitled </w:t>
      </w:r>
      <w:r>
        <w:rPr>
          <w:rFonts w:ascii="Arial" w:cs="Arial" w:eastAsia="Arial" w:hAnsi="Arial"/>
          <w:sz w:val="17"/>
          <w:szCs w:val="17"/>
          <w:i w:val="1"/>
          <w:iCs w:val="1"/>
          <w:color w:val="auto"/>
        </w:rPr>
        <w:t>Long-Term Equity Incentive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Program </w:t>
      </w:r>
      <w:r>
        <w:rPr>
          <w:rFonts w:ascii="Arial" w:cs="Arial" w:eastAsia="Arial" w:hAnsi="Arial"/>
          <w:sz w:val="17"/>
          <w:szCs w:val="17"/>
          <w:color w:val="auto"/>
        </w:rPr>
        <w:t>of this proxy statement. See also column (e) of the Summary Compensation Table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79" w:lineRule="exact"/>
        <w:rPr>
          <w:rFonts w:ascii="Arial" w:cs="Arial" w:eastAsia="Arial" w:hAnsi="Arial"/>
          <w:sz w:val="17"/>
          <w:szCs w:val="17"/>
          <w:color w:val="auto"/>
        </w:rPr>
      </w:pPr>
    </w:p>
    <w:p>
      <w:pPr>
        <w:ind w:left="1620" w:right="80" w:hanging="492"/>
        <w:spacing w:after="0" w:line="246" w:lineRule="auto"/>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estimated future payout information is shown for Time Restricted Shares granted from the Third Amended Stock Plan in 2025. Time Restricted Shares will vest 100% over a four-year period at a rate of 25% per year, generally subject to continued employment (with the exception of death, disability or retirement). Mr. Hevert’s stock award was 100% of Target, for a total award of 3,310 Time Restricted Shares with a closing market price of $52.65 per share on the date of grant. See also the section entitled </w:t>
      </w:r>
      <w:r>
        <w:rPr>
          <w:rFonts w:ascii="Arial" w:cs="Arial" w:eastAsia="Arial" w:hAnsi="Arial"/>
          <w:sz w:val="17"/>
          <w:szCs w:val="17"/>
          <w:i w:val="1"/>
          <w:iCs w:val="1"/>
          <w:color w:val="auto"/>
        </w:rPr>
        <w:t>Incentive Compensation - Long-Term Equity Incentive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Program </w:t>
      </w:r>
      <w:r>
        <w:rPr>
          <w:rFonts w:ascii="Arial" w:cs="Arial" w:eastAsia="Arial" w:hAnsi="Arial"/>
          <w:sz w:val="17"/>
          <w:szCs w:val="17"/>
          <w:color w:val="auto"/>
        </w:rPr>
        <w:t>of this proxy statement. See also column (e) of the Summary Compensation Table in the section entitled</w:t>
      </w:r>
      <w:r>
        <w:rPr>
          <w:rFonts w:ascii="Arial" w:cs="Arial" w:eastAsia="Arial" w:hAnsi="Arial"/>
          <w:sz w:val="17"/>
          <w:szCs w:val="17"/>
          <w:i w:val="1"/>
          <w:iCs w:val="1"/>
          <w:color w:val="auto"/>
        </w:rPr>
        <w:t xml:space="preserve"> Compensation – Compensation of Named Executive Officers</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ind w:left="1620" w:right="40" w:hanging="492"/>
        <w:spacing w:after="0" w:line="249" w:lineRule="auto"/>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Compensation Committee selected the performance metrics and goals for the 2025 Management Incentive Plan awards on January 28, 2025, and payment was made on January 27, 2026. The estimated future payout information shown for the Management Incentive Plan is for a payment in 2026 based on 2025 performance. Mr. Hurstak’s actual cash award was 137% of Target, for a total award of $217,558. See also column (g) of the Summary Compensation Table in the 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1620" w:right="120" w:hanging="492"/>
        <w:spacing w:after="0" w:line="247" w:lineRule="auto"/>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estimated future payout information shown for Performance Restricted Shares granted from the Third Amended Stock Plan in 2025 is based on the results of the three-year performance period of 2025 - 2027. Mr. Hurstak’s stock award was granted at 100% of Target, for a total award of 2,140 Performance Restricted Shares with a closing market price of $52.65 per share on the date of grant. See also the section entitled </w:t>
      </w:r>
      <w:r>
        <w:rPr>
          <w:rFonts w:ascii="Arial" w:cs="Arial" w:eastAsia="Arial" w:hAnsi="Arial"/>
          <w:sz w:val="17"/>
          <w:szCs w:val="17"/>
          <w:i w:val="1"/>
          <w:iCs w:val="1"/>
          <w:color w:val="auto"/>
        </w:rPr>
        <w:t>Long-Term Equity Incentive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Program </w:t>
      </w:r>
      <w:r>
        <w:rPr>
          <w:rFonts w:ascii="Arial" w:cs="Arial" w:eastAsia="Arial" w:hAnsi="Arial"/>
          <w:sz w:val="17"/>
          <w:szCs w:val="17"/>
          <w:color w:val="auto"/>
        </w:rPr>
        <w:t>of this proxy statement. See also column (e) of the Summary Compensation Table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79" w:lineRule="exact"/>
        <w:rPr>
          <w:rFonts w:ascii="Arial" w:cs="Arial" w:eastAsia="Arial" w:hAnsi="Arial"/>
          <w:sz w:val="17"/>
          <w:szCs w:val="17"/>
          <w:color w:val="auto"/>
        </w:rPr>
      </w:pPr>
    </w:p>
    <w:p>
      <w:pPr>
        <w:ind w:left="1620" w:right="20" w:hanging="492"/>
        <w:spacing w:after="0" w:line="246" w:lineRule="auto"/>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estimated future payout information is shown for Time Restricted Shares granted from the Third Amended Stock Plan in 2025. Time Restricted Shares will vest 100% over a four-year period at a rate of 25% per year, generally subject to continued employment (with the exception of death, disability or retirement). Mr. Hurstak’s stock award was 100% of Target, for a total award of 2,140 Time Restricted Shares with a closing market price of $52.65 per share on the date of grant. See also the section entitled </w:t>
      </w:r>
      <w:r>
        <w:rPr>
          <w:rFonts w:ascii="Arial" w:cs="Arial" w:eastAsia="Arial" w:hAnsi="Arial"/>
          <w:sz w:val="17"/>
          <w:szCs w:val="17"/>
          <w:i w:val="1"/>
          <w:iCs w:val="1"/>
          <w:color w:val="auto"/>
        </w:rPr>
        <w:t>Incentive Compensation - Long-Term Equity Incentive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Program </w:t>
      </w:r>
      <w:r>
        <w:rPr>
          <w:rFonts w:ascii="Arial" w:cs="Arial" w:eastAsia="Arial" w:hAnsi="Arial"/>
          <w:sz w:val="17"/>
          <w:szCs w:val="17"/>
          <w:color w:val="auto"/>
        </w:rPr>
        <w:t>of this proxy statement. See also column (e) of the Summary Compensation Table in the section entitled</w:t>
      </w:r>
      <w:r>
        <w:rPr>
          <w:rFonts w:ascii="Arial" w:cs="Arial" w:eastAsia="Arial" w:hAnsi="Arial"/>
          <w:sz w:val="17"/>
          <w:szCs w:val="17"/>
          <w:i w:val="1"/>
          <w:iCs w:val="1"/>
          <w:color w:val="auto"/>
        </w:rPr>
        <w:t xml:space="preserve"> Compensation – Compensation of Named Executive Officers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143510</wp:posOffset>
            </wp:positionV>
            <wp:extent cx="6337300" cy="825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620"/>
          </w:cols>
          <w:pgMar w:left="320" w:top="470" w:right="9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15" w:lineRule="exact"/>
        <w:rPr>
          <w:sz w:val="20"/>
          <w:szCs w:val="20"/>
          <w:color w:val="auto"/>
        </w:rPr>
      </w:pPr>
    </w:p>
    <w:p>
      <w:pPr>
        <w:ind w:left="1620" w:right="20" w:hanging="492"/>
        <w:spacing w:after="0" w:line="249" w:lineRule="auto"/>
        <w:tabs>
          <w:tab w:leader="none" w:pos="1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Compensation Committee selected the performance metrics and goals for the 2025 Management Incentive Plan awards on January 28, 2025, and payment was made on January 27, 2026. The estimated future payout information shown for the Management Incentive Plan is for a payment in 2026 based on 2025 performance. Mr. Eisfeller’s actual cash award was 137% of Target, for a total award of $142,388. See also column (g) of the Summary Compensation Table in the 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1620" w:right="120" w:hanging="492"/>
        <w:spacing w:after="0" w:line="247" w:lineRule="auto"/>
        <w:tabs>
          <w:tab w:leader="none" w:pos="1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estimated future payout information shown for Performance Restricted Shares granted from the Third Amended Stock Plan in 2025 is based on the results of the three-year performance period of 2025 - 2027. Mr. Eisfeller’s stock award was granted at 100% of Target, for a total award of 960 Performance Restricted Shares with a closing market price of $52.65 per share on the date of grant. See also the section entitled </w:t>
      </w:r>
      <w:r>
        <w:rPr>
          <w:rFonts w:ascii="Arial" w:cs="Arial" w:eastAsia="Arial" w:hAnsi="Arial"/>
          <w:sz w:val="17"/>
          <w:szCs w:val="17"/>
          <w:i w:val="1"/>
          <w:iCs w:val="1"/>
          <w:color w:val="auto"/>
        </w:rPr>
        <w:t>Long-Term Equity Incentive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Program </w:t>
      </w:r>
      <w:r>
        <w:rPr>
          <w:rFonts w:ascii="Arial" w:cs="Arial" w:eastAsia="Arial" w:hAnsi="Arial"/>
          <w:sz w:val="17"/>
          <w:szCs w:val="17"/>
          <w:color w:val="auto"/>
        </w:rPr>
        <w:t>of this proxy statement. See also column (e) of the Summary Compensation Table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79" w:lineRule="exact"/>
        <w:rPr>
          <w:rFonts w:ascii="Arial" w:cs="Arial" w:eastAsia="Arial" w:hAnsi="Arial"/>
          <w:sz w:val="17"/>
          <w:szCs w:val="17"/>
          <w:color w:val="auto"/>
        </w:rPr>
      </w:pPr>
    </w:p>
    <w:p>
      <w:pPr>
        <w:ind w:left="1620" w:right="80" w:hanging="492"/>
        <w:spacing w:after="0" w:line="246" w:lineRule="auto"/>
        <w:tabs>
          <w:tab w:leader="none" w:pos="1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estimated future payout information is shown for Time Restricted Shares granted from the Third Amended Stock Plan in 2025. Time Restricted Shares will vest 100% over a four-year period at a rate of 25% per year, generally subject to continued employment (with the exception of death, disability or retirement). Mr. Eisfeller’s stock award was 100% of Target, for a total award of 960 Time Restricted Shares with a closing market price of $52.65 per share on the date of grant. See also the section entitled </w:t>
      </w:r>
      <w:r>
        <w:rPr>
          <w:rFonts w:ascii="Arial" w:cs="Arial" w:eastAsia="Arial" w:hAnsi="Arial"/>
          <w:sz w:val="17"/>
          <w:szCs w:val="17"/>
          <w:i w:val="1"/>
          <w:iCs w:val="1"/>
          <w:color w:val="auto"/>
        </w:rPr>
        <w:t>Incentive Compensation - Long-Term Equity Incentive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Program </w:t>
      </w:r>
      <w:r>
        <w:rPr>
          <w:rFonts w:ascii="Arial" w:cs="Arial" w:eastAsia="Arial" w:hAnsi="Arial"/>
          <w:sz w:val="17"/>
          <w:szCs w:val="17"/>
          <w:color w:val="auto"/>
        </w:rPr>
        <w:t>of this proxy statement. See also column (e) of the Summary Compensation Table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ind w:left="1620" w:hanging="492"/>
        <w:spacing w:after="0" w:line="249" w:lineRule="auto"/>
        <w:tabs>
          <w:tab w:leader="none" w:pos="1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Compensation Committee selected the performance metrics and goals for the 2025 Management Incentive Plan awards on January 28, 2025, and payment was made on January 27, 2026. The estimated future payout information shown for the Management Incentive Plan is for a payment in 2026 based on 2025 performance. Mr. LeBlanc’s actual cash award was 137% of Target, for a total award of $147,079. See also column (g) of the Summary Compensation Table in the 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1620" w:right="120" w:hanging="492"/>
        <w:spacing w:after="0" w:line="247" w:lineRule="auto"/>
        <w:tabs>
          <w:tab w:leader="none" w:pos="1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estimated future payout information shown for Performance Restricted Shares granted from the Third Amended Stock Plan in 2025 is based on the results of the three-year performance period of 2025 - 2027. Mr. LeBlanc’s stock award was granted at 100% of Target, for a total award of 960 Performance Restricted Shares with a closing market price of $52.65 per share on the date of grant. See also the section entitled </w:t>
      </w:r>
      <w:r>
        <w:rPr>
          <w:rFonts w:ascii="Arial" w:cs="Arial" w:eastAsia="Arial" w:hAnsi="Arial"/>
          <w:sz w:val="17"/>
          <w:szCs w:val="17"/>
          <w:i w:val="1"/>
          <w:iCs w:val="1"/>
          <w:color w:val="auto"/>
        </w:rPr>
        <w:t>Long-Term Equity Incentive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Program </w:t>
      </w:r>
      <w:r>
        <w:rPr>
          <w:rFonts w:ascii="Arial" w:cs="Arial" w:eastAsia="Arial" w:hAnsi="Arial"/>
          <w:sz w:val="17"/>
          <w:szCs w:val="17"/>
          <w:color w:val="auto"/>
        </w:rPr>
        <w:t>of this proxy statement. See also column (e) of the Summary Compensation Table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79" w:lineRule="exact"/>
        <w:rPr>
          <w:rFonts w:ascii="Arial" w:cs="Arial" w:eastAsia="Arial" w:hAnsi="Arial"/>
          <w:sz w:val="17"/>
          <w:szCs w:val="17"/>
          <w:color w:val="auto"/>
        </w:rPr>
      </w:pPr>
    </w:p>
    <w:p>
      <w:pPr>
        <w:ind w:left="1620" w:right="80" w:hanging="492"/>
        <w:spacing w:after="0" w:line="246" w:lineRule="auto"/>
        <w:tabs>
          <w:tab w:leader="none" w:pos="1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estimated future payout information is shown for Time Restricted Shares granted from the Third Amended Stock Plan in 2025. Time Restricted Shares will vest 100% over a four-year period at a rate of 25% per year, generally subject to continued employment (with the exception of death, disability or retirement). Mr. LeBlanc’s stock award was 100% of Target, for a total award of 960 Time Restricted Shares with a closing market price of $52.65 per share on the date of grant. See also the section entitled </w:t>
      </w:r>
      <w:r>
        <w:rPr>
          <w:rFonts w:ascii="Arial" w:cs="Arial" w:eastAsia="Arial" w:hAnsi="Arial"/>
          <w:sz w:val="17"/>
          <w:szCs w:val="17"/>
          <w:i w:val="1"/>
          <w:iCs w:val="1"/>
          <w:color w:val="auto"/>
        </w:rPr>
        <w:t>Incentive Compensation - Long-Term Equity Incentive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Program </w:t>
      </w:r>
      <w:r>
        <w:rPr>
          <w:rFonts w:ascii="Arial" w:cs="Arial" w:eastAsia="Arial" w:hAnsi="Arial"/>
          <w:sz w:val="17"/>
          <w:szCs w:val="17"/>
          <w:color w:val="auto"/>
        </w:rPr>
        <w:t>of this proxy statement. See also column (e) of the Summary Compensation Table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NON-EQUITY COMPENSATION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Management Incentive Plan</w:t>
      </w:r>
    </w:p>
    <w:p>
      <w:pPr>
        <w:spacing w:after="0" w:line="200" w:lineRule="exact"/>
        <w:rPr>
          <w:sz w:val="20"/>
          <w:szCs w:val="20"/>
          <w:color w:val="auto"/>
        </w:rPr>
      </w:pPr>
    </w:p>
    <w:p>
      <w:pPr>
        <w:ind w:left="640" w:right="260"/>
        <w:spacing w:after="0" w:line="267" w:lineRule="auto"/>
        <w:rPr>
          <w:sz w:val="20"/>
          <w:szCs w:val="20"/>
          <w:color w:val="auto"/>
        </w:rPr>
      </w:pPr>
      <w:r>
        <w:rPr>
          <w:rFonts w:ascii="Arial" w:cs="Arial" w:eastAsia="Arial" w:hAnsi="Arial"/>
          <w:sz w:val="20"/>
          <w:szCs w:val="20"/>
          <w:color w:val="auto"/>
        </w:rPr>
        <w:t>The Management Incentive Plan, in which all Named Executive Officers participate, was established in December 1998, and specifies that the Compensation Committee shall select participants in the plan and establish their individual target awards. The plan provides cash incentive payments that are tied directly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131445</wp:posOffset>
            </wp:positionV>
            <wp:extent cx="6337300" cy="825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620"/>
          </w:cols>
          <w:pgMar w:left="320" w:top="470" w:right="9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560"/>
        <w:spacing w:after="0" w:line="248" w:lineRule="auto"/>
        <w:rPr>
          <w:sz w:val="20"/>
          <w:szCs w:val="20"/>
          <w:color w:val="auto"/>
        </w:rPr>
      </w:pPr>
      <w:r>
        <w:rPr>
          <w:rFonts w:ascii="Arial" w:cs="Arial" w:eastAsia="Arial" w:hAnsi="Arial"/>
          <w:sz w:val="21"/>
          <w:szCs w:val="21"/>
          <w:color w:val="auto"/>
        </w:rPr>
        <w:t>achievement of our performance metrics and goals. If we achieve the performance metrics and goals selected by the Committee, then cash incentive payments are provided to participants early in the year following such achievement.</w:t>
      </w:r>
    </w:p>
    <w:p>
      <w:pPr>
        <w:spacing w:after="0" w:line="161" w:lineRule="exact"/>
        <w:rPr>
          <w:sz w:val="20"/>
          <w:szCs w:val="20"/>
          <w:color w:val="auto"/>
        </w:rPr>
      </w:pPr>
    </w:p>
    <w:p>
      <w:pPr>
        <w:ind w:left="640" w:right="180"/>
        <w:spacing w:after="0" w:line="239" w:lineRule="auto"/>
        <w:rPr>
          <w:sz w:val="20"/>
          <w:szCs w:val="20"/>
          <w:color w:val="auto"/>
        </w:rPr>
      </w:pPr>
      <w:r>
        <w:rPr>
          <w:rFonts w:ascii="Arial" w:cs="Arial" w:eastAsia="Arial" w:hAnsi="Arial"/>
          <w:sz w:val="21"/>
          <w:szCs w:val="21"/>
          <w:color w:val="auto"/>
        </w:rPr>
        <w:t xml:space="preserve">On January 28, 2025, the Compensation Committee selected annual performance metrics and goals and target annual cash incentive awards for 2025 under the Management Incentive Plan. Based on 2025 achievement of performance goals, the Committee approved payments of 137% of the target amount for Management Incentive Plan participants on January 27, 2026. For more detailed information with regard to performance metrics and goals, see the section entitled </w:t>
      </w:r>
      <w:r>
        <w:rPr>
          <w:rFonts w:ascii="Arial" w:cs="Arial" w:eastAsia="Arial" w:hAnsi="Arial"/>
          <w:sz w:val="21"/>
          <w:szCs w:val="21"/>
          <w:i w:val="1"/>
          <w:iCs w:val="1"/>
          <w:color w:val="auto"/>
        </w:rPr>
        <w:t>Compensation – Compensation Discussion and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Analysis </w:t>
      </w:r>
      <w:r>
        <w:rPr>
          <w:rFonts w:ascii="Arial" w:cs="Arial" w:eastAsia="Arial" w:hAnsi="Arial"/>
          <w:sz w:val="21"/>
          <w:szCs w:val="21"/>
          <w:color w:val="auto"/>
        </w:rPr>
        <w:t>of this proxy statement.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EQUITY COMPENSATION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Third Amended Stock Plan</w:t>
      </w:r>
    </w:p>
    <w:p>
      <w:pPr>
        <w:spacing w:after="0" w:line="200" w:lineRule="exact"/>
        <w:rPr>
          <w:sz w:val="20"/>
          <w:szCs w:val="20"/>
          <w:color w:val="auto"/>
        </w:rPr>
      </w:pPr>
    </w:p>
    <w:p>
      <w:pPr>
        <w:ind w:left="640" w:right="860"/>
        <w:spacing w:after="0" w:line="264" w:lineRule="auto"/>
        <w:rPr>
          <w:sz w:val="20"/>
          <w:szCs w:val="20"/>
          <w:color w:val="auto"/>
        </w:rPr>
      </w:pPr>
      <w:r>
        <w:rPr>
          <w:rFonts w:ascii="Arial" w:cs="Arial" w:eastAsia="Arial" w:hAnsi="Arial"/>
          <w:sz w:val="21"/>
          <w:szCs w:val="21"/>
          <w:color w:val="auto"/>
        </w:rPr>
        <w:t>The Third Amended Stock Plan is an equity-based plan in which selected management employees, including all Named Executive Officers, participate.</w:t>
      </w:r>
    </w:p>
    <w:p>
      <w:pPr>
        <w:spacing w:after="0" w:line="144" w:lineRule="exact"/>
        <w:rPr>
          <w:sz w:val="20"/>
          <w:szCs w:val="20"/>
          <w:color w:val="auto"/>
        </w:rPr>
      </w:pPr>
    </w:p>
    <w:p>
      <w:pPr>
        <w:ind w:left="640" w:right="100"/>
        <w:spacing w:after="0" w:line="236" w:lineRule="auto"/>
        <w:rPr>
          <w:sz w:val="20"/>
          <w:szCs w:val="20"/>
          <w:color w:val="auto"/>
        </w:rPr>
      </w:pPr>
      <w:r>
        <w:rPr>
          <w:rFonts w:ascii="Arial" w:cs="Arial" w:eastAsia="Arial" w:hAnsi="Arial"/>
          <w:sz w:val="21"/>
          <w:szCs w:val="21"/>
          <w:color w:val="auto"/>
        </w:rPr>
        <w:t>For equity awards granted through 2025, dividends on both Time Restricted and Performance Restricted Shares were paid to participants (including Named Executive Officers) during the vesting period(s). In 2025, we paid four quarterly non-preferential dividends of $0.45 per share on all shares of common stock outstanding, which included all shares of unvested restricted stock, as of each respective record date. On January 27, 2026, the Compensation Committee approved a new policy that requires dividends on both Time Restricted Shares and Performance Restricted Shares be accrued during the respective vesting or performance period(s) and delivered to participants (including Named Executive Officers) only at such time the restricted shares, if any, vest and are no longer subject to forfeiture. Dividends on Additional Shares will be paid only after the Additional Shares are issued.</w:t>
      </w:r>
    </w:p>
    <w:p>
      <w:pPr>
        <w:spacing w:after="0" w:line="176" w:lineRule="exact"/>
        <w:rPr>
          <w:sz w:val="20"/>
          <w:szCs w:val="20"/>
          <w:color w:val="auto"/>
        </w:rPr>
      </w:pPr>
    </w:p>
    <w:p>
      <w:pPr>
        <w:ind w:left="640" w:right="140"/>
        <w:spacing w:after="0" w:line="264" w:lineRule="auto"/>
        <w:rPr>
          <w:sz w:val="20"/>
          <w:szCs w:val="20"/>
          <w:color w:val="auto"/>
        </w:rPr>
      </w:pPr>
      <w:r>
        <w:rPr>
          <w:rFonts w:ascii="Arial" w:cs="Arial" w:eastAsia="Arial" w:hAnsi="Arial"/>
          <w:sz w:val="21"/>
          <w:szCs w:val="21"/>
          <w:color w:val="auto"/>
        </w:rPr>
        <w:t>Named Executive Officers are required to hold all forms of equity received as compensation until retirement or other separation from the Company as prescribed by the Executive Stock Retention Policy.</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All shares of restricted stock, regardless of vested status, are granted with full voting rights.</w:t>
      </w:r>
    </w:p>
    <w:p>
      <w:pPr>
        <w:spacing w:after="0" w:line="200" w:lineRule="exact"/>
        <w:rPr>
          <w:sz w:val="20"/>
          <w:szCs w:val="20"/>
          <w:color w:val="auto"/>
        </w:rPr>
      </w:pPr>
    </w:p>
    <w:p>
      <w:pPr>
        <w:ind w:left="640" w:right="20"/>
        <w:spacing w:after="0" w:line="236" w:lineRule="auto"/>
        <w:rPr>
          <w:sz w:val="20"/>
          <w:szCs w:val="20"/>
          <w:color w:val="auto"/>
        </w:rPr>
      </w:pPr>
      <w:r>
        <w:rPr>
          <w:rFonts w:ascii="Arial" w:cs="Arial" w:eastAsia="Arial" w:hAnsi="Arial"/>
          <w:sz w:val="21"/>
          <w:szCs w:val="21"/>
          <w:color w:val="auto"/>
        </w:rPr>
        <w:t>Restricted stock may not be sold, transferred, pledged, assigned or otherwise alienated or hypothecated prior to vesting. Unvested restricted stock is subject to forfeiture if the participant’s employment is terminated for any reason other than the participant’s death, disability, retirement, or in connection with a change of control. Under the terms of the Third Amended Stock Plan, all unvested Time Restricted Shares become fully vested upon retirement. According to IRS regulations, Time Restricted Shares become taxable as current income when they become non-forfeitable, which is defined as having reached the age of eligibility for retirement. Participants are required to pay taxes on this additional taxable income when they become eligible for retirement. Upon the occurrence of death, disability, or a change of control of the Company, unless otherwise specifically prohibited under applicable laws, any restrictions and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153035</wp:posOffset>
            </wp:positionV>
            <wp:extent cx="6337300" cy="825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620"/>
          </w:cols>
          <w:pgMar w:left="320" w:top="470" w:right="9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20"/>
        <w:spacing w:after="0" w:line="239" w:lineRule="auto"/>
        <w:rPr>
          <w:sz w:val="20"/>
          <w:szCs w:val="20"/>
          <w:color w:val="auto"/>
        </w:rPr>
      </w:pPr>
      <w:r>
        <w:rPr>
          <w:rFonts w:ascii="Arial" w:cs="Arial" w:eastAsia="Arial" w:hAnsi="Arial"/>
          <w:sz w:val="21"/>
          <w:szCs w:val="21"/>
          <w:color w:val="auto"/>
        </w:rPr>
        <w:t xml:space="preserve">limitations imposed on Time Restricted Shares will immediately lapse. Performance Restricted Shares will vest only at the completion of the Performance Period, with the exception of the occurrence of a change in control with an adverse employment action, at which time the Participant’s Change of Control Agreement will become effective, and all shares of restricted stock will vest. The term “change of control” is defined in the section entitled </w:t>
      </w:r>
      <w:r>
        <w:rPr>
          <w:rFonts w:ascii="Arial" w:cs="Arial" w:eastAsia="Arial" w:hAnsi="Arial"/>
          <w:sz w:val="21"/>
          <w:szCs w:val="21"/>
          <w:i w:val="1"/>
          <w:iCs w:val="1"/>
          <w:color w:val="auto"/>
        </w:rPr>
        <w:t>Compensation – Compensation of Named Executive Officers – Definition of Change of</w:t>
      </w:r>
      <w:r>
        <w:rPr>
          <w:rFonts w:ascii="Arial" w:cs="Arial" w:eastAsia="Arial" w:hAnsi="Arial"/>
          <w:sz w:val="21"/>
          <w:szCs w:val="21"/>
          <w:color w:val="auto"/>
        </w:rPr>
        <w:t xml:space="preserve"> </w:t>
      </w:r>
      <w:r>
        <w:rPr>
          <w:rFonts w:ascii="Arial" w:cs="Arial" w:eastAsia="Arial" w:hAnsi="Arial"/>
          <w:sz w:val="21"/>
          <w:szCs w:val="21"/>
          <w:i w:val="1"/>
          <w:iCs w:val="1"/>
          <w:color w:val="auto"/>
        </w:rPr>
        <w:t>Control, Cause and Good Reason</w:t>
      </w:r>
      <w:r>
        <w:rPr>
          <w:rFonts w:ascii="Arial" w:cs="Arial" w:eastAsia="Arial" w:hAnsi="Arial"/>
          <w:sz w:val="21"/>
          <w:szCs w:val="21"/>
          <w:color w:val="auto"/>
        </w:rPr>
        <w:t>.</w:t>
      </w:r>
    </w:p>
    <w:p>
      <w:pPr>
        <w:spacing w:after="0" w:line="200" w:lineRule="exact"/>
        <w:rPr>
          <w:sz w:val="20"/>
          <w:szCs w:val="20"/>
          <w:color w:val="auto"/>
        </w:rPr>
      </w:pPr>
    </w:p>
    <w:p>
      <w:pPr>
        <w:spacing w:after="0" w:line="284"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Proportional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jc w:val="both"/>
        <w:ind w:left="640" w:right="480"/>
        <w:spacing w:after="0" w:line="248" w:lineRule="auto"/>
        <w:rPr>
          <w:sz w:val="20"/>
          <w:szCs w:val="20"/>
          <w:color w:val="auto"/>
        </w:rPr>
      </w:pPr>
      <w:r>
        <w:rPr>
          <w:rFonts w:ascii="Arial" w:cs="Arial" w:eastAsia="Arial" w:hAnsi="Arial"/>
          <w:sz w:val="21"/>
          <w:szCs w:val="21"/>
          <w:color w:val="auto"/>
        </w:rPr>
        <w:t>The table below shows the comparison of salary and performance-based compensation in proportion to various other elements to illustrate the “at risk” compensation for Named Executive Officers for the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176530</wp:posOffset>
            </wp:positionV>
            <wp:extent cx="6337300" cy="1981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337300" cy="198120"/>
                    </a:xfrm>
                    <a:prstGeom prst="rect">
                      <a:avLst/>
                    </a:prstGeom>
                    <a:noFill/>
                  </pic:spPr>
                </pic:pic>
              </a:graphicData>
            </a:graphic>
          </wp:anchor>
        </w:drawing>
      </w:r>
    </w:p>
    <w:p>
      <w:pPr>
        <w:spacing w:after="0" w:line="297" w:lineRule="exact"/>
        <w:rPr>
          <w:sz w:val="20"/>
          <w:szCs w:val="20"/>
          <w:color w:val="auto"/>
        </w:rPr>
      </w:pPr>
    </w:p>
    <w:p>
      <w:pPr>
        <w:ind w:left="3600"/>
        <w:spacing w:after="0"/>
        <w:rPr>
          <w:sz w:val="20"/>
          <w:szCs w:val="20"/>
          <w:color w:val="auto"/>
        </w:rPr>
      </w:pPr>
      <w:r>
        <w:rPr>
          <w:rFonts w:ascii="Arial" w:cs="Arial" w:eastAsia="Arial" w:hAnsi="Arial"/>
          <w:sz w:val="21"/>
          <w:szCs w:val="21"/>
          <w:b w:val="1"/>
          <w:bCs w:val="1"/>
          <w:color w:val="FFFFFF"/>
        </w:rPr>
        <w:t>PROPORTIONAL COMPENSATION - 2025</w:t>
      </w:r>
    </w:p>
    <w:p>
      <w:pPr>
        <w:spacing w:after="0" w:line="32" w:lineRule="exact"/>
        <w:rPr>
          <w:sz w:val="20"/>
          <w:szCs w:val="20"/>
          <w:color w:val="auto"/>
        </w:rPr>
      </w:pPr>
    </w:p>
    <w:tbl>
      <w:tblPr>
        <w:tblLayout w:type="fixed"/>
        <w:tblInd w:w="640" w:type="dxa"/>
        <w:tblCellMar>
          <w:top w:w="0" w:type="dxa"/>
          <w:left w:w="0" w:type="dxa"/>
          <w:bottom w:w="0" w:type="dxa"/>
          <w:right w:w="0" w:type="dxa"/>
        </w:tblCellMar>
      </w:tblPr>
      <w:tr>
        <w:trPr>
          <w:trHeight w:val="175"/>
        </w:trPr>
        <w:tc>
          <w:tcPr>
            <w:tcW w:w="2720" w:type="dxa"/>
            <w:vAlign w:val="bottom"/>
            <w:tcBorders>
              <w:top w:val="single" w:sz="8" w:color="auto"/>
              <w:right w:val="single" w:sz="8" w:color="auto"/>
            </w:tcBorders>
          </w:tcPr>
          <w:p>
            <w:pPr>
              <w:spacing w:after="0"/>
              <w:rPr>
                <w:sz w:val="15"/>
                <w:szCs w:val="15"/>
                <w:color w:val="auto"/>
              </w:rPr>
            </w:pPr>
          </w:p>
        </w:tc>
        <w:tc>
          <w:tcPr>
            <w:tcW w:w="1060" w:type="dxa"/>
            <w:vAlign w:val="bottom"/>
            <w:tcBorders>
              <w:top w:val="single" w:sz="8" w:color="auto"/>
              <w:right w:val="single" w:sz="8" w:color="auto"/>
            </w:tcBorders>
          </w:tcPr>
          <w:p>
            <w:pPr>
              <w:spacing w:after="0"/>
              <w:rPr>
                <w:sz w:val="15"/>
                <w:szCs w:val="15"/>
                <w:color w:val="auto"/>
              </w:rPr>
            </w:pPr>
          </w:p>
        </w:tc>
        <w:tc>
          <w:tcPr>
            <w:tcW w:w="1600" w:type="dxa"/>
            <w:vAlign w:val="bottom"/>
            <w:tcBorders>
              <w:top w:val="single" w:sz="8" w:color="auto"/>
              <w:right w:val="single" w:sz="8" w:color="auto"/>
            </w:tcBorders>
          </w:tcPr>
          <w:p>
            <w:pPr>
              <w:spacing w:after="0"/>
              <w:rPr>
                <w:sz w:val="15"/>
                <w:szCs w:val="15"/>
                <w:color w:val="auto"/>
              </w:rPr>
            </w:pPr>
          </w:p>
        </w:tc>
        <w:tc>
          <w:tcPr>
            <w:tcW w:w="1520" w:type="dxa"/>
            <w:vAlign w:val="bottom"/>
            <w:tcBorders>
              <w:top w:val="single" w:sz="8" w:color="auto"/>
              <w:right w:val="single" w:sz="8" w:color="auto"/>
            </w:tcBorders>
          </w:tcPr>
          <w:p>
            <w:pPr>
              <w:spacing w:after="0"/>
              <w:rPr>
                <w:sz w:val="15"/>
                <w:szCs w:val="15"/>
                <w:color w:val="auto"/>
              </w:rPr>
            </w:pPr>
          </w:p>
        </w:tc>
        <w:tc>
          <w:tcPr>
            <w:tcW w:w="308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AT RISK COMPENSATION</w:t>
            </w:r>
          </w:p>
        </w:tc>
      </w:tr>
      <w:tr>
        <w:trPr>
          <w:trHeight w:val="140"/>
        </w:trPr>
        <w:tc>
          <w:tcPr>
            <w:tcW w:w="27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Summary</w:t>
            </w:r>
          </w:p>
        </w:tc>
        <w:tc>
          <w:tcPr>
            <w:tcW w:w="152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tcPr>
          <w:p>
            <w:pPr>
              <w:spacing w:after="0"/>
              <w:rPr>
                <w:sz w:val="12"/>
                <w:szCs w:val="12"/>
                <w:color w:val="auto"/>
              </w:rPr>
            </w:pPr>
          </w:p>
        </w:tc>
        <w:tc>
          <w:tcPr>
            <w:tcW w:w="152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  Performance-Based</w:t>
            </w:r>
          </w:p>
        </w:tc>
      </w:tr>
      <w:tr>
        <w:trPr>
          <w:trHeight w:val="156"/>
        </w:trPr>
        <w:tc>
          <w:tcPr>
            <w:tcW w:w="272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4"/>
                <w:szCs w:val="14"/>
                <w:b w:val="1"/>
                <w:bCs w:val="1"/>
                <w:color w:val="auto"/>
                <w:w w:val="99"/>
              </w:rPr>
              <w:t>  Compensation Table</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79"/>
              </w:rPr>
              <w:t> </w:t>
            </w:r>
          </w:p>
        </w:tc>
        <w:tc>
          <w:tcPr>
            <w:tcW w:w="156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4"/>
                <w:szCs w:val="14"/>
                <w:b w:val="1"/>
                <w:bCs w:val="1"/>
                <w:color w:val="auto"/>
              </w:rPr>
              <w:t>  Performance-Based</w:t>
            </w:r>
          </w:p>
        </w:tc>
        <w:tc>
          <w:tcPr>
            <w:tcW w:w="15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9"/>
              </w:rPr>
              <w:t>Compensation as</w:t>
            </w:r>
          </w:p>
        </w:tc>
      </w:tr>
      <w:tr>
        <w:trPr>
          <w:trHeight w:val="154"/>
        </w:trPr>
        <w:tc>
          <w:tcPr>
            <w:tcW w:w="272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9"/>
              </w:rPr>
              <w:t>(“SCT”) Total</w:t>
            </w:r>
          </w:p>
        </w:tc>
        <w:tc>
          <w:tcPr>
            <w:tcW w:w="1520" w:type="dxa"/>
            <w:vAlign w:val="bottom"/>
            <w:tcBorders>
              <w:right w:val="single" w:sz="8" w:color="auto"/>
            </w:tcBorders>
          </w:tcPr>
          <w:p>
            <w:pPr>
              <w:ind w:left="60"/>
              <w:spacing w:after="0" w:line="154" w:lineRule="exact"/>
              <w:rPr>
                <w:sz w:val="20"/>
                <w:szCs w:val="20"/>
                <w:color w:val="auto"/>
              </w:rPr>
            </w:pPr>
            <w:r>
              <w:rPr>
                <w:rFonts w:ascii="Arial" w:cs="Arial" w:eastAsia="Arial" w:hAnsi="Arial"/>
                <w:sz w:val="14"/>
                <w:szCs w:val="14"/>
                <w:b w:val="1"/>
                <w:bCs w:val="1"/>
                <w:color w:val="auto"/>
              </w:rPr>
              <w:t>Salary as a % of SCT</w:t>
            </w:r>
          </w:p>
        </w:tc>
        <w:tc>
          <w:tcPr>
            <w:tcW w:w="156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9"/>
              </w:rPr>
              <w:t>Compensation as</w:t>
            </w:r>
          </w:p>
        </w:tc>
        <w:tc>
          <w:tcPr>
            <w:tcW w:w="152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8"/>
              </w:rPr>
              <w:t>% of Annual</w:t>
            </w:r>
          </w:p>
        </w:tc>
      </w:tr>
      <w:tr>
        <w:trPr>
          <w:trHeight w:val="232"/>
        </w:trPr>
        <w:tc>
          <w:tcPr>
            <w:tcW w:w="27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   Name</w:t>
            </w:r>
          </w:p>
        </w:tc>
        <w:tc>
          <w:tcPr>
            <w:tcW w:w="106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2025 Salary </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Compensation</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 of SCT Total </w:t>
            </w:r>
            <w:r>
              <w:rPr>
                <w:rFonts w:ascii="Arial" w:cs="Arial" w:eastAsia="Arial" w:hAnsi="Arial"/>
                <w:sz w:val="20"/>
                <w:szCs w:val="20"/>
                <w:i w:val="1"/>
                <w:iCs w:val="1"/>
                <w:color w:val="auto"/>
                <w:w w:val="94"/>
                <w:vertAlign w:val="superscript"/>
              </w:rPr>
              <w:t>(1)</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Compensation </w:t>
            </w:r>
            <w:r>
              <w:rPr>
                <w:rFonts w:ascii="Arial" w:cs="Arial" w:eastAsia="Arial" w:hAnsi="Arial"/>
                <w:sz w:val="20"/>
                <w:szCs w:val="20"/>
                <w:i w:val="1"/>
                <w:iCs w:val="1"/>
                <w:color w:val="auto"/>
                <w:w w:val="95"/>
                <w:vertAlign w:val="superscript"/>
              </w:rPr>
              <w:t>(2)</w:t>
            </w:r>
          </w:p>
        </w:tc>
      </w:tr>
      <w:tr>
        <w:trPr>
          <w:trHeight w:val="240"/>
        </w:trPr>
        <w:tc>
          <w:tcPr>
            <w:tcW w:w="2720" w:type="dxa"/>
            <w:vAlign w:val="bottom"/>
            <w:tcBorders>
              <w:bottom w:val="single" w:sz="8" w:color="314A72"/>
              <w:right w:val="single" w:sz="8" w:color="314A72"/>
            </w:tcBorders>
            <w:shd w:val="clear" w:color="auto" w:fill="314A72"/>
          </w:tcPr>
          <w:p>
            <w:pPr>
              <w:ind w:left="1260"/>
              <w:spacing w:after="0"/>
              <w:rPr>
                <w:sz w:val="20"/>
                <w:szCs w:val="20"/>
                <w:color w:val="auto"/>
              </w:rPr>
            </w:pPr>
            <w:r>
              <w:rPr>
                <w:rFonts w:ascii="Arial" w:cs="Arial" w:eastAsia="Arial" w:hAnsi="Arial"/>
                <w:sz w:val="14"/>
                <w:szCs w:val="14"/>
                <w:b w:val="1"/>
                <w:bCs w:val="1"/>
                <w:color w:val="FFFFFF"/>
              </w:rPr>
              <w:t>(a)</w:t>
            </w:r>
          </w:p>
        </w:tc>
        <w:tc>
          <w:tcPr>
            <w:tcW w:w="1060" w:type="dxa"/>
            <w:vAlign w:val="bottom"/>
            <w:tcBorders>
              <w:bottom w:val="single" w:sz="8" w:color="314A72"/>
              <w:right w:val="single" w:sz="8" w:color="314A72"/>
            </w:tcBorders>
            <w:shd w:val="clear" w:color="auto" w:fill="314A72"/>
          </w:tcPr>
          <w:p>
            <w:pPr>
              <w:jc w:val="center"/>
              <w:spacing w:after="0"/>
              <w:rPr>
                <w:sz w:val="20"/>
                <w:szCs w:val="20"/>
                <w:color w:val="auto"/>
              </w:rPr>
            </w:pPr>
            <w:r>
              <w:rPr>
                <w:rFonts w:ascii="Arial" w:cs="Arial" w:eastAsia="Arial" w:hAnsi="Arial"/>
                <w:sz w:val="14"/>
                <w:szCs w:val="14"/>
                <w:b w:val="1"/>
                <w:bCs w:val="1"/>
                <w:color w:val="FFFFFF"/>
              </w:rPr>
              <w:t>(b)</w:t>
            </w:r>
          </w:p>
        </w:tc>
        <w:tc>
          <w:tcPr>
            <w:tcW w:w="1600" w:type="dxa"/>
            <w:vAlign w:val="bottom"/>
            <w:tcBorders>
              <w:bottom w:val="single" w:sz="8" w:color="314A72"/>
              <w:right w:val="single" w:sz="8" w:color="314A72"/>
            </w:tcBorders>
            <w:shd w:val="clear" w:color="auto" w:fill="314A72"/>
          </w:tcPr>
          <w:p>
            <w:pPr>
              <w:jc w:val="center"/>
              <w:spacing w:after="0"/>
              <w:rPr>
                <w:sz w:val="20"/>
                <w:szCs w:val="20"/>
                <w:color w:val="auto"/>
              </w:rPr>
            </w:pPr>
            <w:r>
              <w:rPr>
                <w:rFonts w:ascii="Arial" w:cs="Arial" w:eastAsia="Arial" w:hAnsi="Arial"/>
                <w:sz w:val="14"/>
                <w:szCs w:val="14"/>
                <w:b w:val="1"/>
                <w:bCs w:val="1"/>
                <w:color w:val="FFFFFF"/>
                <w:w w:val="93"/>
              </w:rPr>
              <w:t>(c)</w:t>
            </w:r>
          </w:p>
        </w:tc>
        <w:tc>
          <w:tcPr>
            <w:tcW w:w="1520" w:type="dxa"/>
            <w:vAlign w:val="bottom"/>
            <w:tcBorders>
              <w:bottom w:val="single" w:sz="8" w:color="314A72"/>
              <w:right w:val="single" w:sz="8" w:color="314A72"/>
            </w:tcBorders>
            <w:shd w:val="clear" w:color="auto" w:fill="314A72"/>
          </w:tcPr>
          <w:p>
            <w:pPr>
              <w:jc w:val="center"/>
              <w:spacing w:after="0"/>
              <w:rPr>
                <w:sz w:val="20"/>
                <w:szCs w:val="20"/>
                <w:color w:val="auto"/>
              </w:rPr>
            </w:pPr>
            <w:r>
              <w:rPr>
                <w:rFonts w:ascii="Arial" w:cs="Arial" w:eastAsia="Arial" w:hAnsi="Arial"/>
                <w:sz w:val="14"/>
                <w:szCs w:val="14"/>
                <w:b w:val="1"/>
                <w:bCs w:val="1"/>
                <w:color w:val="FFFFFF"/>
                <w:w w:val="89"/>
              </w:rPr>
              <w:t>(d)</w:t>
            </w:r>
          </w:p>
        </w:tc>
        <w:tc>
          <w:tcPr>
            <w:tcW w:w="1560" w:type="dxa"/>
            <w:vAlign w:val="bottom"/>
            <w:tcBorders>
              <w:bottom w:val="single" w:sz="8" w:color="314A72"/>
              <w:right w:val="single" w:sz="8" w:color="314A72"/>
            </w:tcBorders>
            <w:shd w:val="clear" w:color="auto" w:fill="314A72"/>
          </w:tcPr>
          <w:p>
            <w:pPr>
              <w:jc w:val="center"/>
              <w:spacing w:after="0"/>
              <w:rPr>
                <w:sz w:val="20"/>
                <w:szCs w:val="20"/>
                <w:color w:val="auto"/>
              </w:rPr>
            </w:pPr>
            <w:r>
              <w:rPr>
                <w:rFonts w:ascii="Arial" w:cs="Arial" w:eastAsia="Arial" w:hAnsi="Arial"/>
                <w:sz w:val="14"/>
                <w:szCs w:val="14"/>
                <w:b w:val="1"/>
                <w:bCs w:val="1"/>
                <w:color w:val="FFFFFF"/>
                <w:w w:val="93"/>
              </w:rPr>
              <w:t>(e)</w:t>
            </w:r>
          </w:p>
        </w:tc>
        <w:tc>
          <w:tcPr>
            <w:tcW w:w="1520" w:type="dxa"/>
            <w:vAlign w:val="bottom"/>
            <w:tcBorders>
              <w:bottom w:val="single" w:sz="8" w:color="314A72"/>
            </w:tcBorders>
            <w:shd w:val="clear" w:color="auto" w:fill="314A72"/>
          </w:tcPr>
          <w:p>
            <w:pPr>
              <w:jc w:val="center"/>
              <w:spacing w:after="0"/>
              <w:rPr>
                <w:sz w:val="20"/>
                <w:szCs w:val="20"/>
                <w:color w:val="auto"/>
              </w:rPr>
            </w:pPr>
            <w:r>
              <w:rPr>
                <w:rFonts w:ascii="Arial" w:cs="Arial" w:eastAsia="Arial" w:hAnsi="Arial"/>
                <w:sz w:val="14"/>
                <w:szCs w:val="14"/>
                <w:b w:val="1"/>
                <w:bCs w:val="1"/>
                <w:color w:val="FFFFFF"/>
                <w:w w:val="99"/>
              </w:rPr>
              <w:t>(f)</w:t>
            </w:r>
          </w:p>
        </w:tc>
      </w:tr>
      <w:tr>
        <w:trPr>
          <w:trHeight w:val="260"/>
        </w:trPr>
        <w:tc>
          <w:tcPr>
            <w:tcW w:w="2720" w:type="dxa"/>
            <w:vAlign w:val="bottom"/>
            <w:tcBorders>
              <w:bottom w:val="single" w:sz="8" w:color="F7AB6C"/>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Thomas P. Meissner, Jr.</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$744,066</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$3,189,116</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23.3%</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32.6%</w:t>
            </w:r>
          </w:p>
        </w:tc>
        <w:tc>
          <w:tcPr>
            <w:tcW w:w="1520" w:type="dxa"/>
            <w:vAlign w:val="bottom"/>
          </w:tcPr>
          <w:p>
            <w:pPr>
              <w:jc w:val="center"/>
              <w:spacing w:after="0"/>
              <w:rPr>
                <w:sz w:val="20"/>
                <w:szCs w:val="20"/>
                <w:color w:val="auto"/>
              </w:rPr>
            </w:pPr>
            <w:r>
              <w:rPr>
                <w:rFonts w:ascii="Arial" w:cs="Arial" w:eastAsia="Arial" w:hAnsi="Arial"/>
                <w:sz w:val="14"/>
                <w:szCs w:val="14"/>
                <w:color w:val="auto"/>
              </w:rPr>
              <w:t>58.3%</w:t>
            </w:r>
          </w:p>
        </w:tc>
      </w:tr>
      <w:tr>
        <w:trPr>
          <w:trHeight w:val="240"/>
        </w:trPr>
        <w:tc>
          <w:tcPr>
            <w:tcW w:w="2720" w:type="dxa"/>
            <w:vAlign w:val="bottom"/>
            <w:tcBorders>
              <w:top w:val="single" w:sz="8" w:color="auto"/>
              <w:bottom w:val="single" w:sz="8" w:color="F7AB6C"/>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Robert B. Hevert</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$486,000</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$1,614,866</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30.1%</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31.4%</w:t>
            </w: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51.1%</w:t>
            </w:r>
          </w:p>
        </w:tc>
      </w:tr>
      <w:tr>
        <w:trPr>
          <w:trHeight w:val="240"/>
        </w:trPr>
        <w:tc>
          <w:tcPr>
            <w:tcW w:w="2720" w:type="dxa"/>
            <w:vAlign w:val="bottom"/>
            <w:tcBorders>
              <w:top w:val="single" w:sz="8" w:color="auto"/>
              <w:bottom w:val="single" w:sz="8" w:color="F7AB6C"/>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Daniel J. Hurstak</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$352,892</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   $998,997</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35.3%</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33.1%</w:t>
            </w: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48.3%</w:t>
            </w:r>
          </w:p>
        </w:tc>
      </w:tr>
      <w:tr>
        <w:trPr>
          <w:trHeight w:val="240"/>
        </w:trPr>
        <w:tc>
          <w:tcPr>
            <w:tcW w:w="2720" w:type="dxa"/>
            <w:vAlign w:val="bottom"/>
            <w:tcBorders>
              <w:top w:val="single" w:sz="8" w:color="auto"/>
              <w:bottom w:val="single" w:sz="8" w:color="F7AB6C"/>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Justin Eisfeller</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$296,951</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   $782,885</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37.9%</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24.6%</w:t>
            </w: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39.4%</w:t>
            </w:r>
          </w:p>
        </w:tc>
      </w:tr>
      <w:tr>
        <w:trPr>
          <w:trHeight w:val="220"/>
        </w:trPr>
        <w:tc>
          <w:tcPr>
            <w:tcW w:w="2720" w:type="dxa"/>
            <w:vAlign w:val="bottom"/>
            <w:tcBorders>
              <w:top w:val="single" w:sz="8" w:color="auto"/>
              <w:bottom w:val="single" w:sz="8" w:color="F7AB6C"/>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Christopher J. LeBlanc</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$306,375</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   $863,281</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35.5%</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22.9%</w:t>
            </w: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39.2%</w:t>
            </w:r>
          </w:p>
        </w:tc>
      </w:tr>
      <w:tr>
        <w:trPr>
          <w:trHeight w:val="20"/>
        </w:trPr>
        <w:tc>
          <w:tcPr>
            <w:tcW w:w="272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5761990</wp:posOffset>
            </wp:positionH>
            <wp:positionV relativeFrom="paragraph">
              <wp:posOffset>-997585</wp:posOffset>
            </wp:positionV>
            <wp:extent cx="8255" cy="165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16510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-997585</wp:posOffset>
            </wp:positionV>
            <wp:extent cx="8255" cy="165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165100"/>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-997585</wp:posOffset>
            </wp:positionV>
            <wp:extent cx="8255" cy="165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16510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-997585</wp:posOffset>
            </wp:positionV>
            <wp:extent cx="8255" cy="165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16510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-997585</wp:posOffset>
            </wp:positionV>
            <wp:extent cx="8255" cy="165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1651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181610</wp:posOffset>
            </wp:positionV>
            <wp:extent cx="63373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NOTES:</w:t>
      </w:r>
    </w:p>
    <w:p>
      <w:pPr>
        <w:spacing w:after="0" w:line="116" w:lineRule="exact"/>
        <w:rPr>
          <w:sz w:val="20"/>
          <w:szCs w:val="20"/>
          <w:color w:val="auto"/>
        </w:rPr>
      </w:pPr>
    </w:p>
    <w:p>
      <w:pPr>
        <w:ind w:left="1620" w:right="400" w:hanging="492"/>
        <w:spacing w:after="0" w:line="280" w:lineRule="auto"/>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Performance-based compensation is defined as the total of the Management Incentive Plan non-equity incentive payment and the value of the grant of Performance Restricted Shares on the grant date.</w:t>
      </w:r>
    </w:p>
    <w:p>
      <w:pPr>
        <w:spacing w:after="0" w:line="50" w:lineRule="exact"/>
        <w:rPr>
          <w:rFonts w:ascii="Arial" w:cs="Arial" w:eastAsia="Arial" w:hAnsi="Arial"/>
          <w:sz w:val="17"/>
          <w:szCs w:val="17"/>
          <w:color w:val="auto"/>
        </w:rPr>
      </w:pPr>
    </w:p>
    <w:p>
      <w:pPr>
        <w:ind w:left="1620" w:right="460" w:hanging="492"/>
        <w:spacing w:after="0" w:line="280" w:lineRule="auto"/>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Annual compensation is defined as the total of salary, Management Incentive Plan non-equity incentive, and the grants of both Time Restricted Shares and Performance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125095</wp:posOffset>
            </wp:positionV>
            <wp:extent cx="6337300" cy="908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395"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620"/>
          </w:cols>
          <w:pgMar w:left="320" w:top="470" w:right="9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Option Exercises &amp;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right="200"/>
        <w:spacing w:after="0" w:line="264" w:lineRule="auto"/>
        <w:rPr>
          <w:sz w:val="20"/>
          <w:szCs w:val="20"/>
          <w:color w:val="auto"/>
        </w:rPr>
      </w:pPr>
      <w:r>
        <w:rPr>
          <w:rFonts w:ascii="Arial" w:cs="Arial" w:eastAsia="Arial" w:hAnsi="Arial"/>
          <w:sz w:val="21"/>
          <w:szCs w:val="21"/>
          <w:color w:val="auto"/>
        </w:rPr>
        <w:t>The table below provides information with respect to the shares of stock granted under the Third Amended Stock Plan in previous years that vested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125095</wp:posOffset>
            </wp:positionV>
            <wp:extent cx="6337300" cy="1816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337300" cy="181610"/>
                    </a:xfrm>
                    <a:prstGeom prst="rect">
                      <a:avLst/>
                    </a:prstGeom>
                    <a:noFill/>
                  </pic:spPr>
                </pic:pic>
              </a:graphicData>
            </a:graphic>
          </wp:anchor>
        </w:drawing>
      </w:r>
    </w:p>
    <w:p>
      <w:pPr>
        <w:spacing w:after="0" w:line="189" w:lineRule="exact"/>
        <w:rPr>
          <w:sz w:val="20"/>
          <w:szCs w:val="20"/>
          <w:color w:val="auto"/>
        </w:rPr>
      </w:pPr>
    </w:p>
    <w:p>
      <w:pPr>
        <w:ind w:left="3260"/>
        <w:spacing w:after="0"/>
        <w:rPr>
          <w:sz w:val="20"/>
          <w:szCs w:val="20"/>
          <w:color w:val="auto"/>
        </w:rPr>
      </w:pPr>
      <w:r>
        <w:rPr>
          <w:rFonts w:ascii="Arial" w:cs="Arial" w:eastAsia="Arial" w:hAnsi="Arial"/>
          <w:sz w:val="21"/>
          <w:szCs w:val="21"/>
          <w:b w:val="1"/>
          <w:bCs w:val="1"/>
          <w:color w:val="FFFFFF"/>
        </w:rPr>
        <w:t>2025 OPTION EXERCISES AND STOCK VESTED</w:t>
      </w:r>
    </w:p>
    <w:p>
      <w:pPr>
        <w:spacing w:after="0" w:line="32" w:lineRule="exact"/>
        <w:rPr>
          <w:sz w:val="20"/>
          <w:szCs w:val="20"/>
          <w:color w:val="auto"/>
        </w:rPr>
      </w:pPr>
    </w:p>
    <w:tbl>
      <w:tblPr>
        <w:tblLayout w:type="fixed"/>
        <w:tblInd w:w="640" w:type="dxa"/>
        <w:tblCellMar>
          <w:top w:w="0" w:type="dxa"/>
          <w:left w:w="0" w:type="dxa"/>
          <w:bottom w:w="0" w:type="dxa"/>
          <w:right w:w="0" w:type="dxa"/>
        </w:tblCellMar>
      </w:tblPr>
      <w:tr>
        <w:trPr>
          <w:trHeight w:val="240"/>
        </w:trPr>
        <w:tc>
          <w:tcPr>
            <w:tcW w:w="182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 xml:space="preserve">Option Awards </w:t>
            </w:r>
            <w:r>
              <w:rPr>
                <w:rFonts w:ascii="Arial" w:cs="Arial" w:eastAsia="Arial" w:hAnsi="Arial"/>
                <w:sz w:val="20"/>
                <w:szCs w:val="20"/>
                <w:i w:val="1"/>
                <w:iCs w:val="1"/>
                <w:color w:val="auto"/>
                <w:w w:val="93"/>
                <w:vertAlign w:val="superscript"/>
              </w:rPr>
              <w:t>(1)</w:t>
            </w:r>
          </w:p>
        </w:tc>
        <w:tc>
          <w:tcPr>
            <w:tcW w:w="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right w:val="single" w:sz="8" w:color="auto"/>
            </w:tcBorders>
          </w:tcPr>
          <w:p>
            <w:pPr>
              <w:spacing w:after="0"/>
              <w:rPr>
                <w:sz w:val="20"/>
                <w:szCs w:val="20"/>
                <w:color w:val="auto"/>
              </w:rPr>
            </w:pPr>
          </w:p>
        </w:tc>
        <w:tc>
          <w:tcPr>
            <w:tcW w:w="3940" w:type="dxa"/>
            <w:vAlign w:val="bottom"/>
            <w:tcBorders>
              <w:top w:val="single" w:sz="8" w:color="auto"/>
              <w:bottom w:val="single" w:sz="8" w:color="auto"/>
            </w:tcBorders>
            <w:gridSpan w:val="2"/>
          </w:tcPr>
          <w:p>
            <w:pPr>
              <w:ind w:left="1540"/>
              <w:spacing w:after="0"/>
              <w:rPr>
                <w:sz w:val="20"/>
                <w:szCs w:val="20"/>
                <w:color w:val="auto"/>
              </w:rPr>
            </w:pPr>
            <w:r>
              <w:rPr>
                <w:rFonts w:ascii="Arial" w:cs="Arial" w:eastAsia="Arial" w:hAnsi="Arial"/>
                <w:sz w:val="14"/>
                <w:szCs w:val="14"/>
                <w:b w:val="1"/>
                <w:bCs w:val="1"/>
                <w:color w:val="auto"/>
              </w:rPr>
              <w:t>Stock Awards</w:t>
            </w:r>
          </w:p>
        </w:tc>
      </w:tr>
      <w:tr>
        <w:trPr>
          <w:trHeight w:val="138"/>
        </w:trPr>
        <w:tc>
          <w:tcPr>
            <w:tcW w:w="182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gridSpan w:val="8"/>
          </w:tcPr>
          <w:p>
            <w:pPr>
              <w:jc w:val="center"/>
              <w:spacing w:after="0" w:line="138" w:lineRule="exact"/>
              <w:rPr>
                <w:sz w:val="20"/>
                <w:szCs w:val="20"/>
                <w:color w:val="auto"/>
              </w:rPr>
            </w:pPr>
            <w:r>
              <w:rPr>
                <w:rFonts w:ascii="Arial" w:cs="Arial" w:eastAsia="Arial" w:hAnsi="Arial"/>
                <w:sz w:val="14"/>
                <w:szCs w:val="14"/>
                <w:b w:val="1"/>
                <w:bCs w:val="1"/>
                <w:color w:val="auto"/>
                <w:w w:val="99"/>
              </w:rPr>
              <w:t>Number of Shares</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b w:val="1"/>
                <w:bCs w:val="1"/>
                <w:color w:val="auto"/>
                <w:w w:val="99"/>
              </w:rPr>
              <w:t>Number of Shares</w:t>
            </w:r>
          </w:p>
        </w:tc>
        <w:tc>
          <w:tcPr>
            <w:tcW w:w="1960" w:type="dxa"/>
            <w:vAlign w:val="bottom"/>
          </w:tcPr>
          <w:p>
            <w:pPr>
              <w:jc w:val="center"/>
              <w:ind w:left="12"/>
              <w:spacing w:after="0" w:line="138" w:lineRule="exact"/>
              <w:rPr>
                <w:sz w:val="20"/>
                <w:szCs w:val="20"/>
                <w:color w:val="auto"/>
              </w:rPr>
            </w:pPr>
            <w:r>
              <w:rPr>
                <w:rFonts w:ascii="Arial" w:cs="Arial" w:eastAsia="Arial" w:hAnsi="Arial"/>
                <w:sz w:val="14"/>
                <w:szCs w:val="14"/>
                <w:b w:val="1"/>
                <w:bCs w:val="1"/>
                <w:color w:val="auto"/>
                <w:w w:val="97"/>
              </w:rPr>
              <w:t>Value Realized</w:t>
            </w:r>
          </w:p>
        </w:tc>
      </w:tr>
      <w:tr>
        <w:trPr>
          <w:trHeight w:val="158"/>
        </w:trPr>
        <w:tc>
          <w:tcPr>
            <w:tcW w:w="1820" w:type="dxa"/>
            <w:vAlign w:val="bottom"/>
            <w:tcBorders>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5"/>
          </w:tcPr>
          <w:p>
            <w:pPr>
              <w:jc w:val="center"/>
              <w:spacing w:after="0" w:line="157" w:lineRule="exact"/>
              <w:rPr>
                <w:sz w:val="20"/>
                <w:szCs w:val="20"/>
                <w:color w:val="auto"/>
              </w:rPr>
            </w:pPr>
            <w:r>
              <w:rPr>
                <w:rFonts w:ascii="Arial" w:cs="Arial" w:eastAsia="Arial" w:hAnsi="Arial"/>
                <w:sz w:val="14"/>
                <w:szCs w:val="14"/>
                <w:b w:val="1"/>
                <w:bCs w:val="1"/>
                <w:color w:val="auto"/>
                <w:w w:val="97"/>
              </w:rPr>
              <w:t>Acquired on</w:t>
            </w:r>
          </w:p>
        </w:tc>
        <w:tc>
          <w:tcPr>
            <w:tcW w:w="60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gridSpan w:val="6"/>
          </w:tcPr>
          <w:p>
            <w:pPr>
              <w:spacing w:after="0" w:line="157" w:lineRule="exact"/>
              <w:rPr>
                <w:sz w:val="20"/>
                <w:szCs w:val="20"/>
                <w:color w:val="auto"/>
              </w:rPr>
            </w:pPr>
            <w:r>
              <w:rPr>
                <w:rFonts w:ascii="Arial" w:cs="Arial" w:eastAsia="Arial" w:hAnsi="Arial"/>
                <w:sz w:val="14"/>
                <w:szCs w:val="14"/>
                <w:b w:val="1"/>
                <w:bCs w:val="1"/>
                <w:color w:val="auto"/>
                <w:w w:val="97"/>
              </w:rPr>
              <w:t>Value Realized</w:t>
            </w:r>
          </w:p>
        </w:tc>
        <w:tc>
          <w:tcPr>
            <w:tcW w:w="54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9"/>
              </w:rPr>
              <w:t>Acquired Upon</w:t>
            </w:r>
          </w:p>
        </w:tc>
        <w:tc>
          <w:tcPr>
            <w:tcW w:w="1960" w:type="dxa"/>
            <w:vAlign w:val="bottom"/>
          </w:tcPr>
          <w:p>
            <w:pPr>
              <w:jc w:val="center"/>
              <w:spacing w:after="0" w:line="157" w:lineRule="exact"/>
              <w:rPr>
                <w:sz w:val="20"/>
                <w:szCs w:val="20"/>
                <w:color w:val="auto"/>
              </w:rPr>
            </w:pPr>
            <w:r>
              <w:rPr>
                <w:rFonts w:ascii="Arial" w:cs="Arial" w:eastAsia="Arial" w:hAnsi="Arial"/>
                <w:sz w:val="13"/>
                <w:szCs w:val="13"/>
                <w:b w:val="1"/>
                <w:bCs w:val="1"/>
                <w:color w:val="auto"/>
              </w:rPr>
              <w:t xml:space="preserve">Upon Vesting </w:t>
            </w:r>
            <w:r>
              <w:rPr>
                <w:rFonts w:ascii="Arial" w:cs="Arial" w:eastAsia="Arial" w:hAnsi="Arial"/>
                <w:sz w:val="18"/>
                <w:szCs w:val="18"/>
                <w:i w:val="1"/>
                <w:iCs w:val="1"/>
                <w:color w:val="auto"/>
                <w:vertAlign w:val="superscript"/>
              </w:rPr>
              <w:t>(2)(3)</w:t>
            </w:r>
          </w:p>
        </w:tc>
      </w:tr>
      <w:tr>
        <w:trPr>
          <w:trHeight w:val="189"/>
        </w:trPr>
        <w:tc>
          <w:tcPr>
            <w:tcW w:w="18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  Name</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Exercise</w:t>
            </w:r>
          </w:p>
        </w:tc>
        <w:tc>
          <w:tcPr>
            <w:tcW w:w="1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5"/>
          </w:tcPr>
          <w:p>
            <w:pPr>
              <w:jc w:val="center"/>
              <w:ind w:right="11"/>
              <w:spacing w:after="0"/>
              <w:rPr>
                <w:sz w:val="20"/>
                <w:szCs w:val="20"/>
                <w:color w:val="auto"/>
              </w:rPr>
            </w:pPr>
            <w:r>
              <w:rPr>
                <w:rFonts w:ascii="Arial" w:cs="Arial" w:eastAsia="Arial" w:hAnsi="Arial"/>
                <w:sz w:val="14"/>
                <w:szCs w:val="14"/>
                <w:b w:val="1"/>
                <w:bCs w:val="1"/>
                <w:color w:val="auto"/>
                <w:w w:val="99"/>
              </w:rPr>
              <w:t>on Exercise</w:t>
            </w:r>
          </w:p>
        </w:tc>
        <w:tc>
          <w:tcPr>
            <w:tcW w:w="540" w:type="dxa"/>
            <w:vAlign w:val="bottom"/>
            <w:tcBorders>
              <w:right w:val="single" w:sz="8" w:color="auto"/>
            </w:tcBorders>
          </w:tcPr>
          <w:p>
            <w:pPr>
              <w:spacing w:after="0"/>
              <w:rPr>
                <w:sz w:val="16"/>
                <w:szCs w:val="16"/>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Vesting</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8"/>
        </w:trPr>
        <w:tc>
          <w:tcPr>
            <w:tcW w:w="18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36"/>
        </w:trPr>
        <w:tc>
          <w:tcPr>
            <w:tcW w:w="1820" w:type="dxa"/>
            <w:vAlign w:val="bottom"/>
            <w:tcBorders>
              <w:bottom w:val="single" w:sz="8" w:color="auto"/>
              <w:right w:val="single" w:sz="8" w:color="314A72"/>
            </w:tcBorders>
            <w:shd w:val="clear" w:color="auto" w:fill="314A72"/>
          </w:tcPr>
          <w:p>
            <w:pPr>
              <w:ind w:left="820"/>
              <w:spacing w:after="0" w:line="136" w:lineRule="exact"/>
              <w:rPr>
                <w:sz w:val="20"/>
                <w:szCs w:val="20"/>
                <w:color w:val="auto"/>
              </w:rPr>
            </w:pPr>
            <w:r>
              <w:rPr>
                <w:rFonts w:ascii="Arial" w:cs="Arial" w:eastAsia="Arial" w:hAnsi="Arial"/>
                <w:sz w:val="13"/>
                <w:szCs w:val="13"/>
                <w:b w:val="1"/>
                <w:bCs w:val="1"/>
                <w:color w:val="FFFFFF"/>
              </w:rPr>
              <w:t>(a)</w:t>
            </w:r>
          </w:p>
        </w:tc>
        <w:tc>
          <w:tcPr>
            <w:tcW w:w="560" w:type="dxa"/>
            <w:vAlign w:val="bottom"/>
            <w:tcBorders>
              <w:bottom w:val="single" w:sz="8" w:color="auto"/>
            </w:tcBorders>
            <w:shd w:val="clear" w:color="auto" w:fill="314A72"/>
          </w:tcPr>
          <w:p>
            <w:pPr>
              <w:spacing w:after="0"/>
              <w:rPr>
                <w:sz w:val="11"/>
                <w:szCs w:val="11"/>
                <w:color w:val="auto"/>
              </w:rPr>
            </w:pPr>
          </w:p>
        </w:tc>
        <w:tc>
          <w:tcPr>
            <w:tcW w:w="100" w:type="dxa"/>
            <w:vAlign w:val="bottom"/>
            <w:tcBorders>
              <w:bottom w:val="single" w:sz="8" w:color="auto"/>
            </w:tcBorders>
            <w:shd w:val="clear" w:color="auto" w:fill="314A72"/>
          </w:tcPr>
          <w:p>
            <w:pPr>
              <w:spacing w:after="0"/>
              <w:rPr>
                <w:sz w:val="11"/>
                <w:szCs w:val="11"/>
                <w:color w:val="auto"/>
              </w:rPr>
            </w:pPr>
          </w:p>
        </w:tc>
        <w:tc>
          <w:tcPr>
            <w:tcW w:w="120" w:type="dxa"/>
            <w:vAlign w:val="bottom"/>
            <w:tcBorders>
              <w:bottom w:val="single" w:sz="8" w:color="auto"/>
            </w:tcBorders>
            <w:shd w:val="clear" w:color="auto" w:fill="314A72"/>
          </w:tcPr>
          <w:p>
            <w:pPr>
              <w:spacing w:after="0"/>
              <w:rPr>
                <w:sz w:val="11"/>
                <w:szCs w:val="11"/>
                <w:color w:val="auto"/>
              </w:rPr>
            </w:pPr>
          </w:p>
        </w:tc>
        <w:tc>
          <w:tcPr>
            <w:tcW w:w="180" w:type="dxa"/>
            <w:vAlign w:val="bottom"/>
            <w:tcBorders>
              <w:bottom w:val="single" w:sz="8" w:color="auto"/>
            </w:tcBorders>
            <w:shd w:val="clear" w:color="auto" w:fill="314A72"/>
          </w:tcPr>
          <w:p>
            <w:pPr>
              <w:spacing w:after="0"/>
              <w:rPr>
                <w:sz w:val="11"/>
                <w:szCs w:val="11"/>
                <w:color w:val="auto"/>
              </w:rPr>
            </w:pPr>
          </w:p>
        </w:tc>
        <w:tc>
          <w:tcPr>
            <w:tcW w:w="280" w:type="dxa"/>
            <w:vAlign w:val="bottom"/>
            <w:tcBorders>
              <w:bottom w:val="single" w:sz="8" w:color="auto"/>
            </w:tcBorders>
            <w:shd w:val="clear" w:color="auto" w:fill="314A72"/>
          </w:tcPr>
          <w:p>
            <w:pPr>
              <w:jc w:val="center"/>
              <w:spacing w:after="0" w:line="136" w:lineRule="exact"/>
              <w:rPr>
                <w:sz w:val="20"/>
                <w:szCs w:val="20"/>
                <w:color w:val="auto"/>
              </w:rPr>
            </w:pPr>
            <w:r>
              <w:rPr>
                <w:rFonts w:ascii="Arial" w:cs="Arial" w:eastAsia="Arial" w:hAnsi="Arial"/>
                <w:sz w:val="13"/>
                <w:szCs w:val="13"/>
                <w:b w:val="1"/>
                <w:bCs w:val="1"/>
                <w:color w:val="FFFFFF"/>
                <w:w w:val="96"/>
              </w:rPr>
              <w:t>(b)</w:t>
            </w:r>
          </w:p>
        </w:tc>
        <w:tc>
          <w:tcPr>
            <w:tcW w:w="160" w:type="dxa"/>
            <w:vAlign w:val="bottom"/>
            <w:tcBorders>
              <w:bottom w:val="single" w:sz="8" w:color="auto"/>
            </w:tcBorders>
            <w:shd w:val="clear" w:color="auto" w:fill="314A72"/>
          </w:tcPr>
          <w:p>
            <w:pPr>
              <w:spacing w:after="0"/>
              <w:rPr>
                <w:sz w:val="11"/>
                <w:szCs w:val="11"/>
                <w:color w:val="auto"/>
              </w:rPr>
            </w:pPr>
          </w:p>
        </w:tc>
        <w:tc>
          <w:tcPr>
            <w:tcW w:w="120" w:type="dxa"/>
            <w:vAlign w:val="bottom"/>
            <w:tcBorders>
              <w:bottom w:val="single" w:sz="8" w:color="auto"/>
            </w:tcBorders>
            <w:shd w:val="clear" w:color="auto" w:fill="314A72"/>
          </w:tcPr>
          <w:p>
            <w:pPr>
              <w:spacing w:after="0"/>
              <w:rPr>
                <w:sz w:val="11"/>
                <w:szCs w:val="11"/>
                <w:color w:val="auto"/>
              </w:rPr>
            </w:pPr>
          </w:p>
        </w:tc>
        <w:tc>
          <w:tcPr>
            <w:tcW w:w="600" w:type="dxa"/>
            <w:vAlign w:val="bottom"/>
            <w:tcBorders>
              <w:bottom w:val="single" w:sz="8" w:color="auto"/>
              <w:right w:val="single" w:sz="8" w:color="314A72"/>
            </w:tcBorders>
            <w:shd w:val="clear" w:color="auto" w:fill="314A72"/>
          </w:tcPr>
          <w:p>
            <w:pPr>
              <w:spacing w:after="0"/>
              <w:rPr>
                <w:sz w:val="11"/>
                <w:szCs w:val="11"/>
                <w:color w:val="auto"/>
              </w:rPr>
            </w:pPr>
          </w:p>
        </w:tc>
        <w:tc>
          <w:tcPr>
            <w:tcW w:w="580" w:type="dxa"/>
            <w:vAlign w:val="bottom"/>
            <w:tcBorders>
              <w:bottom w:val="single" w:sz="8" w:color="auto"/>
            </w:tcBorders>
            <w:shd w:val="clear" w:color="auto" w:fill="314A72"/>
          </w:tcPr>
          <w:p>
            <w:pPr>
              <w:spacing w:after="0"/>
              <w:rPr>
                <w:sz w:val="11"/>
                <w:szCs w:val="11"/>
                <w:color w:val="auto"/>
              </w:rPr>
            </w:pPr>
          </w:p>
        </w:tc>
        <w:tc>
          <w:tcPr>
            <w:tcW w:w="80" w:type="dxa"/>
            <w:vAlign w:val="bottom"/>
            <w:tcBorders>
              <w:bottom w:val="single" w:sz="8" w:color="auto"/>
            </w:tcBorders>
            <w:shd w:val="clear" w:color="auto" w:fill="314A72"/>
          </w:tcPr>
          <w:p>
            <w:pPr>
              <w:spacing w:after="0"/>
              <w:rPr>
                <w:sz w:val="11"/>
                <w:szCs w:val="11"/>
                <w:color w:val="auto"/>
              </w:rPr>
            </w:pPr>
          </w:p>
        </w:tc>
        <w:tc>
          <w:tcPr>
            <w:tcW w:w="160" w:type="dxa"/>
            <w:vAlign w:val="bottom"/>
            <w:tcBorders>
              <w:bottom w:val="single" w:sz="8" w:color="auto"/>
            </w:tcBorders>
            <w:shd w:val="clear" w:color="auto" w:fill="314A72"/>
          </w:tcPr>
          <w:p>
            <w:pPr>
              <w:spacing w:after="0"/>
              <w:rPr>
                <w:sz w:val="11"/>
                <w:szCs w:val="11"/>
                <w:color w:val="auto"/>
              </w:rPr>
            </w:pPr>
          </w:p>
        </w:tc>
        <w:tc>
          <w:tcPr>
            <w:tcW w:w="120" w:type="dxa"/>
            <w:vAlign w:val="bottom"/>
            <w:tcBorders>
              <w:bottom w:val="single" w:sz="8" w:color="auto"/>
            </w:tcBorders>
            <w:shd w:val="clear" w:color="auto" w:fill="314A72"/>
          </w:tcPr>
          <w:p>
            <w:pPr>
              <w:spacing w:after="0"/>
              <w:rPr>
                <w:sz w:val="11"/>
                <w:szCs w:val="11"/>
                <w:color w:val="auto"/>
              </w:rPr>
            </w:pPr>
          </w:p>
        </w:tc>
        <w:tc>
          <w:tcPr>
            <w:tcW w:w="280" w:type="dxa"/>
            <w:vAlign w:val="bottom"/>
            <w:tcBorders>
              <w:bottom w:val="single" w:sz="8" w:color="auto"/>
            </w:tcBorders>
            <w:shd w:val="clear" w:color="auto" w:fill="314A72"/>
          </w:tcPr>
          <w:p>
            <w:pPr>
              <w:jc w:val="center"/>
              <w:spacing w:after="0" w:line="136" w:lineRule="exact"/>
              <w:rPr>
                <w:sz w:val="20"/>
                <w:szCs w:val="20"/>
                <w:color w:val="auto"/>
              </w:rPr>
            </w:pPr>
            <w:r>
              <w:rPr>
                <w:rFonts w:ascii="Arial" w:cs="Arial" w:eastAsia="Arial" w:hAnsi="Arial"/>
                <w:sz w:val="13"/>
                <w:szCs w:val="13"/>
                <w:b w:val="1"/>
                <w:bCs w:val="1"/>
                <w:color w:val="FFFFFF"/>
                <w:w w:val="87"/>
              </w:rPr>
              <w:t>(c)</w:t>
            </w:r>
          </w:p>
        </w:tc>
        <w:tc>
          <w:tcPr>
            <w:tcW w:w="140" w:type="dxa"/>
            <w:vAlign w:val="bottom"/>
            <w:tcBorders>
              <w:bottom w:val="single" w:sz="8" w:color="auto"/>
            </w:tcBorders>
            <w:shd w:val="clear" w:color="auto" w:fill="314A72"/>
          </w:tcPr>
          <w:p>
            <w:pPr>
              <w:spacing w:after="0"/>
              <w:rPr>
                <w:sz w:val="11"/>
                <w:szCs w:val="11"/>
                <w:color w:val="auto"/>
              </w:rPr>
            </w:pPr>
          </w:p>
        </w:tc>
        <w:tc>
          <w:tcPr>
            <w:tcW w:w="200" w:type="dxa"/>
            <w:vAlign w:val="bottom"/>
            <w:tcBorders>
              <w:bottom w:val="single" w:sz="8" w:color="auto"/>
            </w:tcBorders>
            <w:shd w:val="clear" w:color="auto" w:fill="314A72"/>
          </w:tcPr>
          <w:p>
            <w:pPr>
              <w:spacing w:after="0"/>
              <w:rPr>
                <w:sz w:val="11"/>
                <w:szCs w:val="11"/>
                <w:color w:val="auto"/>
              </w:rPr>
            </w:pPr>
          </w:p>
        </w:tc>
        <w:tc>
          <w:tcPr>
            <w:tcW w:w="540" w:type="dxa"/>
            <w:vAlign w:val="bottom"/>
            <w:tcBorders>
              <w:bottom w:val="single" w:sz="8" w:color="auto"/>
              <w:right w:val="single" w:sz="8" w:color="314A72"/>
            </w:tcBorders>
            <w:shd w:val="clear" w:color="auto" w:fill="314A72"/>
          </w:tcPr>
          <w:p>
            <w:pPr>
              <w:spacing w:after="0"/>
              <w:rPr>
                <w:sz w:val="11"/>
                <w:szCs w:val="11"/>
                <w:color w:val="auto"/>
              </w:rPr>
            </w:pPr>
          </w:p>
        </w:tc>
        <w:tc>
          <w:tcPr>
            <w:tcW w:w="1980" w:type="dxa"/>
            <w:vAlign w:val="bottom"/>
            <w:tcBorders>
              <w:bottom w:val="single" w:sz="8" w:color="auto"/>
              <w:right w:val="single" w:sz="8" w:color="314A72"/>
            </w:tcBorders>
            <w:shd w:val="clear" w:color="auto" w:fill="314A72"/>
          </w:tcPr>
          <w:p>
            <w:pPr>
              <w:jc w:val="center"/>
              <w:spacing w:after="0" w:line="136" w:lineRule="exact"/>
              <w:rPr>
                <w:sz w:val="20"/>
                <w:szCs w:val="20"/>
                <w:color w:val="auto"/>
              </w:rPr>
            </w:pPr>
            <w:r>
              <w:rPr>
                <w:rFonts w:ascii="Arial" w:cs="Arial" w:eastAsia="Arial" w:hAnsi="Arial"/>
                <w:sz w:val="13"/>
                <w:szCs w:val="13"/>
                <w:b w:val="1"/>
                <w:bCs w:val="1"/>
                <w:color w:val="FFFFFF"/>
                <w:w w:val="96"/>
              </w:rPr>
              <w:t>(d)</w:t>
            </w:r>
          </w:p>
        </w:tc>
        <w:tc>
          <w:tcPr>
            <w:tcW w:w="1960" w:type="dxa"/>
            <w:vAlign w:val="bottom"/>
            <w:tcBorders>
              <w:bottom w:val="single" w:sz="8" w:color="auto"/>
            </w:tcBorders>
            <w:shd w:val="clear" w:color="auto" w:fill="314A72"/>
          </w:tcPr>
          <w:p>
            <w:pPr>
              <w:jc w:val="center"/>
              <w:ind w:left="12"/>
              <w:spacing w:after="0" w:line="136" w:lineRule="exact"/>
              <w:rPr>
                <w:sz w:val="20"/>
                <w:szCs w:val="20"/>
                <w:color w:val="auto"/>
              </w:rPr>
            </w:pPr>
            <w:r>
              <w:rPr>
                <w:rFonts w:ascii="Arial" w:cs="Arial" w:eastAsia="Arial" w:hAnsi="Arial"/>
                <w:sz w:val="13"/>
                <w:szCs w:val="13"/>
                <w:b w:val="1"/>
                <w:bCs w:val="1"/>
                <w:color w:val="FFFFFF"/>
              </w:rPr>
              <w:t>(e)</w:t>
            </w:r>
          </w:p>
        </w:tc>
      </w:tr>
      <w:tr>
        <w:trPr>
          <w:trHeight w:val="240"/>
        </w:trPr>
        <w:tc>
          <w:tcPr>
            <w:tcW w:w="1820" w:type="dxa"/>
            <w:vAlign w:val="bottom"/>
            <w:tcBorders>
              <w:bottom w:val="single" w:sz="8" w:color="F7AB6C"/>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Thomas P. Meissner, Jr.</w:t>
            </w:r>
          </w:p>
        </w:tc>
        <w:tc>
          <w:tcPr>
            <w:tcW w:w="560" w:type="dxa"/>
            <w:vAlign w:val="bottom"/>
          </w:tcPr>
          <w:p>
            <w:pPr>
              <w:ind w:left="460"/>
              <w:spacing w:after="0"/>
              <w:rPr>
                <w:sz w:val="20"/>
                <w:szCs w:val="20"/>
                <w:color w:val="auto"/>
              </w:rPr>
            </w:pPr>
            <w:r>
              <w:rPr>
                <w:rFonts w:ascii="Arial" w:cs="Arial" w:eastAsia="Arial" w:hAnsi="Arial"/>
                <w:sz w:val="10"/>
                <w:szCs w:val="10"/>
                <w:color w:val="auto"/>
                <w:w w:val="79"/>
              </w:rPr>
              <w:t> </w:t>
            </w:r>
          </w:p>
        </w:tc>
        <w:tc>
          <w:tcPr>
            <w:tcW w:w="100" w:type="dxa"/>
            <w:vAlign w:val="bottom"/>
          </w:tcPr>
          <w:p>
            <w:pPr>
              <w:ind w:left="40"/>
              <w:spacing w:after="0"/>
              <w:rPr>
                <w:sz w:val="20"/>
                <w:szCs w:val="20"/>
                <w:color w:val="auto"/>
              </w:rPr>
            </w:pPr>
            <w:r>
              <w:rPr>
                <w:rFonts w:ascii="Arial" w:cs="Arial" w:eastAsia="Arial" w:hAnsi="Arial"/>
                <w:sz w:val="5"/>
                <w:szCs w:val="5"/>
                <w:color w:val="auto"/>
                <w:w w:val="79"/>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180" w:type="dxa"/>
            <w:vAlign w:val="bottom"/>
          </w:tcPr>
          <w:p>
            <w:pPr>
              <w:ind w:left="100"/>
              <w:spacing w:after="0"/>
              <w:rPr>
                <w:sz w:val="20"/>
                <w:szCs w:val="20"/>
                <w:color w:val="auto"/>
              </w:rPr>
            </w:pPr>
            <w:r>
              <w:rPr>
                <w:rFonts w:ascii="Arial" w:cs="Arial" w:eastAsia="Arial" w:hAnsi="Arial"/>
                <w:sz w:val="8"/>
                <w:szCs w:val="8"/>
                <w:color w:val="auto"/>
                <w:w w:val="74"/>
              </w:rPr>
              <w:t> </w:t>
            </w:r>
          </w:p>
        </w:tc>
        <w:tc>
          <w:tcPr>
            <w:tcW w:w="280" w:type="dxa"/>
            <w:vAlign w:val="bottom"/>
          </w:tcPr>
          <w:p>
            <w:pPr>
              <w:jc w:val="center"/>
              <w:spacing w:after="0"/>
              <w:rPr>
                <w:sz w:val="20"/>
                <w:szCs w:val="20"/>
                <w:color w:val="auto"/>
              </w:rPr>
            </w:pPr>
            <w:r>
              <w:rPr>
                <w:rFonts w:ascii="Arial" w:cs="Arial" w:eastAsia="Arial" w:hAnsi="Arial"/>
                <w:sz w:val="12"/>
                <w:szCs w:val="12"/>
                <w:color w:val="auto"/>
                <w:w w:val="74"/>
              </w:rPr>
              <w:t>— </w:t>
            </w:r>
          </w:p>
        </w:tc>
        <w:tc>
          <w:tcPr>
            <w:tcW w:w="160" w:type="dxa"/>
            <w:vAlign w:val="bottom"/>
          </w:tcPr>
          <w:p>
            <w:pPr>
              <w:ind w:left="60"/>
              <w:spacing w:after="0"/>
              <w:rPr>
                <w:sz w:val="20"/>
                <w:szCs w:val="20"/>
                <w:color w:val="auto"/>
              </w:rPr>
            </w:pPr>
            <w:r>
              <w:rPr>
                <w:rFonts w:ascii="Arial" w:cs="Arial" w:eastAsia="Arial" w:hAnsi="Arial"/>
                <w:sz w:val="10"/>
                <w:szCs w:val="10"/>
                <w:color w:val="auto"/>
                <w:w w:val="79"/>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580" w:type="dxa"/>
            <w:vAlign w:val="bottom"/>
          </w:tcPr>
          <w:p>
            <w:pPr>
              <w:ind w:left="440"/>
              <w:spacing w:after="0"/>
              <w:rPr>
                <w:sz w:val="20"/>
                <w:szCs w:val="20"/>
                <w:color w:val="auto"/>
              </w:rPr>
            </w:pPr>
            <w:r>
              <w:rPr>
                <w:rFonts w:ascii="Arial" w:cs="Arial" w:eastAsia="Arial" w:hAnsi="Arial"/>
                <w:sz w:val="14"/>
                <w:szCs w:val="14"/>
                <w:color w:val="auto"/>
                <w:w w:val="85"/>
              </w:rPr>
              <w:t> </w:t>
            </w:r>
          </w:p>
        </w:tc>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0"/>
                <w:szCs w:val="10"/>
                <w:color w:val="auto"/>
                <w:w w:val="79"/>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280" w:type="dxa"/>
            <w:vAlign w:val="bottom"/>
          </w:tcPr>
          <w:p>
            <w:pPr>
              <w:jc w:val="center"/>
              <w:spacing w:after="0"/>
              <w:rPr>
                <w:sz w:val="20"/>
                <w:szCs w:val="20"/>
                <w:color w:val="auto"/>
              </w:rPr>
            </w:pPr>
            <w:r>
              <w:rPr>
                <w:rFonts w:ascii="Arial" w:cs="Arial" w:eastAsia="Arial" w:hAnsi="Arial"/>
                <w:sz w:val="12"/>
                <w:szCs w:val="12"/>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200" w:type="dxa"/>
            <w:vAlign w:val="bottom"/>
          </w:tcPr>
          <w:p>
            <w:pPr>
              <w:ind w:left="60"/>
              <w:spacing w:after="0"/>
              <w:rPr>
                <w:sz w:val="20"/>
                <w:szCs w:val="20"/>
                <w:color w:val="auto"/>
              </w:rPr>
            </w:pPr>
            <w:r>
              <w:rPr>
                <w:rFonts w:ascii="Arial" w:cs="Arial" w:eastAsia="Arial" w:hAnsi="Arial"/>
                <w:sz w:val="14"/>
                <w:szCs w:val="14"/>
                <w:color w:val="auto"/>
                <w:w w:val="85"/>
              </w:rPr>
              <w:t> </w:t>
            </w:r>
          </w:p>
        </w:tc>
        <w:tc>
          <w:tcPr>
            <w:tcW w:w="5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 </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9,087</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$482,652</w:t>
            </w:r>
          </w:p>
        </w:tc>
      </w:tr>
      <w:tr>
        <w:trPr>
          <w:trHeight w:val="240"/>
        </w:trPr>
        <w:tc>
          <w:tcPr>
            <w:tcW w:w="1820" w:type="dxa"/>
            <w:vAlign w:val="bottom"/>
            <w:tcBorders>
              <w:top w:val="single" w:sz="8" w:color="auto"/>
              <w:bottom w:val="single" w:sz="8" w:color="F7AB6C"/>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Robert B. Hevert</w:t>
            </w:r>
          </w:p>
        </w:tc>
        <w:tc>
          <w:tcPr>
            <w:tcW w:w="560" w:type="dxa"/>
            <w:vAlign w:val="bottom"/>
            <w:tcBorders>
              <w:top w:val="single" w:sz="8" w:color="auto"/>
            </w:tcBorders>
          </w:tcPr>
          <w:p>
            <w:pPr>
              <w:ind w:left="460"/>
              <w:spacing w:after="0"/>
              <w:rPr>
                <w:sz w:val="20"/>
                <w:szCs w:val="20"/>
                <w:color w:val="auto"/>
              </w:rPr>
            </w:pPr>
            <w:r>
              <w:rPr>
                <w:rFonts w:ascii="Arial" w:cs="Arial" w:eastAsia="Arial" w:hAnsi="Arial"/>
                <w:sz w:val="10"/>
                <w:szCs w:val="10"/>
                <w:color w:val="auto"/>
                <w:w w:val="79"/>
              </w:rPr>
              <w:t> </w:t>
            </w:r>
          </w:p>
        </w:tc>
        <w:tc>
          <w:tcPr>
            <w:tcW w:w="100" w:type="dxa"/>
            <w:vAlign w:val="bottom"/>
            <w:tcBorders>
              <w:top w:val="single" w:sz="8" w:color="auto"/>
            </w:tcBorders>
          </w:tcPr>
          <w:p>
            <w:pPr>
              <w:ind w:left="40"/>
              <w:spacing w:after="0"/>
              <w:rPr>
                <w:sz w:val="20"/>
                <w:szCs w:val="20"/>
                <w:color w:val="auto"/>
              </w:rPr>
            </w:pPr>
            <w:r>
              <w:rPr>
                <w:rFonts w:ascii="Arial" w:cs="Arial" w:eastAsia="Arial" w:hAnsi="Arial"/>
                <w:sz w:val="5"/>
                <w:szCs w:val="5"/>
                <w:color w:val="auto"/>
                <w:w w:val="79"/>
              </w:rPr>
              <w:t> </w:t>
            </w:r>
          </w:p>
        </w:tc>
        <w:tc>
          <w:tcPr>
            <w:tcW w:w="120" w:type="dxa"/>
            <w:vAlign w:val="bottom"/>
            <w:tcBorders>
              <w:top w:val="single" w:sz="8" w:color="auto"/>
            </w:tcBorders>
          </w:tcPr>
          <w:p>
            <w:pPr>
              <w:ind w:left="80"/>
              <w:spacing w:after="0"/>
              <w:rPr>
                <w:sz w:val="20"/>
                <w:szCs w:val="20"/>
                <w:color w:val="auto"/>
              </w:rPr>
            </w:pPr>
            <w:r>
              <w:rPr>
                <w:rFonts w:ascii="Arial" w:cs="Arial" w:eastAsia="Arial" w:hAnsi="Arial"/>
                <w:sz w:val="2"/>
                <w:szCs w:val="2"/>
                <w:color w:val="auto"/>
                <w:w w:val="97"/>
              </w:rPr>
              <w:t> </w:t>
            </w:r>
          </w:p>
        </w:tc>
        <w:tc>
          <w:tcPr>
            <w:tcW w:w="180" w:type="dxa"/>
            <w:vAlign w:val="bottom"/>
            <w:tcBorders>
              <w:top w:val="single" w:sz="8" w:color="auto"/>
            </w:tcBorders>
          </w:tcPr>
          <w:p>
            <w:pPr>
              <w:ind w:left="100"/>
              <w:spacing w:after="0"/>
              <w:rPr>
                <w:sz w:val="20"/>
                <w:szCs w:val="20"/>
                <w:color w:val="auto"/>
              </w:rPr>
            </w:pPr>
            <w:r>
              <w:rPr>
                <w:rFonts w:ascii="Arial" w:cs="Arial" w:eastAsia="Arial" w:hAnsi="Arial"/>
                <w:sz w:val="8"/>
                <w:szCs w:val="8"/>
                <w:color w:val="auto"/>
                <w:w w:val="74"/>
              </w:rPr>
              <w:t> </w:t>
            </w: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74"/>
              </w:rPr>
              <w:t>— </w:t>
            </w: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0"/>
                <w:szCs w:val="10"/>
                <w:color w:val="auto"/>
                <w:w w:val="79"/>
              </w:rPr>
              <w:t> </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8"/>
                <w:szCs w:val="8"/>
                <w:color w:val="auto"/>
                <w:w w:val="74"/>
              </w:rPr>
              <w:t> </w:t>
            </w:r>
          </w:p>
        </w:tc>
        <w:tc>
          <w:tcPr>
            <w:tcW w:w="6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58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w w:val="85"/>
              </w:rPr>
              <w:t> </w:t>
            </w:r>
          </w:p>
        </w:tc>
        <w:tc>
          <w:tcPr>
            <w:tcW w:w="80" w:type="dxa"/>
            <w:vAlign w:val="bottom"/>
            <w:tcBorders>
              <w:top w:val="single" w:sz="8" w:color="auto"/>
            </w:tcBorders>
          </w:tcPr>
          <w:p>
            <w:pPr>
              <w:spacing w:after="0"/>
              <w:rPr>
                <w:sz w:val="20"/>
                <w:szCs w:val="20"/>
                <w:color w:val="auto"/>
              </w:rPr>
            </w:pPr>
            <w:r>
              <w:rPr>
                <w:rFonts w:ascii="Arial" w:cs="Arial" w:eastAsia="Arial" w:hAnsi="Arial"/>
                <w:sz w:val="8"/>
                <w:szCs w:val="8"/>
                <w:color w:val="auto"/>
                <w:w w:val="74"/>
              </w:rPr>
              <w:t> </w:t>
            </w: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0"/>
                <w:szCs w:val="10"/>
                <w:color w:val="auto"/>
                <w:w w:val="79"/>
              </w:rPr>
              <w:t> </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8"/>
                <w:szCs w:val="8"/>
                <w:color w:val="auto"/>
                <w:w w:val="74"/>
              </w:rPr>
              <w:t> </w:t>
            </w: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74"/>
              </w:rPr>
              <w:t>— </w:t>
            </w:r>
          </w:p>
        </w:tc>
        <w:tc>
          <w:tcPr>
            <w:tcW w:w="140" w:type="dxa"/>
            <w:vAlign w:val="bottom"/>
            <w:tcBorders>
              <w:top w:val="single" w:sz="8" w:color="auto"/>
            </w:tcBorders>
          </w:tcPr>
          <w:p>
            <w:pPr>
              <w:ind w:left="60"/>
              <w:spacing w:after="0"/>
              <w:rPr>
                <w:sz w:val="20"/>
                <w:szCs w:val="20"/>
                <w:color w:val="auto"/>
              </w:rPr>
            </w:pPr>
            <w:r>
              <w:rPr>
                <w:rFonts w:ascii="Arial" w:cs="Arial" w:eastAsia="Arial" w:hAnsi="Arial"/>
                <w:sz w:val="8"/>
                <w:szCs w:val="8"/>
                <w:color w:val="auto"/>
                <w:w w:val="74"/>
              </w:rPr>
              <w:t> </w:t>
            </w:r>
          </w:p>
        </w:tc>
        <w:tc>
          <w:tcPr>
            <w:tcW w:w="20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85"/>
              </w:rPr>
              <w:t> </w:t>
            </w:r>
          </w:p>
        </w:tc>
        <w:tc>
          <w:tcPr>
            <w:tcW w:w="54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 </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2,587</w:t>
            </w: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$137,517</w:t>
            </w:r>
          </w:p>
        </w:tc>
      </w:tr>
      <w:tr>
        <w:trPr>
          <w:trHeight w:val="240"/>
        </w:trPr>
        <w:tc>
          <w:tcPr>
            <w:tcW w:w="1820" w:type="dxa"/>
            <w:vAlign w:val="bottom"/>
            <w:tcBorders>
              <w:top w:val="single" w:sz="8" w:color="auto"/>
              <w:bottom w:val="single" w:sz="8" w:color="F7AB6C"/>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Daniel J. Hurstak</w:t>
            </w:r>
          </w:p>
        </w:tc>
        <w:tc>
          <w:tcPr>
            <w:tcW w:w="560" w:type="dxa"/>
            <w:vAlign w:val="bottom"/>
            <w:tcBorders>
              <w:top w:val="single" w:sz="8" w:color="auto"/>
            </w:tcBorders>
          </w:tcPr>
          <w:p>
            <w:pPr>
              <w:ind w:left="460"/>
              <w:spacing w:after="0"/>
              <w:rPr>
                <w:sz w:val="20"/>
                <w:szCs w:val="20"/>
                <w:color w:val="auto"/>
              </w:rPr>
            </w:pPr>
            <w:r>
              <w:rPr>
                <w:rFonts w:ascii="Arial" w:cs="Arial" w:eastAsia="Arial" w:hAnsi="Arial"/>
                <w:sz w:val="10"/>
                <w:szCs w:val="10"/>
                <w:color w:val="auto"/>
                <w:w w:val="79"/>
              </w:rPr>
              <w:t> </w:t>
            </w:r>
          </w:p>
        </w:tc>
        <w:tc>
          <w:tcPr>
            <w:tcW w:w="100" w:type="dxa"/>
            <w:vAlign w:val="bottom"/>
            <w:tcBorders>
              <w:top w:val="single" w:sz="8" w:color="auto"/>
            </w:tcBorders>
          </w:tcPr>
          <w:p>
            <w:pPr>
              <w:ind w:left="40"/>
              <w:spacing w:after="0"/>
              <w:rPr>
                <w:sz w:val="20"/>
                <w:szCs w:val="20"/>
                <w:color w:val="auto"/>
              </w:rPr>
            </w:pPr>
            <w:r>
              <w:rPr>
                <w:rFonts w:ascii="Arial" w:cs="Arial" w:eastAsia="Arial" w:hAnsi="Arial"/>
                <w:sz w:val="5"/>
                <w:szCs w:val="5"/>
                <w:color w:val="auto"/>
                <w:w w:val="79"/>
              </w:rPr>
              <w:t> </w:t>
            </w:r>
          </w:p>
        </w:tc>
        <w:tc>
          <w:tcPr>
            <w:tcW w:w="120" w:type="dxa"/>
            <w:vAlign w:val="bottom"/>
            <w:tcBorders>
              <w:top w:val="single" w:sz="8" w:color="auto"/>
            </w:tcBorders>
          </w:tcPr>
          <w:p>
            <w:pPr>
              <w:ind w:left="80"/>
              <w:spacing w:after="0"/>
              <w:rPr>
                <w:sz w:val="20"/>
                <w:szCs w:val="20"/>
                <w:color w:val="auto"/>
              </w:rPr>
            </w:pPr>
            <w:r>
              <w:rPr>
                <w:rFonts w:ascii="Arial" w:cs="Arial" w:eastAsia="Arial" w:hAnsi="Arial"/>
                <w:sz w:val="2"/>
                <w:szCs w:val="2"/>
                <w:color w:val="auto"/>
                <w:w w:val="97"/>
              </w:rPr>
              <w:t> </w:t>
            </w:r>
          </w:p>
        </w:tc>
        <w:tc>
          <w:tcPr>
            <w:tcW w:w="180" w:type="dxa"/>
            <w:vAlign w:val="bottom"/>
            <w:tcBorders>
              <w:top w:val="single" w:sz="8" w:color="auto"/>
            </w:tcBorders>
          </w:tcPr>
          <w:p>
            <w:pPr>
              <w:ind w:left="100"/>
              <w:spacing w:after="0"/>
              <w:rPr>
                <w:sz w:val="20"/>
                <w:szCs w:val="20"/>
                <w:color w:val="auto"/>
              </w:rPr>
            </w:pPr>
            <w:r>
              <w:rPr>
                <w:rFonts w:ascii="Arial" w:cs="Arial" w:eastAsia="Arial" w:hAnsi="Arial"/>
                <w:sz w:val="8"/>
                <w:szCs w:val="8"/>
                <w:color w:val="auto"/>
                <w:w w:val="74"/>
              </w:rPr>
              <w:t> </w:t>
            </w: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74"/>
              </w:rPr>
              <w:t>— </w:t>
            </w: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0"/>
                <w:szCs w:val="10"/>
                <w:color w:val="auto"/>
                <w:w w:val="79"/>
              </w:rPr>
              <w:t> </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8"/>
                <w:szCs w:val="8"/>
                <w:color w:val="auto"/>
                <w:w w:val="74"/>
              </w:rPr>
              <w:t> </w:t>
            </w:r>
          </w:p>
        </w:tc>
        <w:tc>
          <w:tcPr>
            <w:tcW w:w="6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58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w w:val="85"/>
              </w:rPr>
              <w:t> </w:t>
            </w:r>
          </w:p>
        </w:tc>
        <w:tc>
          <w:tcPr>
            <w:tcW w:w="80" w:type="dxa"/>
            <w:vAlign w:val="bottom"/>
            <w:tcBorders>
              <w:top w:val="single" w:sz="8" w:color="auto"/>
            </w:tcBorders>
          </w:tcPr>
          <w:p>
            <w:pPr>
              <w:spacing w:after="0"/>
              <w:rPr>
                <w:sz w:val="20"/>
                <w:szCs w:val="20"/>
                <w:color w:val="auto"/>
              </w:rPr>
            </w:pPr>
            <w:r>
              <w:rPr>
                <w:rFonts w:ascii="Arial" w:cs="Arial" w:eastAsia="Arial" w:hAnsi="Arial"/>
                <w:sz w:val="8"/>
                <w:szCs w:val="8"/>
                <w:color w:val="auto"/>
                <w:w w:val="74"/>
              </w:rPr>
              <w:t> </w:t>
            </w: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0"/>
                <w:szCs w:val="10"/>
                <w:color w:val="auto"/>
                <w:w w:val="79"/>
              </w:rPr>
              <w:t> </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8"/>
                <w:szCs w:val="8"/>
                <w:color w:val="auto"/>
                <w:w w:val="74"/>
              </w:rPr>
              <w:t> </w:t>
            </w: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74"/>
              </w:rPr>
              <w:t>— </w:t>
            </w:r>
          </w:p>
        </w:tc>
        <w:tc>
          <w:tcPr>
            <w:tcW w:w="140" w:type="dxa"/>
            <w:vAlign w:val="bottom"/>
            <w:tcBorders>
              <w:top w:val="single" w:sz="8" w:color="auto"/>
            </w:tcBorders>
          </w:tcPr>
          <w:p>
            <w:pPr>
              <w:ind w:left="60"/>
              <w:spacing w:after="0"/>
              <w:rPr>
                <w:sz w:val="20"/>
                <w:szCs w:val="20"/>
                <w:color w:val="auto"/>
              </w:rPr>
            </w:pPr>
            <w:r>
              <w:rPr>
                <w:rFonts w:ascii="Arial" w:cs="Arial" w:eastAsia="Arial" w:hAnsi="Arial"/>
                <w:sz w:val="8"/>
                <w:szCs w:val="8"/>
                <w:color w:val="auto"/>
                <w:w w:val="74"/>
              </w:rPr>
              <w:t> </w:t>
            </w:r>
          </w:p>
        </w:tc>
        <w:tc>
          <w:tcPr>
            <w:tcW w:w="20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85"/>
              </w:rPr>
              <w:t> </w:t>
            </w:r>
          </w:p>
        </w:tc>
        <w:tc>
          <w:tcPr>
            <w:tcW w:w="54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 </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1,483</w:t>
            </w: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  $78,902</w:t>
            </w:r>
          </w:p>
        </w:tc>
      </w:tr>
      <w:tr>
        <w:trPr>
          <w:trHeight w:val="240"/>
        </w:trPr>
        <w:tc>
          <w:tcPr>
            <w:tcW w:w="1820" w:type="dxa"/>
            <w:vAlign w:val="bottom"/>
            <w:tcBorders>
              <w:top w:val="single" w:sz="8" w:color="auto"/>
              <w:bottom w:val="single" w:sz="8" w:color="F7AB6C"/>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Justin Eisfeller</w:t>
            </w:r>
          </w:p>
        </w:tc>
        <w:tc>
          <w:tcPr>
            <w:tcW w:w="560" w:type="dxa"/>
            <w:vAlign w:val="bottom"/>
            <w:tcBorders>
              <w:top w:val="single" w:sz="8" w:color="auto"/>
            </w:tcBorders>
          </w:tcPr>
          <w:p>
            <w:pPr>
              <w:ind w:left="460"/>
              <w:spacing w:after="0"/>
              <w:rPr>
                <w:sz w:val="20"/>
                <w:szCs w:val="20"/>
                <w:color w:val="auto"/>
              </w:rPr>
            </w:pPr>
            <w:r>
              <w:rPr>
                <w:rFonts w:ascii="Arial" w:cs="Arial" w:eastAsia="Arial" w:hAnsi="Arial"/>
                <w:sz w:val="10"/>
                <w:szCs w:val="10"/>
                <w:color w:val="auto"/>
                <w:w w:val="79"/>
              </w:rPr>
              <w:t> </w:t>
            </w:r>
          </w:p>
        </w:tc>
        <w:tc>
          <w:tcPr>
            <w:tcW w:w="100" w:type="dxa"/>
            <w:vAlign w:val="bottom"/>
            <w:tcBorders>
              <w:top w:val="single" w:sz="8" w:color="auto"/>
            </w:tcBorders>
          </w:tcPr>
          <w:p>
            <w:pPr>
              <w:ind w:left="40"/>
              <w:spacing w:after="0"/>
              <w:rPr>
                <w:sz w:val="20"/>
                <w:szCs w:val="20"/>
                <w:color w:val="auto"/>
              </w:rPr>
            </w:pPr>
            <w:r>
              <w:rPr>
                <w:rFonts w:ascii="Arial" w:cs="Arial" w:eastAsia="Arial" w:hAnsi="Arial"/>
                <w:sz w:val="5"/>
                <w:szCs w:val="5"/>
                <w:color w:val="auto"/>
                <w:w w:val="79"/>
              </w:rPr>
              <w:t> </w:t>
            </w:r>
          </w:p>
        </w:tc>
        <w:tc>
          <w:tcPr>
            <w:tcW w:w="120" w:type="dxa"/>
            <w:vAlign w:val="bottom"/>
            <w:tcBorders>
              <w:top w:val="single" w:sz="8" w:color="auto"/>
            </w:tcBorders>
          </w:tcPr>
          <w:p>
            <w:pPr>
              <w:ind w:left="80"/>
              <w:spacing w:after="0"/>
              <w:rPr>
                <w:sz w:val="20"/>
                <w:szCs w:val="20"/>
                <w:color w:val="auto"/>
              </w:rPr>
            </w:pPr>
            <w:r>
              <w:rPr>
                <w:rFonts w:ascii="Arial" w:cs="Arial" w:eastAsia="Arial" w:hAnsi="Arial"/>
                <w:sz w:val="2"/>
                <w:szCs w:val="2"/>
                <w:color w:val="auto"/>
                <w:w w:val="97"/>
              </w:rPr>
              <w:t> </w:t>
            </w:r>
          </w:p>
        </w:tc>
        <w:tc>
          <w:tcPr>
            <w:tcW w:w="180" w:type="dxa"/>
            <w:vAlign w:val="bottom"/>
            <w:tcBorders>
              <w:top w:val="single" w:sz="8" w:color="auto"/>
            </w:tcBorders>
          </w:tcPr>
          <w:p>
            <w:pPr>
              <w:ind w:left="100"/>
              <w:spacing w:after="0"/>
              <w:rPr>
                <w:sz w:val="20"/>
                <w:szCs w:val="20"/>
                <w:color w:val="auto"/>
              </w:rPr>
            </w:pPr>
            <w:r>
              <w:rPr>
                <w:rFonts w:ascii="Arial" w:cs="Arial" w:eastAsia="Arial" w:hAnsi="Arial"/>
                <w:sz w:val="8"/>
                <w:szCs w:val="8"/>
                <w:color w:val="auto"/>
                <w:w w:val="74"/>
              </w:rPr>
              <w:t> </w:t>
            </w: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74"/>
              </w:rPr>
              <w:t>— </w:t>
            </w: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0"/>
                <w:szCs w:val="10"/>
                <w:color w:val="auto"/>
                <w:w w:val="79"/>
              </w:rPr>
              <w:t> </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8"/>
                <w:szCs w:val="8"/>
                <w:color w:val="auto"/>
                <w:w w:val="74"/>
              </w:rPr>
              <w:t> </w:t>
            </w:r>
          </w:p>
        </w:tc>
        <w:tc>
          <w:tcPr>
            <w:tcW w:w="6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58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w w:val="85"/>
              </w:rPr>
              <w:t> </w:t>
            </w:r>
          </w:p>
        </w:tc>
        <w:tc>
          <w:tcPr>
            <w:tcW w:w="80" w:type="dxa"/>
            <w:vAlign w:val="bottom"/>
            <w:tcBorders>
              <w:top w:val="single" w:sz="8" w:color="auto"/>
            </w:tcBorders>
          </w:tcPr>
          <w:p>
            <w:pPr>
              <w:spacing w:after="0"/>
              <w:rPr>
                <w:sz w:val="20"/>
                <w:szCs w:val="20"/>
                <w:color w:val="auto"/>
              </w:rPr>
            </w:pPr>
            <w:r>
              <w:rPr>
                <w:rFonts w:ascii="Arial" w:cs="Arial" w:eastAsia="Arial" w:hAnsi="Arial"/>
                <w:sz w:val="8"/>
                <w:szCs w:val="8"/>
                <w:color w:val="auto"/>
                <w:w w:val="74"/>
              </w:rPr>
              <w:t> </w:t>
            </w: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0"/>
                <w:szCs w:val="10"/>
                <w:color w:val="auto"/>
                <w:w w:val="79"/>
              </w:rPr>
              <w:t> </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8"/>
                <w:szCs w:val="8"/>
                <w:color w:val="auto"/>
                <w:w w:val="74"/>
              </w:rPr>
              <w:t> </w:t>
            </w: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74"/>
              </w:rPr>
              <w:t>— </w:t>
            </w:r>
          </w:p>
        </w:tc>
        <w:tc>
          <w:tcPr>
            <w:tcW w:w="140" w:type="dxa"/>
            <w:vAlign w:val="bottom"/>
            <w:tcBorders>
              <w:top w:val="single" w:sz="8" w:color="auto"/>
            </w:tcBorders>
          </w:tcPr>
          <w:p>
            <w:pPr>
              <w:ind w:left="60"/>
              <w:spacing w:after="0"/>
              <w:rPr>
                <w:sz w:val="20"/>
                <w:szCs w:val="20"/>
                <w:color w:val="auto"/>
              </w:rPr>
            </w:pPr>
            <w:r>
              <w:rPr>
                <w:rFonts w:ascii="Arial" w:cs="Arial" w:eastAsia="Arial" w:hAnsi="Arial"/>
                <w:sz w:val="8"/>
                <w:szCs w:val="8"/>
                <w:color w:val="auto"/>
                <w:w w:val="74"/>
              </w:rPr>
              <w:t> </w:t>
            </w:r>
          </w:p>
        </w:tc>
        <w:tc>
          <w:tcPr>
            <w:tcW w:w="20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85"/>
              </w:rPr>
              <w:t> </w:t>
            </w:r>
          </w:p>
        </w:tc>
        <w:tc>
          <w:tcPr>
            <w:tcW w:w="54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 </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1,210</w:t>
            </w: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  $64,261</w:t>
            </w:r>
          </w:p>
        </w:tc>
      </w:tr>
      <w:tr>
        <w:trPr>
          <w:trHeight w:val="220"/>
        </w:trPr>
        <w:tc>
          <w:tcPr>
            <w:tcW w:w="1820" w:type="dxa"/>
            <w:vAlign w:val="bottom"/>
            <w:tcBorders>
              <w:top w:val="single" w:sz="8" w:color="auto"/>
              <w:bottom w:val="single" w:sz="8" w:color="F7AB6C"/>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Christopher J. LeBlanc</w:t>
            </w:r>
          </w:p>
        </w:tc>
        <w:tc>
          <w:tcPr>
            <w:tcW w:w="560" w:type="dxa"/>
            <w:vAlign w:val="bottom"/>
            <w:tcBorders>
              <w:top w:val="single" w:sz="8" w:color="auto"/>
            </w:tcBorders>
          </w:tcPr>
          <w:p>
            <w:pPr>
              <w:ind w:left="460"/>
              <w:spacing w:after="0"/>
              <w:rPr>
                <w:sz w:val="20"/>
                <w:szCs w:val="20"/>
                <w:color w:val="auto"/>
              </w:rPr>
            </w:pPr>
            <w:r>
              <w:rPr>
                <w:rFonts w:ascii="Arial" w:cs="Arial" w:eastAsia="Arial" w:hAnsi="Arial"/>
                <w:sz w:val="10"/>
                <w:szCs w:val="10"/>
                <w:color w:val="auto"/>
                <w:w w:val="79"/>
              </w:rPr>
              <w:t> </w:t>
            </w:r>
          </w:p>
        </w:tc>
        <w:tc>
          <w:tcPr>
            <w:tcW w:w="100" w:type="dxa"/>
            <w:vAlign w:val="bottom"/>
            <w:tcBorders>
              <w:top w:val="single" w:sz="8" w:color="auto"/>
            </w:tcBorders>
          </w:tcPr>
          <w:p>
            <w:pPr>
              <w:ind w:left="40"/>
              <w:spacing w:after="0"/>
              <w:rPr>
                <w:sz w:val="20"/>
                <w:szCs w:val="20"/>
                <w:color w:val="auto"/>
              </w:rPr>
            </w:pPr>
            <w:r>
              <w:rPr>
                <w:rFonts w:ascii="Arial" w:cs="Arial" w:eastAsia="Arial" w:hAnsi="Arial"/>
                <w:sz w:val="5"/>
                <w:szCs w:val="5"/>
                <w:color w:val="auto"/>
                <w:w w:val="79"/>
              </w:rPr>
              <w:t> </w:t>
            </w:r>
          </w:p>
        </w:tc>
        <w:tc>
          <w:tcPr>
            <w:tcW w:w="120" w:type="dxa"/>
            <w:vAlign w:val="bottom"/>
            <w:tcBorders>
              <w:top w:val="single" w:sz="8" w:color="auto"/>
            </w:tcBorders>
          </w:tcPr>
          <w:p>
            <w:pPr>
              <w:ind w:left="80"/>
              <w:spacing w:after="0"/>
              <w:rPr>
                <w:sz w:val="20"/>
                <w:szCs w:val="20"/>
                <w:color w:val="auto"/>
              </w:rPr>
            </w:pPr>
            <w:r>
              <w:rPr>
                <w:rFonts w:ascii="Arial" w:cs="Arial" w:eastAsia="Arial" w:hAnsi="Arial"/>
                <w:sz w:val="2"/>
                <w:szCs w:val="2"/>
                <w:color w:val="auto"/>
                <w:w w:val="97"/>
              </w:rPr>
              <w:t> </w:t>
            </w:r>
          </w:p>
        </w:tc>
        <w:tc>
          <w:tcPr>
            <w:tcW w:w="180" w:type="dxa"/>
            <w:vAlign w:val="bottom"/>
            <w:tcBorders>
              <w:top w:val="single" w:sz="8" w:color="auto"/>
            </w:tcBorders>
          </w:tcPr>
          <w:p>
            <w:pPr>
              <w:ind w:left="100"/>
              <w:spacing w:after="0"/>
              <w:rPr>
                <w:sz w:val="20"/>
                <w:szCs w:val="20"/>
                <w:color w:val="auto"/>
              </w:rPr>
            </w:pPr>
            <w:r>
              <w:rPr>
                <w:rFonts w:ascii="Arial" w:cs="Arial" w:eastAsia="Arial" w:hAnsi="Arial"/>
                <w:sz w:val="8"/>
                <w:szCs w:val="8"/>
                <w:color w:val="auto"/>
                <w:w w:val="74"/>
              </w:rPr>
              <w:t> </w:t>
            </w: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74"/>
              </w:rPr>
              <w:t>— </w:t>
            </w: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0"/>
                <w:szCs w:val="10"/>
                <w:color w:val="auto"/>
                <w:w w:val="79"/>
              </w:rPr>
              <w:t> </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8"/>
                <w:szCs w:val="8"/>
                <w:color w:val="auto"/>
                <w:w w:val="74"/>
              </w:rPr>
              <w:t> </w:t>
            </w:r>
          </w:p>
        </w:tc>
        <w:tc>
          <w:tcPr>
            <w:tcW w:w="6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58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w w:val="85"/>
              </w:rPr>
              <w:t> </w:t>
            </w:r>
          </w:p>
        </w:tc>
        <w:tc>
          <w:tcPr>
            <w:tcW w:w="80" w:type="dxa"/>
            <w:vAlign w:val="bottom"/>
            <w:tcBorders>
              <w:top w:val="single" w:sz="8" w:color="auto"/>
            </w:tcBorders>
          </w:tcPr>
          <w:p>
            <w:pPr>
              <w:spacing w:after="0"/>
              <w:rPr>
                <w:sz w:val="20"/>
                <w:szCs w:val="20"/>
                <w:color w:val="auto"/>
              </w:rPr>
            </w:pPr>
            <w:r>
              <w:rPr>
                <w:rFonts w:ascii="Arial" w:cs="Arial" w:eastAsia="Arial" w:hAnsi="Arial"/>
                <w:sz w:val="8"/>
                <w:szCs w:val="8"/>
                <w:color w:val="auto"/>
                <w:w w:val="74"/>
              </w:rPr>
              <w:t> </w:t>
            </w: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0"/>
                <w:szCs w:val="10"/>
                <w:color w:val="auto"/>
                <w:w w:val="79"/>
              </w:rPr>
              <w:t> </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8"/>
                <w:szCs w:val="8"/>
                <w:color w:val="auto"/>
                <w:w w:val="74"/>
              </w:rPr>
              <w:t> </w:t>
            </w: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74"/>
              </w:rPr>
              <w:t>— </w:t>
            </w:r>
          </w:p>
        </w:tc>
        <w:tc>
          <w:tcPr>
            <w:tcW w:w="140" w:type="dxa"/>
            <w:vAlign w:val="bottom"/>
            <w:tcBorders>
              <w:top w:val="single" w:sz="8" w:color="auto"/>
            </w:tcBorders>
          </w:tcPr>
          <w:p>
            <w:pPr>
              <w:ind w:left="60"/>
              <w:spacing w:after="0"/>
              <w:rPr>
                <w:sz w:val="20"/>
                <w:szCs w:val="20"/>
                <w:color w:val="auto"/>
              </w:rPr>
            </w:pPr>
            <w:r>
              <w:rPr>
                <w:rFonts w:ascii="Arial" w:cs="Arial" w:eastAsia="Arial" w:hAnsi="Arial"/>
                <w:sz w:val="8"/>
                <w:szCs w:val="8"/>
                <w:color w:val="auto"/>
                <w:w w:val="74"/>
              </w:rPr>
              <w:t> </w:t>
            </w:r>
          </w:p>
        </w:tc>
        <w:tc>
          <w:tcPr>
            <w:tcW w:w="20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85"/>
              </w:rPr>
              <w:t> </w:t>
            </w:r>
          </w:p>
        </w:tc>
        <w:tc>
          <w:tcPr>
            <w:tcW w:w="54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 </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1,210</w:t>
            </w: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  $64,261</w:t>
            </w:r>
          </w:p>
        </w:tc>
      </w:tr>
      <w:tr>
        <w:trPr>
          <w:trHeight w:val="20"/>
        </w:trPr>
        <w:tc>
          <w:tcPr>
            <w:tcW w:w="18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980" w:type="dxa"/>
            <w:vAlign w:val="bottom"/>
            <w:tcBorders>
              <w:right w:val="single" w:sz="8" w:color="auto"/>
            </w:tcBorders>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-931545</wp:posOffset>
            </wp:positionV>
            <wp:extent cx="8255" cy="1073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10731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-931545</wp:posOffset>
            </wp:positionV>
            <wp:extent cx="8255" cy="1073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10731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-931545</wp:posOffset>
            </wp:positionV>
            <wp:extent cx="8255" cy="1073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107315"/>
                    </a:xfrm>
                    <a:prstGeom prst="rect">
                      <a:avLst/>
                    </a:prstGeom>
                    <a:noFill/>
                  </pic:spPr>
                </pic:pic>
              </a:graphicData>
            </a:graphic>
          </wp:anchor>
        </w:drawing>
        <w:drawing>
          <wp:anchor simplePos="0" relativeHeight="251657728" behindDoc="1" locked="0" layoutInCell="0" allowOverlap="1">
            <wp:simplePos x="0" y="0"/>
            <wp:positionH relativeFrom="column">
              <wp:posOffset>1553845</wp:posOffset>
            </wp:positionH>
            <wp:positionV relativeFrom="paragraph">
              <wp:posOffset>-931545</wp:posOffset>
            </wp:positionV>
            <wp:extent cx="8255" cy="1073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10731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156845</wp:posOffset>
            </wp:positionV>
            <wp:extent cx="63373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NOTES:</w:t>
      </w:r>
    </w:p>
    <w:p>
      <w:pPr>
        <w:spacing w:after="0" w:line="116" w:lineRule="exact"/>
        <w:rPr>
          <w:sz w:val="20"/>
          <w:szCs w:val="20"/>
          <w:color w:val="auto"/>
        </w:rPr>
      </w:pPr>
    </w:p>
    <w:p>
      <w:pPr>
        <w:ind w:left="1620" w:hanging="492"/>
        <w:spacing w:after="0"/>
        <w:tabs>
          <w:tab w:leader="none" w:pos="1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Unitil has no option plan and no option awards outstanding.</w:t>
      </w:r>
    </w:p>
    <w:p>
      <w:pPr>
        <w:spacing w:after="0" w:line="116" w:lineRule="exact"/>
        <w:rPr>
          <w:rFonts w:ascii="Arial" w:cs="Arial" w:eastAsia="Arial" w:hAnsi="Arial"/>
          <w:sz w:val="17"/>
          <w:szCs w:val="17"/>
          <w:color w:val="auto"/>
        </w:rPr>
      </w:pPr>
    </w:p>
    <w:p>
      <w:pPr>
        <w:ind w:left="1620" w:right="40" w:hanging="492"/>
        <w:spacing w:after="0" w:line="246" w:lineRule="auto"/>
        <w:tabs>
          <w:tab w:leader="none" w:pos="1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values shown in column (e) for represent the total value of shares of restricted stock that vested in 2025, and includes (i) shares that vested on January 27, 2025, at a closing price of $53.20 pursuant to the terms of the restricted stock awards granted on January 26, 2021, (ii) shares that vested on January 27, 2025, at a closing price of $53.20 pursuant to the terms of the restricted stock awards granted on January 25, 2022, (iii) shares that vested on January 24, 2025, at a closing price of $52.30 pursuant to the terms of the restricted stock awards granted on January 24, 2023, and (iv) shares that vested on January 30, 2025, at a closing price of $53.63 pursuant to the terms of the restricted stock awards granted on January 30, 2024.</w:t>
      </w:r>
    </w:p>
    <w:p>
      <w:pPr>
        <w:spacing w:after="0" w:line="78" w:lineRule="exact"/>
        <w:rPr>
          <w:rFonts w:ascii="Arial" w:cs="Arial" w:eastAsia="Arial" w:hAnsi="Arial"/>
          <w:sz w:val="17"/>
          <w:szCs w:val="17"/>
          <w:color w:val="auto"/>
        </w:rPr>
      </w:pPr>
    </w:p>
    <w:p>
      <w:pPr>
        <w:ind w:left="1620" w:right="80" w:hanging="492"/>
        <w:spacing w:after="0" w:line="249" w:lineRule="auto"/>
        <w:tabs>
          <w:tab w:leader="none" w:pos="1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On January 26, 2026, 100% of Performance Restricted Shares granted in January 2023 vested. Goals set for the defined performance metrics for the performance period 2023-2025 were met at 106% of target, and Additional Shares were granted to all participants (including Named Executive Officers), at a closing price of $49.52, to account for the 6% above-target performance. The value of the Additional Shares granted is not included in the totals shown in column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142240</wp:posOffset>
            </wp:positionV>
            <wp:extent cx="6337300" cy="825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620"/>
          </w:cols>
          <w:pgMar w:left="320" w:top="470" w:right="9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Outstanding Equity Awards at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jc w:val="both"/>
        <w:ind w:left="640" w:right="80"/>
        <w:spacing w:after="0" w:line="248" w:lineRule="auto"/>
        <w:rPr>
          <w:sz w:val="20"/>
          <w:szCs w:val="20"/>
          <w:color w:val="auto"/>
        </w:rPr>
      </w:pPr>
      <w:r>
        <w:rPr>
          <w:rFonts w:ascii="Arial" w:cs="Arial" w:eastAsia="Arial" w:hAnsi="Arial"/>
          <w:sz w:val="21"/>
          <w:szCs w:val="21"/>
          <w:color w:val="auto"/>
        </w:rPr>
        <w:t>The table below provides information with respect to the outstanding equity awards of the Named Executive Officers as of December 31, 2025, which includes unvested stock awards granted under the Third Amended Stock Plan. Unitil has no option plan and no option awards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341630</wp:posOffset>
            </wp:positionV>
            <wp:extent cx="6345555" cy="35979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345555" cy="359791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FFFFFF"/>
        </w:rPr>
        <w:t>OUTSTANDING EQUITY AWARDS AT FISCAL YEAR-END 2025</w:t>
      </w:r>
    </w:p>
    <w:p>
      <w:pPr>
        <w:spacing w:after="0" w:line="63"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2120" w:type="dxa"/>
            <w:vAlign w:val="bottom"/>
            <w:tcBorders>
              <w:top w:val="single" w:sz="8" w:color="auto"/>
              <w:right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3840" w:type="dxa"/>
            <w:vAlign w:val="bottom"/>
            <w:tcBorders>
              <w:top w:val="single" w:sz="8" w:color="auto"/>
              <w:bottom w:val="single" w:sz="8" w:color="auto"/>
            </w:tcBorders>
            <w:gridSpan w:val="2"/>
          </w:tcPr>
          <w:p>
            <w:pPr>
              <w:ind w:left="1380"/>
              <w:spacing w:after="0"/>
              <w:rPr>
                <w:sz w:val="20"/>
                <w:szCs w:val="20"/>
                <w:color w:val="auto"/>
              </w:rPr>
            </w:pPr>
            <w:r>
              <w:rPr>
                <w:rFonts w:ascii="Arial" w:cs="Arial" w:eastAsia="Arial" w:hAnsi="Arial"/>
                <w:sz w:val="14"/>
                <w:szCs w:val="14"/>
                <w:b w:val="1"/>
                <w:bCs w:val="1"/>
                <w:color w:val="auto"/>
              </w:rPr>
              <w:t>Stock Awards</w:t>
            </w:r>
          </w:p>
        </w:tc>
        <w:tc>
          <w:tcPr>
            <w:tcW w:w="19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r>
      <w:tr>
        <w:trPr>
          <w:trHeight w:val="178"/>
        </w:trPr>
        <w:tc>
          <w:tcPr>
            <w:tcW w:w="212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9"/>
              </w:rPr>
              <w:t>Equity Incentive Plan</w:t>
            </w:r>
          </w:p>
        </w:tc>
        <w:tc>
          <w:tcPr>
            <w:tcW w:w="20" w:type="dxa"/>
            <w:vAlign w:val="bottom"/>
          </w:tcPr>
          <w:p>
            <w:pPr>
              <w:spacing w:after="0"/>
              <w:rPr>
                <w:sz w:val="15"/>
                <w:szCs w:val="15"/>
                <w:color w:val="auto"/>
              </w:rPr>
            </w:pPr>
          </w:p>
        </w:tc>
      </w:tr>
      <w:tr>
        <w:trPr>
          <w:trHeight w:val="156"/>
        </w:trPr>
        <w:tc>
          <w:tcPr>
            <w:tcW w:w="2120" w:type="dxa"/>
            <w:vAlign w:val="bottom"/>
            <w:tcBorders>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218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7"/>
              </w:rPr>
              <w:t>Equity Incentive Plan</w:t>
            </w:r>
          </w:p>
        </w:tc>
        <w:tc>
          <w:tcPr>
            <w:tcW w:w="190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auto"/>
                <w:w w:val="97"/>
              </w:rPr>
              <w:t>Awards: Market</w:t>
            </w:r>
          </w:p>
        </w:tc>
        <w:tc>
          <w:tcPr>
            <w:tcW w:w="20" w:type="dxa"/>
            <w:vAlign w:val="bottom"/>
          </w:tcPr>
          <w:p>
            <w:pPr>
              <w:spacing w:after="0"/>
              <w:rPr>
                <w:sz w:val="13"/>
                <w:szCs w:val="13"/>
                <w:color w:val="auto"/>
              </w:rPr>
            </w:pPr>
          </w:p>
        </w:tc>
      </w:tr>
      <w:tr>
        <w:trPr>
          <w:trHeight w:val="156"/>
        </w:trPr>
        <w:tc>
          <w:tcPr>
            <w:tcW w:w="2120" w:type="dxa"/>
            <w:vAlign w:val="bottom"/>
            <w:tcBorders>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218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7"/>
              </w:rPr>
              <w:t>Awards: Number of</w:t>
            </w:r>
          </w:p>
        </w:tc>
        <w:tc>
          <w:tcPr>
            <w:tcW w:w="19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7"/>
              </w:rPr>
              <w:t>or Payout Value of</w:t>
            </w:r>
          </w:p>
        </w:tc>
        <w:tc>
          <w:tcPr>
            <w:tcW w:w="20" w:type="dxa"/>
            <w:vAlign w:val="bottom"/>
          </w:tcPr>
          <w:p>
            <w:pPr>
              <w:spacing w:after="0"/>
              <w:rPr>
                <w:sz w:val="13"/>
                <w:szCs w:val="13"/>
                <w:color w:val="auto"/>
              </w:rPr>
            </w:pPr>
          </w:p>
        </w:tc>
      </w:tr>
      <w:tr>
        <w:trPr>
          <w:trHeight w:val="156"/>
        </w:trPr>
        <w:tc>
          <w:tcPr>
            <w:tcW w:w="2120" w:type="dxa"/>
            <w:vAlign w:val="bottom"/>
            <w:tcBorders>
              <w:right w:val="single" w:sz="8" w:color="auto"/>
            </w:tcBorders>
          </w:tcPr>
          <w:p>
            <w:pPr>
              <w:spacing w:after="0"/>
              <w:rPr>
                <w:sz w:val="13"/>
                <w:szCs w:val="13"/>
                <w:color w:val="auto"/>
              </w:rPr>
            </w:pPr>
          </w:p>
        </w:tc>
        <w:tc>
          <w:tcPr>
            <w:tcW w:w="2120" w:type="dxa"/>
            <w:vAlign w:val="bottom"/>
            <w:tcBorders>
              <w:right w:val="single" w:sz="8" w:color="auto"/>
            </w:tcBorders>
            <w:gridSpan w:val="2"/>
          </w:tcPr>
          <w:p>
            <w:pPr>
              <w:jc w:val="center"/>
              <w:spacing w:after="0" w:line="156" w:lineRule="exact"/>
              <w:rPr>
                <w:sz w:val="20"/>
                <w:szCs w:val="20"/>
                <w:color w:val="auto"/>
              </w:rPr>
            </w:pPr>
            <w:r>
              <w:rPr>
                <w:rFonts w:ascii="Arial" w:cs="Arial" w:eastAsia="Arial" w:hAnsi="Arial"/>
                <w:sz w:val="14"/>
                <w:szCs w:val="14"/>
                <w:b w:val="1"/>
                <w:bCs w:val="1"/>
                <w:color w:val="auto"/>
                <w:w w:val="98"/>
              </w:rPr>
              <w:t>Number of Shares or</w:t>
            </w:r>
          </w:p>
        </w:tc>
        <w:tc>
          <w:tcPr>
            <w:tcW w:w="2180" w:type="dxa"/>
            <w:vAlign w:val="bottom"/>
            <w:tcBorders>
              <w:right w:val="single" w:sz="8" w:color="auto"/>
            </w:tcBorders>
          </w:tcPr>
          <w:p>
            <w:pPr>
              <w:jc w:val="right"/>
              <w:ind w:right="251"/>
              <w:spacing w:after="0" w:line="156" w:lineRule="exact"/>
              <w:rPr>
                <w:sz w:val="20"/>
                <w:szCs w:val="20"/>
                <w:color w:val="auto"/>
              </w:rPr>
            </w:pPr>
            <w:r>
              <w:rPr>
                <w:rFonts w:ascii="Arial" w:cs="Arial" w:eastAsia="Arial" w:hAnsi="Arial"/>
                <w:sz w:val="14"/>
                <w:szCs w:val="14"/>
                <w:b w:val="1"/>
                <w:bCs w:val="1"/>
                <w:color w:val="auto"/>
              </w:rPr>
              <w:t>  Market Value of Shares</w:t>
            </w:r>
          </w:p>
        </w:tc>
        <w:tc>
          <w:tcPr>
            <w:tcW w:w="16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9"/>
              </w:rPr>
              <w:t>Unearned Shares,</w:t>
            </w:r>
          </w:p>
        </w:tc>
        <w:tc>
          <w:tcPr>
            <w:tcW w:w="1900" w:type="dxa"/>
            <w:vAlign w:val="bottom"/>
          </w:tcPr>
          <w:p>
            <w:pPr>
              <w:ind w:left="80"/>
              <w:spacing w:after="0" w:line="156" w:lineRule="exact"/>
              <w:rPr>
                <w:sz w:val="20"/>
                <w:szCs w:val="20"/>
                <w:color w:val="auto"/>
              </w:rPr>
            </w:pPr>
            <w:r>
              <w:rPr>
                <w:rFonts w:ascii="Arial" w:cs="Arial" w:eastAsia="Arial" w:hAnsi="Arial"/>
                <w:sz w:val="14"/>
                <w:szCs w:val="14"/>
                <w:b w:val="1"/>
                <w:bCs w:val="1"/>
                <w:color w:val="auto"/>
              </w:rPr>
              <w:t>Unearned Shares, Units or</w:t>
            </w:r>
          </w:p>
        </w:tc>
        <w:tc>
          <w:tcPr>
            <w:tcW w:w="20" w:type="dxa"/>
            <w:vAlign w:val="bottom"/>
          </w:tcPr>
          <w:p>
            <w:pPr>
              <w:spacing w:after="0"/>
              <w:rPr>
                <w:sz w:val="13"/>
                <w:szCs w:val="13"/>
                <w:color w:val="auto"/>
              </w:rPr>
            </w:pPr>
          </w:p>
        </w:tc>
      </w:tr>
      <w:tr>
        <w:trPr>
          <w:trHeight w:val="154"/>
        </w:trPr>
        <w:tc>
          <w:tcPr>
            <w:tcW w:w="2120" w:type="dxa"/>
            <w:vAlign w:val="bottom"/>
            <w:tcBorders>
              <w:right w:val="single" w:sz="8" w:color="auto"/>
            </w:tcBorders>
          </w:tcPr>
          <w:p>
            <w:pPr>
              <w:spacing w:after="0"/>
              <w:rPr>
                <w:sz w:val="13"/>
                <w:szCs w:val="13"/>
                <w:color w:val="auto"/>
              </w:rPr>
            </w:pPr>
          </w:p>
        </w:tc>
        <w:tc>
          <w:tcPr>
            <w:tcW w:w="2120" w:type="dxa"/>
            <w:vAlign w:val="bottom"/>
            <w:tcBorders>
              <w:right w:val="single" w:sz="8" w:color="auto"/>
            </w:tcBorders>
            <w:gridSpan w:val="2"/>
          </w:tcPr>
          <w:p>
            <w:pPr>
              <w:jc w:val="center"/>
              <w:spacing w:after="0" w:line="154" w:lineRule="exact"/>
              <w:rPr>
                <w:sz w:val="20"/>
                <w:szCs w:val="20"/>
                <w:color w:val="auto"/>
              </w:rPr>
            </w:pPr>
            <w:r>
              <w:rPr>
                <w:rFonts w:ascii="Arial" w:cs="Arial" w:eastAsia="Arial" w:hAnsi="Arial"/>
                <w:sz w:val="14"/>
                <w:szCs w:val="14"/>
                <w:b w:val="1"/>
                <w:bCs w:val="1"/>
                <w:color w:val="auto"/>
                <w:w w:val="97"/>
              </w:rPr>
              <w:t>Units of Stock</w:t>
            </w:r>
          </w:p>
        </w:tc>
        <w:tc>
          <w:tcPr>
            <w:tcW w:w="21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9"/>
              </w:rPr>
              <w:t>Or Units of Stock</w:t>
            </w:r>
          </w:p>
        </w:tc>
        <w:tc>
          <w:tcPr>
            <w:tcW w:w="166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8"/>
              </w:rPr>
              <w:t>Units or Other Rights</w:t>
            </w:r>
          </w:p>
        </w:tc>
        <w:tc>
          <w:tcPr>
            <w:tcW w:w="190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9"/>
              </w:rPr>
              <w:t>Other Rights</w:t>
            </w:r>
          </w:p>
        </w:tc>
        <w:tc>
          <w:tcPr>
            <w:tcW w:w="20" w:type="dxa"/>
            <w:vAlign w:val="bottom"/>
          </w:tcPr>
          <w:p>
            <w:pPr>
              <w:spacing w:after="0"/>
              <w:rPr>
                <w:sz w:val="13"/>
                <w:szCs w:val="13"/>
                <w:color w:val="auto"/>
              </w:rPr>
            </w:pPr>
          </w:p>
        </w:tc>
      </w:tr>
      <w:tr>
        <w:trPr>
          <w:trHeight w:val="232"/>
        </w:trPr>
        <w:tc>
          <w:tcPr>
            <w:tcW w:w="2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   Name</w:t>
            </w:r>
          </w:p>
        </w:tc>
        <w:tc>
          <w:tcPr>
            <w:tcW w:w="2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  That Have Not Vested 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That Have Not Vested </w:t>
            </w:r>
            <w:r>
              <w:rPr>
                <w:rFonts w:ascii="Arial" w:cs="Arial" w:eastAsia="Arial" w:hAnsi="Arial"/>
                <w:sz w:val="20"/>
                <w:szCs w:val="20"/>
                <w:i w:val="1"/>
                <w:iCs w:val="1"/>
                <w:color w:val="auto"/>
                <w:w w:val="98"/>
                <w:vertAlign w:val="superscript"/>
              </w:rPr>
              <w:t>(1)</w:t>
            </w:r>
            <w:r>
              <w:rPr>
                <w:rFonts w:ascii="Arial" w:cs="Arial" w:eastAsia="Arial" w:hAnsi="Arial"/>
                <w:sz w:val="14"/>
                <w:szCs w:val="14"/>
                <w:b w:val="1"/>
                <w:bCs w:val="1"/>
                <w:color w:val="auto"/>
                <w:w w:val="98"/>
              </w:rPr>
              <w:t xml:space="preserve"> </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That Have Not Vested </w:t>
            </w:r>
          </w:p>
        </w:tc>
        <w:tc>
          <w:tcPr>
            <w:tcW w:w="190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8"/>
              </w:rPr>
              <w:t>That Have Not Vested</w:t>
            </w:r>
          </w:p>
        </w:tc>
        <w:tc>
          <w:tcPr>
            <w:tcW w:w="20" w:type="dxa"/>
            <w:vAlign w:val="bottom"/>
            <w:tcBorders>
              <w:bottom w:val="single" w:sz="8" w:color="auto"/>
            </w:tcBorders>
          </w:tcPr>
          <w:p>
            <w:pPr>
              <w:spacing w:after="0"/>
              <w:rPr>
                <w:sz w:val="20"/>
                <w:szCs w:val="20"/>
                <w:color w:val="auto"/>
              </w:rPr>
            </w:pPr>
          </w:p>
        </w:tc>
      </w:tr>
      <w:tr>
        <w:trPr>
          <w:trHeight w:val="136"/>
        </w:trPr>
        <w:tc>
          <w:tcPr>
            <w:tcW w:w="2120" w:type="dxa"/>
            <w:vAlign w:val="bottom"/>
            <w:tcBorders>
              <w:bottom w:val="single" w:sz="8" w:color="auto"/>
              <w:right w:val="single" w:sz="8" w:color="314A72"/>
            </w:tcBorders>
            <w:shd w:val="clear" w:color="auto" w:fill="314A72"/>
          </w:tcPr>
          <w:p>
            <w:pPr>
              <w:ind w:left="960"/>
              <w:spacing w:after="0" w:line="136" w:lineRule="exact"/>
              <w:rPr>
                <w:sz w:val="20"/>
                <w:szCs w:val="20"/>
                <w:color w:val="auto"/>
              </w:rPr>
            </w:pPr>
            <w:r>
              <w:rPr>
                <w:rFonts w:ascii="Arial" w:cs="Arial" w:eastAsia="Arial" w:hAnsi="Arial"/>
                <w:sz w:val="13"/>
                <w:szCs w:val="13"/>
                <w:b w:val="1"/>
                <w:bCs w:val="1"/>
                <w:color w:val="FFFFFF"/>
              </w:rPr>
              <w:t>(a)</w:t>
            </w:r>
          </w:p>
        </w:tc>
        <w:tc>
          <w:tcPr>
            <w:tcW w:w="1240" w:type="dxa"/>
            <w:vAlign w:val="bottom"/>
            <w:tcBorders>
              <w:bottom w:val="single" w:sz="8" w:color="auto"/>
            </w:tcBorders>
            <w:shd w:val="clear" w:color="auto" w:fill="314A72"/>
          </w:tcPr>
          <w:p>
            <w:pPr>
              <w:jc w:val="center"/>
              <w:ind w:left="852"/>
              <w:spacing w:after="0" w:line="136" w:lineRule="exact"/>
              <w:rPr>
                <w:sz w:val="20"/>
                <w:szCs w:val="20"/>
                <w:color w:val="auto"/>
              </w:rPr>
            </w:pPr>
            <w:r>
              <w:rPr>
                <w:rFonts w:ascii="Arial" w:cs="Arial" w:eastAsia="Arial" w:hAnsi="Arial"/>
                <w:sz w:val="13"/>
                <w:szCs w:val="13"/>
                <w:b w:val="1"/>
                <w:bCs w:val="1"/>
                <w:color w:val="FFFFFF"/>
                <w:w w:val="96"/>
              </w:rPr>
              <w:t>(b)</w:t>
            </w:r>
          </w:p>
        </w:tc>
        <w:tc>
          <w:tcPr>
            <w:tcW w:w="880" w:type="dxa"/>
            <w:vAlign w:val="bottom"/>
            <w:tcBorders>
              <w:bottom w:val="single" w:sz="8" w:color="auto"/>
              <w:right w:val="single" w:sz="8" w:color="314A72"/>
            </w:tcBorders>
            <w:shd w:val="clear" w:color="auto" w:fill="314A72"/>
          </w:tcPr>
          <w:p>
            <w:pPr>
              <w:spacing w:after="0"/>
              <w:rPr>
                <w:sz w:val="11"/>
                <w:szCs w:val="11"/>
                <w:color w:val="auto"/>
              </w:rPr>
            </w:pPr>
          </w:p>
        </w:tc>
        <w:tc>
          <w:tcPr>
            <w:tcW w:w="2180" w:type="dxa"/>
            <w:vAlign w:val="bottom"/>
            <w:tcBorders>
              <w:bottom w:val="single" w:sz="8" w:color="auto"/>
              <w:right w:val="single" w:sz="8" w:color="314A72"/>
            </w:tcBorders>
            <w:shd w:val="clear" w:color="auto" w:fill="314A72"/>
          </w:tcPr>
          <w:p>
            <w:pPr>
              <w:jc w:val="center"/>
              <w:spacing w:after="0" w:line="136" w:lineRule="exact"/>
              <w:rPr>
                <w:sz w:val="20"/>
                <w:szCs w:val="20"/>
                <w:color w:val="auto"/>
              </w:rPr>
            </w:pPr>
            <w:r>
              <w:rPr>
                <w:rFonts w:ascii="Arial" w:cs="Arial" w:eastAsia="Arial" w:hAnsi="Arial"/>
                <w:sz w:val="13"/>
                <w:szCs w:val="13"/>
                <w:b w:val="1"/>
                <w:bCs w:val="1"/>
                <w:color w:val="FFFFFF"/>
              </w:rPr>
              <w:t>(c)</w:t>
            </w:r>
          </w:p>
        </w:tc>
        <w:tc>
          <w:tcPr>
            <w:tcW w:w="1660" w:type="dxa"/>
            <w:vAlign w:val="bottom"/>
            <w:tcBorders>
              <w:bottom w:val="single" w:sz="8" w:color="auto"/>
              <w:right w:val="single" w:sz="8" w:color="314A72"/>
            </w:tcBorders>
            <w:shd w:val="clear" w:color="auto" w:fill="314A72"/>
          </w:tcPr>
          <w:p>
            <w:pPr>
              <w:jc w:val="center"/>
              <w:spacing w:after="0" w:line="136" w:lineRule="exact"/>
              <w:rPr>
                <w:sz w:val="20"/>
                <w:szCs w:val="20"/>
                <w:color w:val="auto"/>
              </w:rPr>
            </w:pPr>
            <w:r>
              <w:rPr>
                <w:rFonts w:ascii="Arial" w:cs="Arial" w:eastAsia="Arial" w:hAnsi="Arial"/>
                <w:sz w:val="13"/>
                <w:szCs w:val="13"/>
                <w:b w:val="1"/>
                <w:bCs w:val="1"/>
                <w:color w:val="FFFFFF"/>
              </w:rPr>
              <w:t>(d)</w:t>
            </w:r>
          </w:p>
        </w:tc>
        <w:tc>
          <w:tcPr>
            <w:tcW w:w="1900" w:type="dxa"/>
            <w:vAlign w:val="bottom"/>
            <w:tcBorders>
              <w:bottom w:val="single" w:sz="8" w:color="auto"/>
            </w:tcBorders>
            <w:shd w:val="clear" w:color="auto" w:fill="314A72"/>
          </w:tcPr>
          <w:p>
            <w:pPr>
              <w:jc w:val="center"/>
              <w:spacing w:after="0" w:line="136" w:lineRule="exact"/>
              <w:rPr>
                <w:sz w:val="20"/>
                <w:szCs w:val="20"/>
                <w:color w:val="auto"/>
              </w:rPr>
            </w:pPr>
            <w:r>
              <w:rPr>
                <w:rFonts w:ascii="Arial" w:cs="Arial" w:eastAsia="Arial" w:hAnsi="Arial"/>
                <w:sz w:val="13"/>
                <w:szCs w:val="13"/>
                <w:b w:val="1"/>
                <w:bCs w:val="1"/>
                <w:color w:val="FFFFFF"/>
              </w:rPr>
              <w:t>(e)</w:t>
            </w:r>
          </w:p>
        </w:tc>
        <w:tc>
          <w:tcPr>
            <w:tcW w:w="20" w:type="dxa"/>
            <w:vAlign w:val="bottom"/>
            <w:tcBorders>
              <w:bottom w:val="single" w:sz="8" w:color="auto"/>
            </w:tcBorders>
          </w:tcPr>
          <w:p>
            <w:pPr>
              <w:spacing w:after="0"/>
              <w:rPr>
                <w:sz w:val="11"/>
                <w:szCs w:val="11"/>
                <w:color w:val="auto"/>
              </w:rPr>
            </w:pPr>
          </w:p>
        </w:tc>
      </w:tr>
      <w:tr>
        <w:trPr>
          <w:trHeight w:val="216"/>
        </w:trPr>
        <w:tc>
          <w:tcPr>
            <w:tcW w:w="2120" w:type="dxa"/>
            <w:vAlign w:val="bottom"/>
            <w:tcBorders>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Thomas P. Meissner, Jr.</w:t>
            </w:r>
          </w:p>
        </w:tc>
        <w:tc>
          <w:tcPr>
            <w:tcW w:w="2120" w:type="dxa"/>
            <w:vAlign w:val="bottom"/>
            <w:tcBorders>
              <w:right w:val="single" w:sz="8" w:color="auto"/>
            </w:tcBorders>
            <w:gridSpan w:val="2"/>
          </w:tcPr>
          <w:p>
            <w:pPr>
              <w:jc w:val="right"/>
              <w:ind w:right="668"/>
              <w:spacing w:after="0" w:line="216" w:lineRule="exact"/>
              <w:rPr>
                <w:sz w:val="20"/>
                <w:szCs w:val="20"/>
                <w:color w:val="auto"/>
              </w:rPr>
            </w:pPr>
            <w:r>
              <w:rPr>
                <w:rFonts w:ascii="Arial" w:cs="Arial" w:eastAsia="Arial" w:hAnsi="Arial"/>
                <w:sz w:val="14"/>
                <w:szCs w:val="14"/>
                <w:color w:val="auto"/>
              </w:rPr>
              <w:t xml:space="preserve">3,463 </w:t>
            </w:r>
            <w:r>
              <w:rPr>
                <w:rFonts w:ascii="Arial" w:cs="Arial" w:eastAsia="Arial" w:hAnsi="Arial"/>
                <w:sz w:val="20"/>
                <w:szCs w:val="20"/>
                <w:i w:val="1"/>
                <w:iCs w:val="1"/>
                <w:color w:val="auto"/>
                <w:vertAlign w:val="superscript"/>
              </w:rPr>
              <w:t>(2)</w:t>
            </w:r>
          </w:p>
        </w:tc>
        <w:tc>
          <w:tcPr>
            <w:tcW w:w="2180" w:type="dxa"/>
            <w:vAlign w:val="bottom"/>
            <w:tcBorders>
              <w:right w:val="single" w:sz="8" w:color="auto"/>
            </w:tcBorders>
          </w:tcPr>
          <w:p>
            <w:pPr>
              <w:jc w:val="right"/>
              <w:ind w:right="691"/>
              <w:spacing w:after="0"/>
              <w:rPr>
                <w:sz w:val="20"/>
                <w:szCs w:val="20"/>
                <w:color w:val="auto"/>
              </w:rPr>
            </w:pPr>
            <w:r>
              <w:rPr>
                <w:rFonts w:ascii="Arial" w:cs="Arial" w:eastAsia="Arial" w:hAnsi="Arial"/>
                <w:sz w:val="14"/>
                <w:szCs w:val="14"/>
                <w:color w:val="auto"/>
              </w:rPr>
              <w:t>$167,724</w:t>
            </w:r>
          </w:p>
        </w:tc>
        <w:tc>
          <w:tcPr>
            <w:tcW w:w="1660" w:type="dxa"/>
            <w:vAlign w:val="bottom"/>
            <w:tcBorders>
              <w:right w:val="single" w:sz="8" w:color="auto"/>
            </w:tcBorders>
          </w:tcPr>
          <w:p>
            <w:pPr>
              <w:jc w:val="center"/>
              <w:ind w:left="11"/>
              <w:spacing w:after="0"/>
              <w:rPr>
                <w:sz w:val="20"/>
                <w:szCs w:val="20"/>
                <w:color w:val="auto"/>
              </w:rPr>
            </w:pPr>
            <w:r>
              <w:rPr>
                <w:rFonts w:ascii="Arial" w:cs="Arial" w:eastAsia="Arial" w:hAnsi="Arial"/>
                <w:sz w:val="14"/>
                <w:szCs w:val="14"/>
                <w:color w:val="auto"/>
                <w:w w:val="99"/>
              </w:rPr>
              <w:t>—</w:t>
            </w:r>
          </w:p>
        </w:tc>
        <w:tc>
          <w:tcPr>
            <w:tcW w:w="190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r>
      <w:tr>
        <w:trPr>
          <w:trHeight w:val="156"/>
        </w:trPr>
        <w:tc>
          <w:tcPr>
            <w:tcW w:w="2120" w:type="dxa"/>
            <w:vAlign w:val="bottom"/>
            <w:tcBorders>
              <w:right w:val="single" w:sz="8" w:color="auto"/>
            </w:tcBorders>
            <w:shd w:val="clear" w:color="auto" w:fill="F7AB6C"/>
          </w:tcPr>
          <w:p>
            <w:pPr>
              <w:spacing w:after="0"/>
              <w:rPr>
                <w:sz w:val="13"/>
                <w:szCs w:val="13"/>
                <w:color w:val="auto"/>
              </w:rPr>
            </w:pPr>
          </w:p>
        </w:tc>
        <w:tc>
          <w:tcPr>
            <w:tcW w:w="1240" w:type="dxa"/>
            <w:vAlign w:val="bottom"/>
          </w:tcPr>
          <w:p>
            <w:pPr>
              <w:jc w:val="right"/>
              <w:spacing w:after="0" w:line="156" w:lineRule="exact"/>
              <w:rPr>
                <w:sz w:val="20"/>
                <w:szCs w:val="20"/>
                <w:color w:val="auto"/>
              </w:rPr>
            </w:pPr>
            <w:r>
              <w:rPr>
                <w:rFonts w:ascii="Arial" w:cs="Arial" w:eastAsia="Arial" w:hAnsi="Arial"/>
                <w:sz w:val="14"/>
                <w:szCs w:val="14"/>
                <w:color w:val="auto"/>
              </w:rPr>
              <w:t>10,230</w:t>
            </w:r>
          </w:p>
        </w:tc>
        <w:tc>
          <w:tcPr>
            <w:tcW w:w="880" w:type="dxa"/>
            <w:vAlign w:val="bottom"/>
            <w:tcBorders>
              <w:right w:val="single" w:sz="8" w:color="auto"/>
            </w:tcBorders>
          </w:tcPr>
          <w:p>
            <w:pPr>
              <w:jc w:val="right"/>
              <w:ind w:right="668"/>
              <w:spacing w:after="0"/>
              <w:rPr>
                <w:sz w:val="20"/>
                <w:szCs w:val="20"/>
                <w:color w:val="auto"/>
              </w:rPr>
            </w:pPr>
            <w:r>
              <w:rPr>
                <w:rFonts w:ascii="Arial" w:cs="Arial" w:eastAsia="Arial" w:hAnsi="Arial"/>
                <w:sz w:val="10"/>
                <w:szCs w:val="10"/>
                <w:i w:val="1"/>
                <w:iCs w:val="1"/>
                <w:color w:val="auto"/>
              </w:rPr>
              <w:t>(3)</w:t>
            </w:r>
          </w:p>
        </w:tc>
        <w:tc>
          <w:tcPr>
            <w:tcW w:w="2180" w:type="dxa"/>
            <w:vAlign w:val="bottom"/>
            <w:tcBorders>
              <w:right w:val="single" w:sz="8" w:color="auto"/>
            </w:tcBorders>
          </w:tcPr>
          <w:p>
            <w:pPr>
              <w:jc w:val="right"/>
              <w:ind w:right="691"/>
              <w:spacing w:after="0" w:line="156" w:lineRule="exact"/>
              <w:rPr>
                <w:sz w:val="20"/>
                <w:szCs w:val="20"/>
                <w:color w:val="auto"/>
              </w:rPr>
            </w:pPr>
            <w:r>
              <w:rPr>
                <w:rFonts w:ascii="Arial" w:cs="Arial" w:eastAsia="Arial" w:hAnsi="Arial"/>
                <w:sz w:val="14"/>
                <w:szCs w:val="14"/>
                <w:color w:val="auto"/>
              </w:rPr>
              <w:t>$495,541</w:t>
            </w:r>
          </w:p>
        </w:tc>
        <w:tc>
          <w:tcPr>
            <w:tcW w:w="1660" w:type="dxa"/>
            <w:vAlign w:val="bottom"/>
            <w:tcBorders>
              <w:right w:val="single" w:sz="8" w:color="auto"/>
            </w:tcBorders>
          </w:tcPr>
          <w:p>
            <w:pPr>
              <w:jc w:val="center"/>
              <w:ind w:left="11"/>
              <w:spacing w:after="0" w:line="156" w:lineRule="exact"/>
              <w:rPr>
                <w:sz w:val="20"/>
                <w:szCs w:val="20"/>
                <w:color w:val="auto"/>
              </w:rPr>
            </w:pPr>
            <w:r>
              <w:rPr>
                <w:rFonts w:ascii="Arial" w:cs="Arial" w:eastAsia="Arial" w:hAnsi="Arial"/>
                <w:sz w:val="14"/>
                <w:szCs w:val="14"/>
                <w:color w:val="auto"/>
                <w:w w:val="99"/>
              </w:rPr>
              <w:t>—</w:t>
            </w:r>
          </w:p>
        </w:tc>
        <w:tc>
          <w:tcPr>
            <w:tcW w:w="1900" w:type="dxa"/>
            <w:vAlign w:val="bottom"/>
          </w:tcPr>
          <w:p>
            <w:pPr>
              <w:jc w:val="center"/>
              <w:ind w:left="51"/>
              <w:spacing w:after="0" w:line="156"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3"/>
                <w:szCs w:val="13"/>
                <w:color w:val="auto"/>
              </w:rPr>
            </w:pPr>
          </w:p>
        </w:tc>
      </w:tr>
      <w:tr>
        <w:trPr>
          <w:trHeight w:val="156"/>
        </w:trPr>
        <w:tc>
          <w:tcPr>
            <w:tcW w:w="2120" w:type="dxa"/>
            <w:vAlign w:val="bottom"/>
            <w:tcBorders>
              <w:right w:val="single" w:sz="8" w:color="auto"/>
            </w:tcBorders>
            <w:shd w:val="clear" w:color="auto" w:fill="F7AB6C"/>
          </w:tcPr>
          <w:p>
            <w:pPr>
              <w:spacing w:after="0"/>
              <w:rPr>
                <w:sz w:val="13"/>
                <w:szCs w:val="13"/>
                <w:color w:val="auto"/>
              </w:rPr>
            </w:pPr>
          </w:p>
        </w:tc>
        <w:tc>
          <w:tcPr>
            <w:tcW w:w="1240" w:type="dxa"/>
            <w:vAlign w:val="bottom"/>
          </w:tcPr>
          <w:p>
            <w:pPr>
              <w:jc w:val="right"/>
              <w:spacing w:after="0" w:line="156" w:lineRule="exact"/>
              <w:rPr>
                <w:sz w:val="20"/>
                <w:szCs w:val="20"/>
                <w:color w:val="auto"/>
              </w:rPr>
            </w:pPr>
            <w:r>
              <w:rPr>
                <w:rFonts w:ascii="Arial" w:cs="Arial" w:eastAsia="Arial" w:hAnsi="Arial"/>
                <w:sz w:val="14"/>
                <w:szCs w:val="14"/>
                <w:color w:val="auto"/>
              </w:rPr>
              <w:t>12,338</w:t>
            </w:r>
          </w:p>
        </w:tc>
        <w:tc>
          <w:tcPr>
            <w:tcW w:w="880" w:type="dxa"/>
            <w:vAlign w:val="bottom"/>
            <w:tcBorders>
              <w:right w:val="single" w:sz="8" w:color="auto"/>
            </w:tcBorders>
          </w:tcPr>
          <w:p>
            <w:pPr>
              <w:jc w:val="right"/>
              <w:ind w:right="668"/>
              <w:spacing w:after="0"/>
              <w:rPr>
                <w:sz w:val="20"/>
                <w:szCs w:val="20"/>
                <w:color w:val="auto"/>
              </w:rPr>
            </w:pPr>
            <w:r>
              <w:rPr>
                <w:rFonts w:ascii="Arial" w:cs="Arial" w:eastAsia="Arial" w:hAnsi="Arial"/>
                <w:sz w:val="10"/>
                <w:szCs w:val="10"/>
                <w:i w:val="1"/>
                <w:iCs w:val="1"/>
                <w:color w:val="auto"/>
              </w:rPr>
              <w:t>(4)</w:t>
            </w:r>
          </w:p>
        </w:tc>
        <w:tc>
          <w:tcPr>
            <w:tcW w:w="2180" w:type="dxa"/>
            <w:vAlign w:val="bottom"/>
            <w:tcBorders>
              <w:right w:val="single" w:sz="8" w:color="auto"/>
            </w:tcBorders>
          </w:tcPr>
          <w:p>
            <w:pPr>
              <w:jc w:val="right"/>
              <w:ind w:right="691"/>
              <w:spacing w:after="0" w:line="156" w:lineRule="exact"/>
              <w:rPr>
                <w:sz w:val="20"/>
                <w:szCs w:val="20"/>
                <w:color w:val="auto"/>
              </w:rPr>
            </w:pPr>
            <w:r>
              <w:rPr>
                <w:rFonts w:ascii="Arial" w:cs="Arial" w:eastAsia="Arial" w:hAnsi="Arial"/>
                <w:sz w:val="14"/>
                <w:szCs w:val="14"/>
                <w:color w:val="auto"/>
              </w:rPr>
              <w:t>$597,629</w:t>
            </w:r>
          </w:p>
        </w:tc>
        <w:tc>
          <w:tcPr>
            <w:tcW w:w="1660" w:type="dxa"/>
            <w:vAlign w:val="bottom"/>
            <w:tcBorders>
              <w:right w:val="single" w:sz="8" w:color="auto"/>
            </w:tcBorders>
          </w:tcPr>
          <w:p>
            <w:pPr>
              <w:jc w:val="center"/>
              <w:ind w:left="11"/>
              <w:spacing w:after="0" w:line="156" w:lineRule="exact"/>
              <w:rPr>
                <w:sz w:val="20"/>
                <w:szCs w:val="20"/>
                <w:color w:val="auto"/>
              </w:rPr>
            </w:pPr>
            <w:r>
              <w:rPr>
                <w:rFonts w:ascii="Arial" w:cs="Arial" w:eastAsia="Arial" w:hAnsi="Arial"/>
                <w:sz w:val="14"/>
                <w:szCs w:val="14"/>
                <w:color w:val="auto"/>
                <w:w w:val="99"/>
              </w:rPr>
              <w:t>—</w:t>
            </w:r>
          </w:p>
        </w:tc>
        <w:tc>
          <w:tcPr>
            <w:tcW w:w="1900" w:type="dxa"/>
            <w:vAlign w:val="bottom"/>
          </w:tcPr>
          <w:p>
            <w:pPr>
              <w:jc w:val="center"/>
              <w:ind w:left="51"/>
              <w:spacing w:after="0" w:line="156"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3"/>
                <w:szCs w:val="13"/>
                <w:color w:val="auto"/>
              </w:rPr>
            </w:pPr>
          </w:p>
        </w:tc>
      </w:tr>
      <w:tr>
        <w:trPr>
          <w:trHeight w:val="232"/>
        </w:trPr>
        <w:tc>
          <w:tcPr>
            <w:tcW w:w="2120" w:type="dxa"/>
            <w:vAlign w:val="bottom"/>
            <w:tcBorders>
              <w:bottom w:val="single" w:sz="8" w:color="F7AB6C"/>
              <w:right w:val="single" w:sz="8" w:color="auto"/>
            </w:tcBorders>
            <w:shd w:val="clear" w:color="auto" w:fill="F7AB6C"/>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14,280</w:t>
            </w:r>
          </w:p>
        </w:tc>
        <w:tc>
          <w:tcPr>
            <w:tcW w:w="880" w:type="dxa"/>
            <w:vAlign w:val="bottom"/>
            <w:tcBorders>
              <w:right w:val="single" w:sz="8" w:color="auto"/>
            </w:tcBorders>
          </w:tcPr>
          <w:p>
            <w:pPr>
              <w:jc w:val="right"/>
              <w:ind w:right="668"/>
              <w:spacing w:after="0"/>
              <w:rPr>
                <w:sz w:val="20"/>
                <w:szCs w:val="20"/>
                <w:color w:val="auto"/>
              </w:rPr>
            </w:pPr>
            <w:r>
              <w:rPr>
                <w:rFonts w:ascii="Arial" w:cs="Arial" w:eastAsia="Arial" w:hAnsi="Arial"/>
                <w:sz w:val="10"/>
                <w:szCs w:val="10"/>
                <w:i w:val="1"/>
                <w:iCs w:val="1"/>
                <w:color w:val="auto"/>
              </w:rPr>
              <w:t>(5)</w:t>
            </w:r>
          </w:p>
        </w:tc>
        <w:tc>
          <w:tcPr>
            <w:tcW w:w="2180" w:type="dxa"/>
            <w:vAlign w:val="bottom"/>
            <w:tcBorders>
              <w:right w:val="single" w:sz="8" w:color="auto"/>
            </w:tcBorders>
          </w:tcPr>
          <w:p>
            <w:pPr>
              <w:jc w:val="right"/>
              <w:ind w:right="691"/>
              <w:spacing w:after="0"/>
              <w:rPr>
                <w:sz w:val="20"/>
                <w:szCs w:val="20"/>
                <w:color w:val="auto"/>
              </w:rPr>
            </w:pPr>
            <w:r>
              <w:rPr>
                <w:rFonts w:ascii="Arial" w:cs="Arial" w:eastAsia="Arial" w:hAnsi="Arial"/>
                <w:sz w:val="14"/>
                <w:szCs w:val="14"/>
                <w:color w:val="auto"/>
              </w:rPr>
              <w:t>$691,723</w:t>
            </w:r>
          </w:p>
        </w:tc>
        <w:tc>
          <w:tcPr>
            <w:tcW w:w="1660" w:type="dxa"/>
            <w:vAlign w:val="bottom"/>
            <w:tcBorders>
              <w:right w:val="single" w:sz="8" w:color="auto"/>
            </w:tcBorders>
          </w:tcPr>
          <w:p>
            <w:pPr>
              <w:jc w:val="center"/>
              <w:ind w:left="11"/>
              <w:spacing w:after="0"/>
              <w:rPr>
                <w:sz w:val="20"/>
                <w:szCs w:val="20"/>
                <w:color w:val="auto"/>
              </w:rPr>
            </w:pPr>
            <w:r>
              <w:rPr>
                <w:rFonts w:ascii="Arial" w:cs="Arial" w:eastAsia="Arial" w:hAnsi="Arial"/>
                <w:sz w:val="14"/>
                <w:szCs w:val="14"/>
                <w:color w:val="auto"/>
                <w:w w:val="99"/>
              </w:rPr>
              <w:t>—</w:t>
            </w:r>
          </w:p>
        </w:tc>
        <w:tc>
          <w:tcPr>
            <w:tcW w:w="190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20"/>
                <w:szCs w:val="20"/>
                <w:color w:val="auto"/>
              </w:rPr>
            </w:pPr>
          </w:p>
        </w:tc>
      </w:tr>
      <w:tr>
        <w:trPr>
          <w:trHeight w:val="201"/>
        </w:trPr>
        <w:tc>
          <w:tcPr>
            <w:tcW w:w="2120" w:type="dxa"/>
            <w:vAlign w:val="bottom"/>
            <w:tcBorders>
              <w:top w:val="single" w:sz="8" w:color="auto"/>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Robert B. Hevert</w:t>
            </w:r>
          </w:p>
        </w:tc>
        <w:tc>
          <w:tcPr>
            <w:tcW w:w="2120" w:type="dxa"/>
            <w:vAlign w:val="bottom"/>
            <w:tcBorders>
              <w:top w:val="single" w:sz="8" w:color="auto"/>
              <w:right w:val="single" w:sz="8" w:color="auto"/>
            </w:tcBorders>
            <w:gridSpan w:val="2"/>
          </w:tcPr>
          <w:p>
            <w:pPr>
              <w:jc w:val="right"/>
              <w:ind w:right="668"/>
              <w:spacing w:after="0" w:line="201" w:lineRule="exact"/>
              <w:rPr>
                <w:sz w:val="20"/>
                <w:szCs w:val="20"/>
                <w:color w:val="auto"/>
              </w:rPr>
            </w:pPr>
            <w:r>
              <w:rPr>
                <w:rFonts w:ascii="Arial" w:cs="Arial" w:eastAsia="Arial" w:hAnsi="Arial"/>
                <w:sz w:val="14"/>
                <w:szCs w:val="14"/>
                <w:color w:val="auto"/>
              </w:rPr>
              <w:t xml:space="preserve">793 </w:t>
            </w:r>
            <w:r>
              <w:rPr>
                <w:rFonts w:ascii="Arial" w:cs="Arial" w:eastAsia="Arial" w:hAnsi="Arial"/>
                <w:sz w:val="20"/>
                <w:szCs w:val="20"/>
                <w:i w:val="1"/>
                <w:iCs w:val="1"/>
                <w:color w:val="auto"/>
                <w:vertAlign w:val="superscript"/>
              </w:rPr>
              <w:t>(2)</w:t>
            </w:r>
          </w:p>
        </w:tc>
        <w:tc>
          <w:tcPr>
            <w:tcW w:w="2180" w:type="dxa"/>
            <w:vAlign w:val="bottom"/>
            <w:tcBorders>
              <w:top w:val="single" w:sz="8" w:color="auto"/>
              <w:right w:val="single" w:sz="8" w:color="auto"/>
            </w:tcBorders>
          </w:tcPr>
          <w:p>
            <w:pPr>
              <w:jc w:val="right"/>
              <w:ind w:right="691"/>
              <w:spacing w:after="0"/>
              <w:rPr>
                <w:sz w:val="20"/>
                <w:szCs w:val="20"/>
                <w:color w:val="auto"/>
              </w:rPr>
            </w:pPr>
            <w:r>
              <w:rPr>
                <w:rFonts w:ascii="Arial" w:cs="Arial" w:eastAsia="Arial" w:hAnsi="Arial"/>
                <w:sz w:val="14"/>
                <w:szCs w:val="14"/>
                <w:color w:val="auto"/>
              </w:rPr>
              <w:t>$38,389</w:t>
            </w:r>
          </w:p>
        </w:tc>
        <w:tc>
          <w:tcPr>
            <w:tcW w:w="1660" w:type="dxa"/>
            <w:vAlign w:val="bottom"/>
            <w:tcBorders>
              <w:top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w w:val="99"/>
              </w:rPr>
              <w:t>—</w:t>
            </w:r>
          </w:p>
        </w:tc>
        <w:tc>
          <w:tcPr>
            <w:tcW w:w="1900" w:type="dxa"/>
            <w:vAlign w:val="bottom"/>
            <w:tcBorders>
              <w:top w:val="single" w:sz="8" w:color="auto"/>
            </w:tcBorders>
          </w:tcPr>
          <w:p>
            <w:pPr>
              <w:jc w:val="center"/>
              <w:ind w:left="51"/>
              <w:spacing w:after="0"/>
              <w:rPr>
                <w:sz w:val="20"/>
                <w:szCs w:val="20"/>
                <w:color w:val="auto"/>
              </w:rPr>
            </w:pPr>
            <w:r>
              <w:rPr>
                <w:rFonts w:ascii="Arial" w:cs="Arial" w:eastAsia="Arial" w:hAnsi="Arial"/>
                <w:sz w:val="14"/>
                <w:szCs w:val="14"/>
                <w:color w:val="auto"/>
                <w:w w:val="99"/>
              </w:rPr>
              <w:t>—</w:t>
            </w:r>
          </w:p>
        </w:tc>
        <w:tc>
          <w:tcPr>
            <w:tcW w:w="20" w:type="dxa"/>
            <w:vAlign w:val="bottom"/>
            <w:tcBorders>
              <w:top w:val="single" w:sz="8" w:color="auto"/>
            </w:tcBorders>
          </w:tcPr>
          <w:p>
            <w:pPr>
              <w:spacing w:after="0"/>
              <w:rPr>
                <w:sz w:val="17"/>
                <w:szCs w:val="17"/>
                <w:color w:val="auto"/>
              </w:rPr>
            </w:pPr>
          </w:p>
        </w:tc>
      </w:tr>
      <w:tr>
        <w:trPr>
          <w:trHeight w:val="156"/>
        </w:trPr>
        <w:tc>
          <w:tcPr>
            <w:tcW w:w="2120" w:type="dxa"/>
            <w:vAlign w:val="bottom"/>
            <w:tcBorders>
              <w:right w:val="single" w:sz="8" w:color="auto"/>
            </w:tcBorders>
            <w:shd w:val="clear" w:color="auto" w:fill="F7AB6C"/>
          </w:tcPr>
          <w:p>
            <w:pPr>
              <w:spacing w:after="0"/>
              <w:rPr>
                <w:sz w:val="13"/>
                <w:szCs w:val="13"/>
                <w:color w:val="auto"/>
              </w:rPr>
            </w:pPr>
          </w:p>
        </w:tc>
        <w:tc>
          <w:tcPr>
            <w:tcW w:w="1240" w:type="dxa"/>
            <w:vAlign w:val="bottom"/>
          </w:tcPr>
          <w:p>
            <w:pPr>
              <w:jc w:val="right"/>
              <w:spacing w:after="0" w:line="156" w:lineRule="exact"/>
              <w:rPr>
                <w:sz w:val="20"/>
                <w:szCs w:val="20"/>
                <w:color w:val="auto"/>
              </w:rPr>
            </w:pPr>
            <w:r>
              <w:rPr>
                <w:rFonts w:ascii="Arial" w:cs="Arial" w:eastAsia="Arial" w:hAnsi="Arial"/>
                <w:sz w:val="14"/>
                <w:szCs w:val="14"/>
                <w:color w:val="auto"/>
              </w:rPr>
              <w:t>3,030</w:t>
            </w:r>
          </w:p>
        </w:tc>
        <w:tc>
          <w:tcPr>
            <w:tcW w:w="880" w:type="dxa"/>
            <w:vAlign w:val="bottom"/>
            <w:tcBorders>
              <w:right w:val="single" w:sz="8" w:color="auto"/>
            </w:tcBorders>
          </w:tcPr>
          <w:p>
            <w:pPr>
              <w:jc w:val="right"/>
              <w:ind w:right="668"/>
              <w:spacing w:after="0"/>
              <w:rPr>
                <w:sz w:val="20"/>
                <w:szCs w:val="20"/>
                <w:color w:val="auto"/>
              </w:rPr>
            </w:pPr>
            <w:r>
              <w:rPr>
                <w:rFonts w:ascii="Arial" w:cs="Arial" w:eastAsia="Arial" w:hAnsi="Arial"/>
                <w:sz w:val="10"/>
                <w:szCs w:val="10"/>
                <w:i w:val="1"/>
                <w:iCs w:val="1"/>
                <w:color w:val="auto"/>
              </w:rPr>
              <w:t>(3)</w:t>
            </w:r>
          </w:p>
        </w:tc>
        <w:tc>
          <w:tcPr>
            <w:tcW w:w="2180" w:type="dxa"/>
            <w:vAlign w:val="bottom"/>
            <w:tcBorders>
              <w:right w:val="single" w:sz="8" w:color="auto"/>
            </w:tcBorders>
          </w:tcPr>
          <w:p>
            <w:pPr>
              <w:jc w:val="right"/>
              <w:ind w:right="691"/>
              <w:spacing w:after="0" w:line="156" w:lineRule="exact"/>
              <w:rPr>
                <w:sz w:val="20"/>
                <w:szCs w:val="20"/>
                <w:color w:val="auto"/>
              </w:rPr>
            </w:pPr>
            <w:r>
              <w:rPr>
                <w:rFonts w:ascii="Arial" w:cs="Arial" w:eastAsia="Arial" w:hAnsi="Arial"/>
                <w:sz w:val="14"/>
                <w:szCs w:val="14"/>
                <w:color w:val="auto"/>
              </w:rPr>
              <w:t>$146,773</w:t>
            </w:r>
          </w:p>
        </w:tc>
        <w:tc>
          <w:tcPr>
            <w:tcW w:w="1660" w:type="dxa"/>
            <w:vAlign w:val="bottom"/>
            <w:tcBorders>
              <w:right w:val="single" w:sz="8" w:color="auto"/>
            </w:tcBorders>
          </w:tcPr>
          <w:p>
            <w:pPr>
              <w:jc w:val="center"/>
              <w:ind w:left="11"/>
              <w:spacing w:after="0" w:line="156" w:lineRule="exact"/>
              <w:rPr>
                <w:sz w:val="20"/>
                <w:szCs w:val="20"/>
                <w:color w:val="auto"/>
              </w:rPr>
            </w:pPr>
            <w:r>
              <w:rPr>
                <w:rFonts w:ascii="Arial" w:cs="Arial" w:eastAsia="Arial" w:hAnsi="Arial"/>
                <w:sz w:val="14"/>
                <w:szCs w:val="14"/>
                <w:color w:val="auto"/>
                <w:w w:val="99"/>
              </w:rPr>
              <w:t>—</w:t>
            </w:r>
          </w:p>
        </w:tc>
        <w:tc>
          <w:tcPr>
            <w:tcW w:w="1900" w:type="dxa"/>
            <w:vAlign w:val="bottom"/>
          </w:tcPr>
          <w:p>
            <w:pPr>
              <w:jc w:val="center"/>
              <w:ind w:left="51"/>
              <w:spacing w:after="0" w:line="156"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3"/>
                <w:szCs w:val="13"/>
                <w:color w:val="auto"/>
              </w:rPr>
            </w:pPr>
          </w:p>
        </w:tc>
      </w:tr>
      <w:tr>
        <w:trPr>
          <w:trHeight w:val="171"/>
        </w:trPr>
        <w:tc>
          <w:tcPr>
            <w:tcW w:w="2120" w:type="dxa"/>
            <w:vAlign w:val="bottom"/>
            <w:tcBorders>
              <w:right w:val="single" w:sz="8" w:color="auto"/>
            </w:tcBorders>
            <w:shd w:val="clear" w:color="auto" w:fill="F7AB6C"/>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5,583</w:t>
            </w:r>
          </w:p>
        </w:tc>
        <w:tc>
          <w:tcPr>
            <w:tcW w:w="880" w:type="dxa"/>
            <w:vAlign w:val="bottom"/>
            <w:tcBorders>
              <w:right w:val="single" w:sz="8" w:color="auto"/>
            </w:tcBorders>
          </w:tcPr>
          <w:p>
            <w:pPr>
              <w:jc w:val="right"/>
              <w:ind w:right="668"/>
              <w:spacing w:after="0"/>
              <w:rPr>
                <w:sz w:val="20"/>
                <w:szCs w:val="20"/>
                <w:color w:val="auto"/>
              </w:rPr>
            </w:pPr>
            <w:r>
              <w:rPr>
                <w:rFonts w:ascii="Arial" w:cs="Arial" w:eastAsia="Arial" w:hAnsi="Arial"/>
                <w:sz w:val="10"/>
                <w:szCs w:val="10"/>
                <w:i w:val="1"/>
                <w:iCs w:val="1"/>
                <w:color w:val="auto"/>
              </w:rPr>
              <w:t>(4)</w:t>
            </w:r>
          </w:p>
        </w:tc>
        <w:tc>
          <w:tcPr>
            <w:tcW w:w="2180" w:type="dxa"/>
            <w:vAlign w:val="bottom"/>
            <w:tcBorders>
              <w:right w:val="single" w:sz="8" w:color="auto"/>
            </w:tcBorders>
          </w:tcPr>
          <w:p>
            <w:pPr>
              <w:jc w:val="right"/>
              <w:ind w:right="691"/>
              <w:spacing w:after="0"/>
              <w:rPr>
                <w:sz w:val="20"/>
                <w:szCs w:val="20"/>
                <w:color w:val="auto"/>
              </w:rPr>
            </w:pPr>
            <w:r>
              <w:rPr>
                <w:rFonts w:ascii="Arial" w:cs="Arial" w:eastAsia="Arial" w:hAnsi="Arial"/>
                <w:sz w:val="14"/>
                <w:szCs w:val="14"/>
                <w:color w:val="auto"/>
              </w:rPr>
              <w:t>$270,416</w:t>
            </w:r>
          </w:p>
        </w:tc>
        <w:tc>
          <w:tcPr>
            <w:tcW w:w="1660" w:type="dxa"/>
            <w:vAlign w:val="bottom"/>
            <w:tcBorders>
              <w:right w:val="single" w:sz="8" w:color="auto"/>
            </w:tcBorders>
          </w:tcPr>
          <w:p>
            <w:pPr>
              <w:jc w:val="center"/>
              <w:ind w:left="11"/>
              <w:spacing w:after="0"/>
              <w:rPr>
                <w:sz w:val="20"/>
                <w:szCs w:val="20"/>
                <w:color w:val="auto"/>
              </w:rPr>
            </w:pPr>
            <w:r>
              <w:rPr>
                <w:rFonts w:ascii="Arial" w:cs="Arial" w:eastAsia="Arial" w:hAnsi="Arial"/>
                <w:sz w:val="14"/>
                <w:szCs w:val="14"/>
                <w:color w:val="auto"/>
                <w:w w:val="99"/>
              </w:rPr>
              <w:t>—</w:t>
            </w:r>
          </w:p>
        </w:tc>
        <w:tc>
          <w:tcPr>
            <w:tcW w:w="190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4"/>
                <w:szCs w:val="14"/>
                <w:color w:val="auto"/>
              </w:rPr>
            </w:pPr>
          </w:p>
        </w:tc>
      </w:tr>
      <w:tr>
        <w:trPr>
          <w:trHeight w:val="232"/>
        </w:trPr>
        <w:tc>
          <w:tcPr>
            <w:tcW w:w="2120" w:type="dxa"/>
            <w:vAlign w:val="bottom"/>
            <w:tcBorders>
              <w:bottom w:val="single" w:sz="8" w:color="F7AB6C"/>
              <w:right w:val="single" w:sz="8" w:color="auto"/>
            </w:tcBorders>
            <w:shd w:val="clear" w:color="auto" w:fill="F7AB6C"/>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6,620</w:t>
            </w:r>
          </w:p>
        </w:tc>
        <w:tc>
          <w:tcPr>
            <w:tcW w:w="880" w:type="dxa"/>
            <w:vAlign w:val="bottom"/>
            <w:tcBorders>
              <w:right w:val="single" w:sz="8" w:color="auto"/>
            </w:tcBorders>
          </w:tcPr>
          <w:p>
            <w:pPr>
              <w:jc w:val="right"/>
              <w:ind w:right="668"/>
              <w:spacing w:after="0"/>
              <w:rPr>
                <w:sz w:val="20"/>
                <w:szCs w:val="20"/>
                <w:color w:val="auto"/>
              </w:rPr>
            </w:pPr>
            <w:r>
              <w:rPr>
                <w:rFonts w:ascii="Arial" w:cs="Arial" w:eastAsia="Arial" w:hAnsi="Arial"/>
                <w:sz w:val="10"/>
                <w:szCs w:val="10"/>
                <w:i w:val="1"/>
                <w:iCs w:val="1"/>
                <w:color w:val="auto"/>
              </w:rPr>
              <w:t>(5)</w:t>
            </w:r>
          </w:p>
        </w:tc>
        <w:tc>
          <w:tcPr>
            <w:tcW w:w="2180" w:type="dxa"/>
            <w:vAlign w:val="bottom"/>
            <w:tcBorders>
              <w:right w:val="single" w:sz="8" w:color="auto"/>
            </w:tcBorders>
          </w:tcPr>
          <w:p>
            <w:pPr>
              <w:jc w:val="right"/>
              <w:ind w:right="691"/>
              <w:spacing w:after="0"/>
              <w:rPr>
                <w:sz w:val="20"/>
                <w:szCs w:val="20"/>
                <w:color w:val="auto"/>
              </w:rPr>
            </w:pPr>
            <w:r>
              <w:rPr>
                <w:rFonts w:ascii="Arial" w:cs="Arial" w:eastAsia="Arial" w:hAnsi="Arial"/>
                <w:sz w:val="14"/>
                <w:szCs w:val="14"/>
                <w:color w:val="auto"/>
              </w:rPr>
              <w:t>$320,673</w:t>
            </w:r>
          </w:p>
        </w:tc>
        <w:tc>
          <w:tcPr>
            <w:tcW w:w="166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1"/>
        </w:trPr>
        <w:tc>
          <w:tcPr>
            <w:tcW w:w="2120" w:type="dxa"/>
            <w:vAlign w:val="bottom"/>
            <w:tcBorders>
              <w:top w:val="single" w:sz="8" w:color="auto"/>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Daniel J. Hurstak</w:t>
            </w:r>
          </w:p>
        </w:tc>
        <w:tc>
          <w:tcPr>
            <w:tcW w:w="2120" w:type="dxa"/>
            <w:vAlign w:val="bottom"/>
            <w:tcBorders>
              <w:top w:val="single" w:sz="8" w:color="auto"/>
              <w:right w:val="single" w:sz="8" w:color="auto"/>
            </w:tcBorders>
            <w:gridSpan w:val="2"/>
          </w:tcPr>
          <w:p>
            <w:pPr>
              <w:jc w:val="right"/>
              <w:ind w:right="668"/>
              <w:spacing w:after="0" w:line="201" w:lineRule="exact"/>
              <w:rPr>
                <w:sz w:val="20"/>
                <w:szCs w:val="20"/>
                <w:color w:val="auto"/>
              </w:rPr>
            </w:pPr>
            <w:r>
              <w:rPr>
                <w:rFonts w:ascii="Arial" w:cs="Arial" w:eastAsia="Arial" w:hAnsi="Arial"/>
                <w:sz w:val="14"/>
                <w:szCs w:val="14"/>
                <w:color w:val="auto"/>
              </w:rPr>
              <w:t xml:space="preserve">443 </w:t>
            </w:r>
            <w:r>
              <w:rPr>
                <w:rFonts w:ascii="Arial" w:cs="Arial" w:eastAsia="Arial" w:hAnsi="Arial"/>
                <w:sz w:val="20"/>
                <w:szCs w:val="20"/>
                <w:i w:val="1"/>
                <w:iCs w:val="1"/>
                <w:color w:val="auto"/>
                <w:vertAlign w:val="superscript"/>
              </w:rPr>
              <w:t>(2)</w:t>
            </w:r>
          </w:p>
        </w:tc>
        <w:tc>
          <w:tcPr>
            <w:tcW w:w="2180" w:type="dxa"/>
            <w:vAlign w:val="bottom"/>
            <w:tcBorders>
              <w:top w:val="single" w:sz="8" w:color="auto"/>
              <w:right w:val="single" w:sz="8" w:color="auto"/>
            </w:tcBorders>
          </w:tcPr>
          <w:p>
            <w:pPr>
              <w:jc w:val="right"/>
              <w:ind w:right="691"/>
              <w:spacing w:after="0"/>
              <w:rPr>
                <w:sz w:val="20"/>
                <w:szCs w:val="20"/>
                <w:color w:val="auto"/>
              </w:rPr>
            </w:pPr>
            <w:r>
              <w:rPr>
                <w:rFonts w:ascii="Arial" w:cs="Arial" w:eastAsia="Arial" w:hAnsi="Arial"/>
                <w:sz w:val="14"/>
                <w:szCs w:val="14"/>
                <w:color w:val="auto"/>
              </w:rPr>
              <w:t>$21,435</w:t>
            </w:r>
          </w:p>
        </w:tc>
        <w:tc>
          <w:tcPr>
            <w:tcW w:w="1660" w:type="dxa"/>
            <w:vAlign w:val="bottom"/>
            <w:tcBorders>
              <w:top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w w:val="99"/>
              </w:rPr>
              <w:t>—</w:t>
            </w:r>
          </w:p>
        </w:tc>
        <w:tc>
          <w:tcPr>
            <w:tcW w:w="1900" w:type="dxa"/>
            <w:vAlign w:val="bottom"/>
            <w:tcBorders>
              <w:top w:val="single" w:sz="8" w:color="auto"/>
            </w:tcBorders>
          </w:tcPr>
          <w:p>
            <w:pPr>
              <w:jc w:val="center"/>
              <w:ind w:left="51"/>
              <w:spacing w:after="0"/>
              <w:rPr>
                <w:sz w:val="20"/>
                <w:szCs w:val="20"/>
                <w:color w:val="auto"/>
              </w:rPr>
            </w:pPr>
            <w:r>
              <w:rPr>
                <w:rFonts w:ascii="Arial" w:cs="Arial" w:eastAsia="Arial" w:hAnsi="Arial"/>
                <w:sz w:val="14"/>
                <w:szCs w:val="14"/>
                <w:color w:val="auto"/>
                <w:w w:val="99"/>
              </w:rPr>
              <w:t>—</w:t>
            </w:r>
          </w:p>
        </w:tc>
        <w:tc>
          <w:tcPr>
            <w:tcW w:w="20" w:type="dxa"/>
            <w:vAlign w:val="bottom"/>
            <w:tcBorders>
              <w:top w:val="single" w:sz="8" w:color="auto"/>
            </w:tcBorders>
          </w:tcPr>
          <w:p>
            <w:pPr>
              <w:spacing w:after="0"/>
              <w:rPr>
                <w:sz w:val="17"/>
                <w:szCs w:val="17"/>
                <w:color w:val="auto"/>
              </w:rPr>
            </w:pPr>
          </w:p>
        </w:tc>
      </w:tr>
      <w:tr>
        <w:trPr>
          <w:trHeight w:val="156"/>
        </w:trPr>
        <w:tc>
          <w:tcPr>
            <w:tcW w:w="2120" w:type="dxa"/>
            <w:vAlign w:val="bottom"/>
            <w:tcBorders>
              <w:right w:val="single" w:sz="8" w:color="auto"/>
            </w:tcBorders>
            <w:shd w:val="clear" w:color="auto" w:fill="F7AB6C"/>
          </w:tcPr>
          <w:p>
            <w:pPr>
              <w:spacing w:after="0"/>
              <w:rPr>
                <w:sz w:val="13"/>
                <w:szCs w:val="13"/>
                <w:color w:val="auto"/>
              </w:rPr>
            </w:pPr>
          </w:p>
        </w:tc>
        <w:tc>
          <w:tcPr>
            <w:tcW w:w="1240" w:type="dxa"/>
            <w:vAlign w:val="bottom"/>
          </w:tcPr>
          <w:p>
            <w:pPr>
              <w:jc w:val="right"/>
              <w:spacing w:after="0" w:line="156" w:lineRule="exact"/>
              <w:rPr>
                <w:sz w:val="20"/>
                <w:szCs w:val="20"/>
                <w:color w:val="auto"/>
              </w:rPr>
            </w:pPr>
            <w:r>
              <w:rPr>
                <w:rFonts w:ascii="Arial" w:cs="Arial" w:eastAsia="Arial" w:hAnsi="Arial"/>
                <w:sz w:val="14"/>
                <w:szCs w:val="14"/>
                <w:color w:val="auto"/>
              </w:rPr>
              <w:t>1,455</w:t>
            </w:r>
          </w:p>
        </w:tc>
        <w:tc>
          <w:tcPr>
            <w:tcW w:w="880" w:type="dxa"/>
            <w:vAlign w:val="bottom"/>
            <w:tcBorders>
              <w:right w:val="single" w:sz="8" w:color="auto"/>
            </w:tcBorders>
          </w:tcPr>
          <w:p>
            <w:pPr>
              <w:jc w:val="right"/>
              <w:ind w:right="668"/>
              <w:spacing w:after="0"/>
              <w:rPr>
                <w:sz w:val="20"/>
                <w:szCs w:val="20"/>
                <w:color w:val="auto"/>
              </w:rPr>
            </w:pPr>
            <w:r>
              <w:rPr>
                <w:rFonts w:ascii="Arial" w:cs="Arial" w:eastAsia="Arial" w:hAnsi="Arial"/>
                <w:sz w:val="10"/>
                <w:szCs w:val="10"/>
                <w:i w:val="1"/>
                <w:iCs w:val="1"/>
                <w:color w:val="auto"/>
              </w:rPr>
              <w:t>(3)</w:t>
            </w:r>
          </w:p>
        </w:tc>
        <w:tc>
          <w:tcPr>
            <w:tcW w:w="2180" w:type="dxa"/>
            <w:vAlign w:val="bottom"/>
            <w:tcBorders>
              <w:right w:val="single" w:sz="8" w:color="auto"/>
            </w:tcBorders>
          </w:tcPr>
          <w:p>
            <w:pPr>
              <w:jc w:val="right"/>
              <w:ind w:right="691"/>
              <w:spacing w:after="0" w:line="156" w:lineRule="exact"/>
              <w:rPr>
                <w:sz w:val="20"/>
                <w:szCs w:val="20"/>
                <w:color w:val="auto"/>
              </w:rPr>
            </w:pPr>
            <w:r>
              <w:rPr>
                <w:rFonts w:ascii="Arial" w:cs="Arial" w:eastAsia="Arial" w:hAnsi="Arial"/>
                <w:sz w:val="14"/>
                <w:szCs w:val="14"/>
                <w:color w:val="auto"/>
              </w:rPr>
              <w:t>$70,480</w:t>
            </w:r>
          </w:p>
        </w:tc>
        <w:tc>
          <w:tcPr>
            <w:tcW w:w="1660" w:type="dxa"/>
            <w:vAlign w:val="bottom"/>
            <w:tcBorders>
              <w:right w:val="single" w:sz="8" w:color="auto"/>
            </w:tcBorders>
          </w:tcPr>
          <w:p>
            <w:pPr>
              <w:jc w:val="center"/>
              <w:ind w:left="11"/>
              <w:spacing w:after="0" w:line="156" w:lineRule="exact"/>
              <w:rPr>
                <w:sz w:val="20"/>
                <w:szCs w:val="20"/>
                <w:color w:val="auto"/>
              </w:rPr>
            </w:pPr>
            <w:r>
              <w:rPr>
                <w:rFonts w:ascii="Arial" w:cs="Arial" w:eastAsia="Arial" w:hAnsi="Arial"/>
                <w:sz w:val="14"/>
                <w:szCs w:val="14"/>
                <w:color w:val="auto"/>
                <w:w w:val="99"/>
              </w:rPr>
              <w:t>—</w:t>
            </w:r>
          </w:p>
        </w:tc>
        <w:tc>
          <w:tcPr>
            <w:tcW w:w="1900" w:type="dxa"/>
            <w:vAlign w:val="bottom"/>
          </w:tcPr>
          <w:p>
            <w:pPr>
              <w:jc w:val="center"/>
              <w:ind w:left="51"/>
              <w:spacing w:after="0" w:line="156"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3"/>
                <w:szCs w:val="13"/>
                <w:color w:val="auto"/>
              </w:rPr>
            </w:pPr>
          </w:p>
        </w:tc>
      </w:tr>
      <w:tr>
        <w:trPr>
          <w:trHeight w:val="171"/>
        </w:trPr>
        <w:tc>
          <w:tcPr>
            <w:tcW w:w="2120" w:type="dxa"/>
            <w:vAlign w:val="bottom"/>
            <w:tcBorders>
              <w:right w:val="single" w:sz="8" w:color="auto"/>
            </w:tcBorders>
            <w:shd w:val="clear" w:color="auto" w:fill="F7AB6C"/>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3,658</w:t>
            </w:r>
          </w:p>
        </w:tc>
        <w:tc>
          <w:tcPr>
            <w:tcW w:w="880" w:type="dxa"/>
            <w:vAlign w:val="bottom"/>
            <w:tcBorders>
              <w:right w:val="single" w:sz="8" w:color="auto"/>
            </w:tcBorders>
          </w:tcPr>
          <w:p>
            <w:pPr>
              <w:jc w:val="right"/>
              <w:ind w:right="668"/>
              <w:spacing w:after="0"/>
              <w:rPr>
                <w:sz w:val="20"/>
                <w:szCs w:val="20"/>
                <w:color w:val="auto"/>
              </w:rPr>
            </w:pPr>
            <w:r>
              <w:rPr>
                <w:rFonts w:ascii="Arial" w:cs="Arial" w:eastAsia="Arial" w:hAnsi="Arial"/>
                <w:sz w:val="10"/>
                <w:szCs w:val="10"/>
                <w:i w:val="1"/>
                <w:iCs w:val="1"/>
                <w:color w:val="auto"/>
              </w:rPr>
              <w:t>(4)</w:t>
            </w:r>
          </w:p>
        </w:tc>
        <w:tc>
          <w:tcPr>
            <w:tcW w:w="2180" w:type="dxa"/>
            <w:vAlign w:val="bottom"/>
            <w:tcBorders>
              <w:right w:val="single" w:sz="8" w:color="auto"/>
            </w:tcBorders>
          </w:tcPr>
          <w:p>
            <w:pPr>
              <w:jc w:val="right"/>
              <w:ind w:right="691"/>
              <w:spacing w:after="0"/>
              <w:rPr>
                <w:sz w:val="20"/>
                <w:szCs w:val="20"/>
                <w:color w:val="auto"/>
              </w:rPr>
            </w:pPr>
            <w:r>
              <w:rPr>
                <w:rFonts w:ascii="Arial" w:cs="Arial" w:eastAsia="Arial" w:hAnsi="Arial"/>
                <w:sz w:val="14"/>
                <w:szCs w:val="14"/>
                <w:color w:val="auto"/>
              </w:rPr>
              <w:t>$177,169</w:t>
            </w:r>
          </w:p>
        </w:tc>
        <w:tc>
          <w:tcPr>
            <w:tcW w:w="1660" w:type="dxa"/>
            <w:vAlign w:val="bottom"/>
            <w:tcBorders>
              <w:right w:val="single" w:sz="8" w:color="auto"/>
            </w:tcBorders>
          </w:tcPr>
          <w:p>
            <w:pPr>
              <w:jc w:val="center"/>
              <w:ind w:left="11"/>
              <w:spacing w:after="0"/>
              <w:rPr>
                <w:sz w:val="20"/>
                <w:szCs w:val="20"/>
                <w:color w:val="auto"/>
              </w:rPr>
            </w:pPr>
            <w:r>
              <w:rPr>
                <w:rFonts w:ascii="Arial" w:cs="Arial" w:eastAsia="Arial" w:hAnsi="Arial"/>
                <w:sz w:val="14"/>
                <w:szCs w:val="14"/>
                <w:color w:val="auto"/>
                <w:w w:val="99"/>
              </w:rPr>
              <w:t>—</w:t>
            </w:r>
          </w:p>
        </w:tc>
        <w:tc>
          <w:tcPr>
            <w:tcW w:w="190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4"/>
                <w:szCs w:val="14"/>
                <w:color w:val="auto"/>
              </w:rPr>
            </w:pPr>
          </w:p>
        </w:tc>
      </w:tr>
      <w:tr>
        <w:trPr>
          <w:trHeight w:val="232"/>
        </w:trPr>
        <w:tc>
          <w:tcPr>
            <w:tcW w:w="2120" w:type="dxa"/>
            <w:vAlign w:val="bottom"/>
            <w:tcBorders>
              <w:bottom w:val="single" w:sz="8" w:color="F7AB6C"/>
              <w:right w:val="single" w:sz="8" w:color="auto"/>
            </w:tcBorders>
            <w:shd w:val="clear" w:color="auto" w:fill="F7AB6C"/>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4,280</w:t>
            </w:r>
          </w:p>
        </w:tc>
        <w:tc>
          <w:tcPr>
            <w:tcW w:w="880" w:type="dxa"/>
            <w:vAlign w:val="bottom"/>
            <w:tcBorders>
              <w:right w:val="single" w:sz="8" w:color="auto"/>
            </w:tcBorders>
          </w:tcPr>
          <w:p>
            <w:pPr>
              <w:jc w:val="right"/>
              <w:ind w:right="668"/>
              <w:spacing w:after="0"/>
              <w:rPr>
                <w:sz w:val="20"/>
                <w:szCs w:val="20"/>
                <w:color w:val="auto"/>
              </w:rPr>
            </w:pPr>
            <w:r>
              <w:rPr>
                <w:rFonts w:ascii="Arial" w:cs="Arial" w:eastAsia="Arial" w:hAnsi="Arial"/>
                <w:sz w:val="10"/>
                <w:szCs w:val="10"/>
                <w:i w:val="1"/>
                <w:iCs w:val="1"/>
                <w:color w:val="auto"/>
              </w:rPr>
              <w:t>(5)</w:t>
            </w:r>
          </w:p>
        </w:tc>
        <w:tc>
          <w:tcPr>
            <w:tcW w:w="2180" w:type="dxa"/>
            <w:vAlign w:val="bottom"/>
            <w:tcBorders>
              <w:right w:val="single" w:sz="8" w:color="auto"/>
            </w:tcBorders>
          </w:tcPr>
          <w:p>
            <w:pPr>
              <w:jc w:val="right"/>
              <w:ind w:right="691"/>
              <w:spacing w:after="0"/>
              <w:rPr>
                <w:sz w:val="20"/>
                <w:szCs w:val="20"/>
                <w:color w:val="auto"/>
              </w:rPr>
            </w:pPr>
            <w:r>
              <w:rPr>
                <w:rFonts w:ascii="Arial" w:cs="Arial" w:eastAsia="Arial" w:hAnsi="Arial"/>
                <w:sz w:val="14"/>
                <w:szCs w:val="14"/>
                <w:color w:val="auto"/>
              </w:rPr>
              <w:t>$207,323</w:t>
            </w:r>
          </w:p>
        </w:tc>
        <w:tc>
          <w:tcPr>
            <w:tcW w:w="166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120" w:type="dxa"/>
            <w:vAlign w:val="bottom"/>
            <w:tcBorders>
              <w:top w:val="single" w:sz="8" w:color="auto"/>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Justin Eisfeller</w:t>
            </w:r>
          </w:p>
        </w:tc>
        <w:tc>
          <w:tcPr>
            <w:tcW w:w="2120" w:type="dxa"/>
            <w:vAlign w:val="bottom"/>
            <w:tcBorders>
              <w:top w:val="single" w:sz="8" w:color="auto"/>
              <w:right w:val="single" w:sz="8" w:color="auto"/>
            </w:tcBorders>
            <w:gridSpan w:val="2"/>
          </w:tcPr>
          <w:p>
            <w:pPr>
              <w:jc w:val="right"/>
              <w:ind w:right="668"/>
              <w:spacing w:after="0" w:line="216" w:lineRule="exact"/>
              <w:rPr>
                <w:sz w:val="20"/>
                <w:szCs w:val="20"/>
                <w:color w:val="auto"/>
              </w:rPr>
            </w:pPr>
            <w:r>
              <w:rPr>
                <w:rFonts w:ascii="Arial" w:cs="Arial" w:eastAsia="Arial" w:hAnsi="Arial"/>
                <w:sz w:val="14"/>
                <w:szCs w:val="14"/>
                <w:color w:val="auto"/>
              </w:rPr>
              <w:t xml:space="preserve">443 </w:t>
            </w:r>
            <w:r>
              <w:rPr>
                <w:rFonts w:ascii="Arial" w:cs="Arial" w:eastAsia="Arial" w:hAnsi="Arial"/>
                <w:sz w:val="20"/>
                <w:szCs w:val="20"/>
                <w:i w:val="1"/>
                <w:iCs w:val="1"/>
                <w:color w:val="auto"/>
                <w:vertAlign w:val="superscript"/>
              </w:rPr>
              <w:t>(2)</w:t>
            </w:r>
          </w:p>
        </w:tc>
        <w:tc>
          <w:tcPr>
            <w:tcW w:w="2180" w:type="dxa"/>
            <w:vAlign w:val="bottom"/>
            <w:tcBorders>
              <w:top w:val="single" w:sz="8" w:color="auto"/>
              <w:right w:val="single" w:sz="8" w:color="auto"/>
            </w:tcBorders>
          </w:tcPr>
          <w:p>
            <w:pPr>
              <w:jc w:val="right"/>
              <w:ind w:right="691"/>
              <w:spacing w:after="0"/>
              <w:rPr>
                <w:sz w:val="20"/>
                <w:szCs w:val="20"/>
                <w:color w:val="auto"/>
              </w:rPr>
            </w:pPr>
            <w:r>
              <w:rPr>
                <w:rFonts w:ascii="Arial" w:cs="Arial" w:eastAsia="Arial" w:hAnsi="Arial"/>
                <w:sz w:val="14"/>
                <w:szCs w:val="14"/>
                <w:color w:val="auto"/>
              </w:rPr>
              <w:t>$21,435</w:t>
            </w:r>
          </w:p>
        </w:tc>
        <w:tc>
          <w:tcPr>
            <w:tcW w:w="1660" w:type="dxa"/>
            <w:vAlign w:val="bottom"/>
            <w:tcBorders>
              <w:top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w w:val="99"/>
              </w:rPr>
              <w:t>—</w:t>
            </w:r>
          </w:p>
        </w:tc>
        <w:tc>
          <w:tcPr>
            <w:tcW w:w="1900" w:type="dxa"/>
            <w:vAlign w:val="bottom"/>
            <w:tcBorders>
              <w:top w:val="single" w:sz="8" w:color="auto"/>
            </w:tcBorders>
          </w:tcPr>
          <w:p>
            <w:pPr>
              <w:jc w:val="center"/>
              <w:ind w:left="51"/>
              <w:spacing w:after="0"/>
              <w:rPr>
                <w:sz w:val="20"/>
                <w:szCs w:val="20"/>
                <w:color w:val="auto"/>
              </w:rPr>
            </w:pPr>
            <w:r>
              <w:rPr>
                <w:rFonts w:ascii="Arial" w:cs="Arial" w:eastAsia="Arial" w:hAnsi="Arial"/>
                <w:sz w:val="14"/>
                <w:szCs w:val="14"/>
                <w:color w:val="auto"/>
                <w:w w:val="99"/>
              </w:rPr>
              <w:t>—</w:t>
            </w:r>
          </w:p>
        </w:tc>
        <w:tc>
          <w:tcPr>
            <w:tcW w:w="20" w:type="dxa"/>
            <w:vAlign w:val="bottom"/>
            <w:tcBorders>
              <w:top w:val="single" w:sz="8" w:color="auto"/>
            </w:tcBorders>
          </w:tcPr>
          <w:p>
            <w:pPr>
              <w:spacing w:after="0"/>
              <w:rPr>
                <w:sz w:val="18"/>
                <w:szCs w:val="18"/>
                <w:color w:val="auto"/>
              </w:rPr>
            </w:pPr>
          </w:p>
        </w:tc>
      </w:tr>
      <w:tr>
        <w:trPr>
          <w:trHeight w:val="156"/>
        </w:trPr>
        <w:tc>
          <w:tcPr>
            <w:tcW w:w="2120" w:type="dxa"/>
            <w:vAlign w:val="bottom"/>
            <w:tcBorders>
              <w:right w:val="single" w:sz="8" w:color="auto"/>
            </w:tcBorders>
            <w:shd w:val="clear" w:color="auto" w:fill="F7AB6C"/>
          </w:tcPr>
          <w:p>
            <w:pPr>
              <w:spacing w:after="0"/>
              <w:rPr>
                <w:sz w:val="13"/>
                <w:szCs w:val="13"/>
                <w:color w:val="auto"/>
              </w:rPr>
            </w:pPr>
          </w:p>
        </w:tc>
        <w:tc>
          <w:tcPr>
            <w:tcW w:w="1240" w:type="dxa"/>
            <w:vAlign w:val="bottom"/>
          </w:tcPr>
          <w:p>
            <w:pPr>
              <w:jc w:val="right"/>
              <w:spacing w:after="0" w:line="156" w:lineRule="exact"/>
              <w:rPr>
                <w:sz w:val="20"/>
                <w:szCs w:val="20"/>
                <w:color w:val="auto"/>
              </w:rPr>
            </w:pPr>
            <w:r>
              <w:rPr>
                <w:rFonts w:ascii="Arial" w:cs="Arial" w:eastAsia="Arial" w:hAnsi="Arial"/>
                <w:sz w:val="14"/>
                <w:szCs w:val="14"/>
                <w:color w:val="auto"/>
              </w:rPr>
              <w:t>1,455</w:t>
            </w:r>
          </w:p>
        </w:tc>
        <w:tc>
          <w:tcPr>
            <w:tcW w:w="880" w:type="dxa"/>
            <w:vAlign w:val="bottom"/>
            <w:tcBorders>
              <w:right w:val="single" w:sz="8" w:color="auto"/>
            </w:tcBorders>
          </w:tcPr>
          <w:p>
            <w:pPr>
              <w:jc w:val="right"/>
              <w:ind w:right="668"/>
              <w:spacing w:after="0"/>
              <w:rPr>
                <w:sz w:val="20"/>
                <w:szCs w:val="20"/>
                <w:color w:val="auto"/>
              </w:rPr>
            </w:pPr>
            <w:r>
              <w:rPr>
                <w:rFonts w:ascii="Arial" w:cs="Arial" w:eastAsia="Arial" w:hAnsi="Arial"/>
                <w:sz w:val="10"/>
                <w:szCs w:val="10"/>
                <w:i w:val="1"/>
                <w:iCs w:val="1"/>
                <w:color w:val="auto"/>
              </w:rPr>
              <w:t>(3)</w:t>
            </w:r>
          </w:p>
        </w:tc>
        <w:tc>
          <w:tcPr>
            <w:tcW w:w="2180" w:type="dxa"/>
            <w:vAlign w:val="bottom"/>
            <w:tcBorders>
              <w:right w:val="single" w:sz="8" w:color="auto"/>
            </w:tcBorders>
          </w:tcPr>
          <w:p>
            <w:pPr>
              <w:jc w:val="right"/>
              <w:ind w:right="691"/>
              <w:spacing w:after="0" w:line="156" w:lineRule="exact"/>
              <w:rPr>
                <w:sz w:val="20"/>
                <w:szCs w:val="20"/>
                <w:color w:val="auto"/>
              </w:rPr>
            </w:pPr>
            <w:r>
              <w:rPr>
                <w:rFonts w:ascii="Arial" w:cs="Arial" w:eastAsia="Arial" w:hAnsi="Arial"/>
                <w:sz w:val="14"/>
                <w:szCs w:val="14"/>
                <w:color w:val="auto"/>
              </w:rPr>
              <w:t>$70,040</w:t>
            </w:r>
          </w:p>
        </w:tc>
        <w:tc>
          <w:tcPr>
            <w:tcW w:w="1660" w:type="dxa"/>
            <w:vAlign w:val="bottom"/>
            <w:tcBorders>
              <w:right w:val="single" w:sz="8" w:color="auto"/>
            </w:tcBorders>
          </w:tcPr>
          <w:p>
            <w:pPr>
              <w:jc w:val="center"/>
              <w:ind w:left="11"/>
              <w:spacing w:after="0" w:line="156" w:lineRule="exact"/>
              <w:rPr>
                <w:sz w:val="20"/>
                <w:szCs w:val="20"/>
                <w:color w:val="auto"/>
              </w:rPr>
            </w:pPr>
            <w:r>
              <w:rPr>
                <w:rFonts w:ascii="Arial" w:cs="Arial" w:eastAsia="Arial" w:hAnsi="Arial"/>
                <w:sz w:val="14"/>
                <w:szCs w:val="14"/>
                <w:color w:val="auto"/>
                <w:w w:val="99"/>
              </w:rPr>
              <w:t>—</w:t>
            </w:r>
          </w:p>
        </w:tc>
        <w:tc>
          <w:tcPr>
            <w:tcW w:w="1900" w:type="dxa"/>
            <w:vAlign w:val="bottom"/>
          </w:tcPr>
          <w:p>
            <w:pPr>
              <w:jc w:val="center"/>
              <w:ind w:left="51"/>
              <w:spacing w:after="0" w:line="156"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3"/>
                <w:szCs w:val="13"/>
                <w:color w:val="auto"/>
              </w:rPr>
            </w:pPr>
          </w:p>
        </w:tc>
      </w:tr>
      <w:tr>
        <w:trPr>
          <w:trHeight w:val="156"/>
        </w:trPr>
        <w:tc>
          <w:tcPr>
            <w:tcW w:w="2120" w:type="dxa"/>
            <w:vAlign w:val="bottom"/>
            <w:tcBorders>
              <w:right w:val="single" w:sz="8" w:color="auto"/>
            </w:tcBorders>
            <w:shd w:val="clear" w:color="auto" w:fill="F7AB6C"/>
          </w:tcPr>
          <w:p>
            <w:pPr>
              <w:spacing w:after="0"/>
              <w:rPr>
                <w:sz w:val="13"/>
                <w:szCs w:val="13"/>
                <w:color w:val="auto"/>
              </w:rPr>
            </w:pPr>
          </w:p>
        </w:tc>
        <w:tc>
          <w:tcPr>
            <w:tcW w:w="1240" w:type="dxa"/>
            <w:vAlign w:val="bottom"/>
          </w:tcPr>
          <w:p>
            <w:pPr>
              <w:jc w:val="right"/>
              <w:spacing w:after="0" w:line="156" w:lineRule="exact"/>
              <w:rPr>
                <w:sz w:val="20"/>
                <w:szCs w:val="20"/>
                <w:color w:val="auto"/>
              </w:rPr>
            </w:pPr>
            <w:r>
              <w:rPr>
                <w:rFonts w:ascii="Arial" w:cs="Arial" w:eastAsia="Arial" w:hAnsi="Arial"/>
                <w:sz w:val="14"/>
                <w:szCs w:val="14"/>
                <w:color w:val="auto"/>
              </w:rPr>
              <w:t>1,750</w:t>
            </w:r>
          </w:p>
        </w:tc>
        <w:tc>
          <w:tcPr>
            <w:tcW w:w="880" w:type="dxa"/>
            <w:vAlign w:val="bottom"/>
            <w:tcBorders>
              <w:right w:val="single" w:sz="8" w:color="auto"/>
            </w:tcBorders>
          </w:tcPr>
          <w:p>
            <w:pPr>
              <w:jc w:val="right"/>
              <w:ind w:right="668"/>
              <w:spacing w:after="0"/>
              <w:rPr>
                <w:sz w:val="20"/>
                <w:szCs w:val="20"/>
                <w:color w:val="auto"/>
              </w:rPr>
            </w:pPr>
            <w:r>
              <w:rPr>
                <w:rFonts w:ascii="Arial" w:cs="Arial" w:eastAsia="Arial" w:hAnsi="Arial"/>
                <w:sz w:val="10"/>
                <w:szCs w:val="10"/>
                <w:i w:val="1"/>
                <w:iCs w:val="1"/>
                <w:color w:val="auto"/>
              </w:rPr>
              <w:t>(4)</w:t>
            </w:r>
          </w:p>
        </w:tc>
        <w:tc>
          <w:tcPr>
            <w:tcW w:w="2180" w:type="dxa"/>
            <w:vAlign w:val="bottom"/>
            <w:tcBorders>
              <w:right w:val="single" w:sz="8" w:color="auto"/>
            </w:tcBorders>
          </w:tcPr>
          <w:p>
            <w:pPr>
              <w:jc w:val="right"/>
              <w:ind w:right="691"/>
              <w:spacing w:after="0" w:line="156" w:lineRule="exact"/>
              <w:rPr>
                <w:sz w:val="20"/>
                <w:szCs w:val="20"/>
                <w:color w:val="auto"/>
              </w:rPr>
            </w:pPr>
            <w:r>
              <w:rPr>
                <w:rFonts w:ascii="Arial" w:cs="Arial" w:eastAsia="Arial" w:hAnsi="Arial"/>
                <w:sz w:val="14"/>
                <w:szCs w:val="14"/>
                <w:color w:val="auto"/>
              </w:rPr>
              <w:t>$84,777</w:t>
            </w:r>
          </w:p>
        </w:tc>
        <w:tc>
          <w:tcPr>
            <w:tcW w:w="1660" w:type="dxa"/>
            <w:vAlign w:val="bottom"/>
            <w:tcBorders>
              <w:right w:val="single" w:sz="8" w:color="auto"/>
            </w:tcBorders>
          </w:tcPr>
          <w:p>
            <w:pPr>
              <w:jc w:val="center"/>
              <w:ind w:left="11"/>
              <w:spacing w:after="0" w:line="156" w:lineRule="exact"/>
              <w:rPr>
                <w:sz w:val="20"/>
                <w:szCs w:val="20"/>
                <w:color w:val="auto"/>
              </w:rPr>
            </w:pPr>
            <w:r>
              <w:rPr>
                <w:rFonts w:ascii="Arial" w:cs="Arial" w:eastAsia="Arial" w:hAnsi="Arial"/>
                <w:sz w:val="14"/>
                <w:szCs w:val="14"/>
                <w:color w:val="auto"/>
                <w:w w:val="99"/>
              </w:rPr>
              <w:t>—</w:t>
            </w:r>
          </w:p>
        </w:tc>
        <w:tc>
          <w:tcPr>
            <w:tcW w:w="1900" w:type="dxa"/>
            <w:vAlign w:val="bottom"/>
          </w:tcPr>
          <w:p>
            <w:pPr>
              <w:jc w:val="center"/>
              <w:ind w:left="51"/>
              <w:spacing w:after="0" w:line="156"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3"/>
                <w:szCs w:val="13"/>
                <w:color w:val="auto"/>
              </w:rPr>
            </w:pPr>
          </w:p>
        </w:tc>
      </w:tr>
      <w:tr>
        <w:trPr>
          <w:trHeight w:val="232"/>
        </w:trPr>
        <w:tc>
          <w:tcPr>
            <w:tcW w:w="2120" w:type="dxa"/>
            <w:vAlign w:val="bottom"/>
            <w:tcBorders>
              <w:bottom w:val="single" w:sz="8" w:color="F7AB6C"/>
              <w:right w:val="single" w:sz="8" w:color="auto"/>
            </w:tcBorders>
            <w:shd w:val="clear" w:color="auto" w:fill="F7AB6C"/>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1,920</w:t>
            </w:r>
          </w:p>
        </w:tc>
        <w:tc>
          <w:tcPr>
            <w:tcW w:w="880" w:type="dxa"/>
            <w:vAlign w:val="bottom"/>
            <w:tcBorders>
              <w:right w:val="single" w:sz="8" w:color="auto"/>
            </w:tcBorders>
          </w:tcPr>
          <w:p>
            <w:pPr>
              <w:jc w:val="right"/>
              <w:ind w:right="668"/>
              <w:spacing w:after="0"/>
              <w:rPr>
                <w:sz w:val="20"/>
                <w:szCs w:val="20"/>
                <w:color w:val="auto"/>
              </w:rPr>
            </w:pPr>
            <w:r>
              <w:rPr>
                <w:rFonts w:ascii="Arial" w:cs="Arial" w:eastAsia="Arial" w:hAnsi="Arial"/>
                <w:sz w:val="10"/>
                <w:szCs w:val="10"/>
                <w:i w:val="1"/>
                <w:iCs w:val="1"/>
                <w:color w:val="auto"/>
              </w:rPr>
              <w:t>(5)</w:t>
            </w:r>
          </w:p>
        </w:tc>
        <w:tc>
          <w:tcPr>
            <w:tcW w:w="2180" w:type="dxa"/>
            <w:vAlign w:val="bottom"/>
            <w:tcBorders>
              <w:right w:val="single" w:sz="8" w:color="auto"/>
            </w:tcBorders>
          </w:tcPr>
          <w:p>
            <w:pPr>
              <w:jc w:val="right"/>
              <w:ind w:right="691"/>
              <w:spacing w:after="0"/>
              <w:rPr>
                <w:sz w:val="20"/>
                <w:szCs w:val="20"/>
                <w:color w:val="auto"/>
              </w:rPr>
            </w:pPr>
            <w:r>
              <w:rPr>
                <w:rFonts w:ascii="Arial" w:cs="Arial" w:eastAsia="Arial" w:hAnsi="Arial"/>
                <w:sz w:val="14"/>
                <w:szCs w:val="14"/>
                <w:color w:val="auto"/>
              </w:rPr>
              <w:t>$93,005</w:t>
            </w:r>
          </w:p>
        </w:tc>
        <w:tc>
          <w:tcPr>
            <w:tcW w:w="1660" w:type="dxa"/>
            <w:vAlign w:val="bottom"/>
            <w:tcBorders>
              <w:right w:val="single" w:sz="8" w:color="auto"/>
            </w:tcBorders>
          </w:tcPr>
          <w:p>
            <w:pPr>
              <w:jc w:val="center"/>
              <w:ind w:left="11"/>
              <w:spacing w:after="0"/>
              <w:rPr>
                <w:sz w:val="20"/>
                <w:szCs w:val="20"/>
                <w:color w:val="auto"/>
              </w:rPr>
            </w:pPr>
            <w:r>
              <w:rPr>
                <w:rFonts w:ascii="Arial" w:cs="Arial" w:eastAsia="Arial" w:hAnsi="Arial"/>
                <w:sz w:val="14"/>
                <w:szCs w:val="14"/>
                <w:color w:val="auto"/>
                <w:w w:val="99"/>
              </w:rPr>
              <w:t>—</w:t>
            </w:r>
          </w:p>
        </w:tc>
        <w:tc>
          <w:tcPr>
            <w:tcW w:w="190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20"/>
                <w:szCs w:val="20"/>
                <w:color w:val="auto"/>
              </w:rPr>
            </w:pPr>
          </w:p>
        </w:tc>
      </w:tr>
      <w:tr>
        <w:trPr>
          <w:trHeight w:val="216"/>
        </w:trPr>
        <w:tc>
          <w:tcPr>
            <w:tcW w:w="2120" w:type="dxa"/>
            <w:vAlign w:val="bottom"/>
            <w:tcBorders>
              <w:top w:val="single" w:sz="8" w:color="auto"/>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Christopher J. LeBlanc</w:t>
            </w:r>
          </w:p>
        </w:tc>
        <w:tc>
          <w:tcPr>
            <w:tcW w:w="2120" w:type="dxa"/>
            <w:vAlign w:val="bottom"/>
            <w:tcBorders>
              <w:top w:val="single" w:sz="8" w:color="auto"/>
              <w:right w:val="single" w:sz="8" w:color="auto"/>
            </w:tcBorders>
            <w:gridSpan w:val="2"/>
          </w:tcPr>
          <w:p>
            <w:pPr>
              <w:jc w:val="right"/>
              <w:ind w:right="668"/>
              <w:spacing w:after="0" w:line="216" w:lineRule="exact"/>
              <w:rPr>
                <w:sz w:val="20"/>
                <w:szCs w:val="20"/>
                <w:color w:val="auto"/>
              </w:rPr>
            </w:pPr>
            <w:r>
              <w:rPr>
                <w:rFonts w:ascii="Arial" w:cs="Arial" w:eastAsia="Arial" w:hAnsi="Arial"/>
                <w:sz w:val="25"/>
                <w:szCs w:val="25"/>
                <w:color w:val="auto"/>
                <w:vertAlign w:val="subscript"/>
              </w:rPr>
              <w:t>443</w:t>
            </w:r>
            <w:r>
              <w:rPr>
                <w:rFonts w:ascii="Arial" w:cs="Arial" w:eastAsia="Arial" w:hAnsi="Arial"/>
                <w:sz w:val="10"/>
                <w:szCs w:val="10"/>
                <w:i w:val="1"/>
                <w:iCs w:val="1"/>
                <w:color w:val="auto"/>
              </w:rPr>
              <w:t xml:space="preserve"> (2)</w:t>
            </w:r>
          </w:p>
        </w:tc>
        <w:tc>
          <w:tcPr>
            <w:tcW w:w="2180" w:type="dxa"/>
            <w:vAlign w:val="bottom"/>
            <w:tcBorders>
              <w:top w:val="single" w:sz="8" w:color="auto"/>
              <w:right w:val="single" w:sz="8" w:color="auto"/>
            </w:tcBorders>
          </w:tcPr>
          <w:p>
            <w:pPr>
              <w:jc w:val="right"/>
              <w:ind w:right="691"/>
              <w:spacing w:after="0"/>
              <w:rPr>
                <w:sz w:val="20"/>
                <w:szCs w:val="20"/>
                <w:color w:val="auto"/>
              </w:rPr>
            </w:pPr>
            <w:r>
              <w:rPr>
                <w:rFonts w:ascii="Arial" w:cs="Arial" w:eastAsia="Arial" w:hAnsi="Arial"/>
                <w:sz w:val="14"/>
                <w:szCs w:val="14"/>
                <w:color w:val="auto"/>
              </w:rPr>
              <w:t>$21,435</w:t>
            </w:r>
          </w:p>
        </w:tc>
        <w:tc>
          <w:tcPr>
            <w:tcW w:w="1660" w:type="dxa"/>
            <w:vAlign w:val="bottom"/>
            <w:tcBorders>
              <w:top w:val="single" w:sz="8" w:color="auto"/>
              <w:right w:val="single" w:sz="8" w:color="auto"/>
            </w:tcBorders>
          </w:tcPr>
          <w:p>
            <w:pPr>
              <w:jc w:val="center"/>
              <w:ind w:left="11"/>
              <w:spacing w:after="0"/>
              <w:rPr>
                <w:sz w:val="20"/>
                <w:szCs w:val="20"/>
                <w:color w:val="auto"/>
              </w:rPr>
            </w:pPr>
            <w:r>
              <w:rPr>
                <w:rFonts w:ascii="Arial" w:cs="Arial" w:eastAsia="Arial" w:hAnsi="Arial"/>
                <w:sz w:val="14"/>
                <w:szCs w:val="14"/>
                <w:color w:val="auto"/>
                <w:w w:val="99"/>
              </w:rPr>
              <w:t>—</w:t>
            </w:r>
          </w:p>
        </w:tc>
        <w:tc>
          <w:tcPr>
            <w:tcW w:w="1900" w:type="dxa"/>
            <w:vAlign w:val="bottom"/>
            <w:tcBorders>
              <w:top w:val="single" w:sz="8" w:color="auto"/>
            </w:tcBorders>
          </w:tcPr>
          <w:p>
            <w:pPr>
              <w:jc w:val="center"/>
              <w:ind w:left="51"/>
              <w:spacing w:after="0"/>
              <w:rPr>
                <w:sz w:val="20"/>
                <w:szCs w:val="20"/>
                <w:color w:val="auto"/>
              </w:rPr>
            </w:pPr>
            <w:r>
              <w:rPr>
                <w:rFonts w:ascii="Arial" w:cs="Arial" w:eastAsia="Arial" w:hAnsi="Arial"/>
                <w:sz w:val="14"/>
                <w:szCs w:val="14"/>
                <w:color w:val="auto"/>
                <w:w w:val="99"/>
              </w:rPr>
              <w:t>—</w:t>
            </w:r>
          </w:p>
        </w:tc>
        <w:tc>
          <w:tcPr>
            <w:tcW w:w="20" w:type="dxa"/>
            <w:vAlign w:val="bottom"/>
            <w:tcBorders>
              <w:top w:val="single" w:sz="8" w:color="auto"/>
            </w:tcBorders>
          </w:tcPr>
          <w:p>
            <w:pPr>
              <w:spacing w:after="0"/>
              <w:rPr>
                <w:sz w:val="18"/>
                <w:szCs w:val="18"/>
                <w:color w:val="auto"/>
              </w:rPr>
            </w:pPr>
          </w:p>
        </w:tc>
      </w:tr>
      <w:tr>
        <w:trPr>
          <w:trHeight w:val="156"/>
        </w:trPr>
        <w:tc>
          <w:tcPr>
            <w:tcW w:w="2120" w:type="dxa"/>
            <w:vAlign w:val="bottom"/>
            <w:tcBorders>
              <w:right w:val="single" w:sz="8" w:color="auto"/>
            </w:tcBorders>
            <w:shd w:val="clear" w:color="auto" w:fill="F7AB6C"/>
          </w:tcPr>
          <w:p>
            <w:pPr>
              <w:spacing w:after="0"/>
              <w:rPr>
                <w:sz w:val="13"/>
                <w:szCs w:val="13"/>
                <w:color w:val="auto"/>
              </w:rPr>
            </w:pPr>
          </w:p>
        </w:tc>
        <w:tc>
          <w:tcPr>
            <w:tcW w:w="1240" w:type="dxa"/>
            <w:vAlign w:val="bottom"/>
          </w:tcPr>
          <w:p>
            <w:pPr>
              <w:jc w:val="right"/>
              <w:spacing w:after="0" w:line="156" w:lineRule="exact"/>
              <w:rPr>
                <w:sz w:val="20"/>
                <w:szCs w:val="20"/>
                <w:color w:val="auto"/>
              </w:rPr>
            </w:pPr>
            <w:r>
              <w:rPr>
                <w:rFonts w:ascii="Arial" w:cs="Arial" w:eastAsia="Arial" w:hAnsi="Arial"/>
                <w:sz w:val="14"/>
                <w:szCs w:val="14"/>
                <w:color w:val="auto"/>
              </w:rPr>
              <w:t>1,455</w:t>
            </w:r>
          </w:p>
        </w:tc>
        <w:tc>
          <w:tcPr>
            <w:tcW w:w="880" w:type="dxa"/>
            <w:vAlign w:val="bottom"/>
            <w:tcBorders>
              <w:right w:val="single" w:sz="8" w:color="auto"/>
            </w:tcBorders>
          </w:tcPr>
          <w:p>
            <w:pPr>
              <w:jc w:val="right"/>
              <w:ind w:right="668"/>
              <w:spacing w:after="0"/>
              <w:rPr>
                <w:sz w:val="20"/>
                <w:szCs w:val="20"/>
                <w:color w:val="auto"/>
              </w:rPr>
            </w:pPr>
            <w:r>
              <w:rPr>
                <w:rFonts w:ascii="Arial" w:cs="Arial" w:eastAsia="Arial" w:hAnsi="Arial"/>
                <w:sz w:val="10"/>
                <w:szCs w:val="10"/>
                <w:i w:val="1"/>
                <w:iCs w:val="1"/>
                <w:color w:val="auto"/>
              </w:rPr>
              <w:t>(3)</w:t>
            </w:r>
          </w:p>
        </w:tc>
        <w:tc>
          <w:tcPr>
            <w:tcW w:w="2180" w:type="dxa"/>
            <w:vAlign w:val="bottom"/>
            <w:tcBorders>
              <w:right w:val="single" w:sz="8" w:color="auto"/>
            </w:tcBorders>
          </w:tcPr>
          <w:p>
            <w:pPr>
              <w:jc w:val="right"/>
              <w:ind w:right="691"/>
              <w:spacing w:after="0" w:line="156" w:lineRule="exact"/>
              <w:rPr>
                <w:sz w:val="20"/>
                <w:szCs w:val="20"/>
                <w:color w:val="auto"/>
              </w:rPr>
            </w:pPr>
            <w:r>
              <w:rPr>
                <w:rFonts w:ascii="Arial" w:cs="Arial" w:eastAsia="Arial" w:hAnsi="Arial"/>
                <w:sz w:val="14"/>
                <w:szCs w:val="14"/>
                <w:color w:val="auto"/>
              </w:rPr>
              <w:t>$70,040</w:t>
            </w:r>
          </w:p>
        </w:tc>
        <w:tc>
          <w:tcPr>
            <w:tcW w:w="1660" w:type="dxa"/>
            <w:vAlign w:val="bottom"/>
            <w:tcBorders>
              <w:right w:val="single" w:sz="8" w:color="auto"/>
            </w:tcBorders>
          </w:tcPr>
          <w:p>
            <w:pPr>
              <w:jc w:val="center"/>
              <w:ind w:left="11"/>
              <w:spacing w:after="0" w:line="156" w:lineRule="exact"/>
              <w:rPr>
                <w:sz w:val="20"/>
                <w:szCs w:val="20"/>
                <w:color w:val="auto"/>
              </w:rPr>
            </w:pPr>
            <w:r>
              <w:rPr>
                <w:rFonts w:ascii="Arial" w:cs="Arial" w:eastAsia="Arial" w:hAnsi="Arial"/>
                <w:sz w:val="14"/>
                <w:szCs w:val="14"/>
                <w:color w:val="auto"/>
                <w:w w:val="99"/>
              </w:rPr>
              <w:t>—</w:t>
            </w:r>
          </w:p>
        </w:tc>
        <w:tc>
          <w:tcPr>
            <w:tcW w:w="1900" w:type="dxa"/>
            <w:vAlign w:val="bottom"/>
          </w:tcPr>
          <w:p>
            <w:pPr>
              <w:jc w:val="center"/>
              <w:ind w:left="51"/>
              <w:spacing w:after="0" w:line="156"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3"/>
                <w:szCs w:val="13"/>
                <w:color w:val="auto"/>
              </w:rPr>
            </w:pPr>
          </w:p>
        </w:tc>
      </w:tr>
      <w:tr>
        <w:trPr>
          <w:trHeight w:val="156"/>
        </w:trPr>
        <w:tc>
          <w:tcPr>
            <w:tcW w:w="2120" w:type="dxa"/>
            <w:vAlign w:val="bottom"/>
            <w:tcBorders>
              <w:right w:val="single" w:sz="8" w:color="auto"/>
            </w:tcBorders>
            <w:shd w:val="clear" w:color="auto" w:fill="F7AB6C"/>
          </w:tcPr>
          <w:p>
            <w:pPr>
              <w:spacing w:after="0"/>
              <w:rPr>
                <w:sz w:val="13"/>
                <w:szCs w:val="13"/>
                <w:color w:val="auto"/>
              </w:rPr>
            </w:pPr>
          </w:p>
        </w:tc>
        <w:tc>
          <w:tcPr>
            <w:tcW w:w="1240" w:type="dxa"/>
            <w:vAlign w:val="bottom"/>
          </w:tcPr>
          <w:p>
            <w:pPr>
              <w:jc w:val="right"/>
              <w:spacing w:after="0" w:line="156" w:lineRule="exact"/>
              <w:rPr>
                <w:sz w:val="20"/>
                <w:szCs w:val="20"/>
                <w:color w:val="auto"/>
              </w:rPr>
            </w:pPr>
            <w:r>
              <w:rPr>
                <w:rFonts w:ascii="Arial" w:cs="Arial" w:eastAsia="Arial" w:hAnsi="Arial"/>
                <w:sz w:val="14"/>
                <w:szCs w:val="14"/>
                <w:color w:val="auto"/>
              </w:rPr>
              <w:t>1,750</w:t>
            </w:r>
          </w:p>
        </w:tc>
        <w:tc>
          <w:tcPr>
            <w:tcW w:w="880" w:type="dxa"/>
            <w:vAlign w:val="bottom"/>
            <w:tcBorders>
              <w:right w:val="single" w:sz="8" w:color="auto"/>
            </w:tcBorders>
          </w:tcPr>
          <w:p>
            <w:pPr>
              <w:jc w:val="right"/>
              <w:ind w:right="668"/>
              <w:spacing w:after="0"/>
              <w:rPr>
                <w:sz w:val="20"/>
                <w:szCs w:val="20"/>
                <w:color w:val="auto"/>
              </w:rPr>
            </w:pPr>
            <w:r>
              <w:rPr>
                <w:rFonts w:ascii="Arial" w:cs="Arial" w:eastAsia="Arial" w:hAnsi="Arial"/>
                <w:sz w:val="10"/>
                <w:szCs w:val="10"/>
                <w:i w:val="1"/>
                <w:iCs w:val="1"/>
                <w:color w:val="auto"/>
              </w:rPr>
              <w:t>(4)</w:t>
            </w:r>
          </w:p>
        </w:tc>
        <w:tc>
          <w:tcPr>
            <w:tcW w:w="2180" w:type="dxa"/>
            <w:vAlign w:val="bottom"/>
            <w:tcBorders>
              <w:right w:val="single" w:sz="8" w:color="auto"/>
            </w:tcBorders>
          </w:tcPr>
          <w:p>
            <w:pPr>
              <w:jc w:val="right"/>
              <w:ind w:right="691"/>
              <w:spacing w:after="0" w:line="156" w:lineRule="exact"/>
              <w:rPr>
                <w:sz w:val="20"/>
                <w:szCs w:val="20"/>
                <w:color w:val="auto"/>
              </w:rPr>
            </w:pPr>
            <w:r>
              <w:rPr>
                <w:rFonts w:ascii="Arial" w:cs="Arial" w:eastAsia="Arial" w:hAnsi="Arial"/>
                <w:sz w:val="14"/>
                <w:szCs w:val="14"/>
                <w:color w:val="auto"/>
              </w:rPr>
              <w:t>$84,777</w:t>
            </w:r>
          </w:p>
        </w:tc>
        <w:tc>
          <w:tcPr>
            <w:tcW w:w="1660" w:type="dxa"/>
            <w:vAlign w:val="bottom"/>
            <w:tcBorders>
              <w:right w:val="single" w:sz="8" w:color="auto"/>
            </w:tcBorders>
          </w:tcPr>
          <w:p>
            <w:pPr>
              <w:jc w:val="center"/>
              <w:ind w:left="11"/>
              <w:spacing w:after="0" w:line="156" w:lineRule="exact"/>
              <w:rPr>
                <w:sz w:val="20"/>
                <w:szCs w:val="20"/>
                <w:color w:val="auto"/>
              </w:rPr>
            </w:pPr>
            <w:r>
              <w:rPr>
                <w:rFonts w:ascii="Arial" w:cs="Arial" w:eastAsia="Arial" w:hAnsi="Arial"/>
                <w:sz w:val="14"/>
                <w:szCs w:val="14"/>
                <w:color w:val="auto"/>
                <w:w w:val="99"/>
              </w:rPr>
              <w:t>—</w:t>
            </w:r>
          </w:p>
        </w:tc>
        <w:tc>
          <w:tcPr>
            <w:tcW w:w="1900" w:type="dxa"/>
            <w:vAlign w:val="bottom"/>
          </w:tcPr>
          <w:p>
            <w:pPr>
              <w:jc w:val="center"/>
              <w:ind w:left="51"/>
              <w:spacing w:after="0" w:line="156"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3"/>
                <w:szCs w:val="13"/>
                <w:color w:val="auto"/>
              </w:rPr>
            </w:pPr>
          </w:p>
        </w:tc>
      </w:tr>
      <w:tr>
        <w:trPr>
          <w:trHeight w:val="212"/>
        </w:trPr>
        <w:tc>
          <w:tcPr>
            <w:tcW w:w="2120" w:type="dxa"/>
            <w:vAlign w:val="bottom"/>
            <w:tcBorders>
              <w:bottom w:val="single" w:sz="8" w:color="F7AB6C"/>
              <w:right w:val="single" w:sz="8" w:color="auto"/>
            </w:tcBorders>
            <w:shd w:val="clear" w:color="auto" w:fill="F7AB6C"/>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1,920</w:t>
            </w:r>
          </w:p>
        </w:tc>
        <w:tc>
          <w:tcPr>
            <w:tcW w:w="880" w:type="dxa"/>
            <w:vAlign w:val="bottom"/>
            <w:tcBorders>
              <w:right w:val="single" w:sz="8" w:color="auto"/>
            </w:tcBorders>
          </w:tcPr>
          <w:p>
            <w:pPr>
              <w:jc w:val="right"/>
              <w:ind w:right="668"/>
              <w:spacing w:after="0"/>
              <w:rPr>
                <w:sz w:val="20"/>
                <w:szCs w:val="20"/>
                <w:color w:val="auto"/>
              </w:rPr>
            </w:pPr>
            <w:r>
              <w:rPr>
                <w:rFonts w:ascii="Arial" w:cs="Arial" w:eastAsia="Arial" w:hAnsi="Arial"/>
                <w:sz w:val="10"/>
                <w:szCs w:val="10"/>
                <w:i w:val="1"/>
                <w:iCs w:val="1"/>
                <w:color w:val="auto"/>
              </w:rPr>
              <w:t>(5)</w:t>
            </w:r>
          </w:p>
        </w:tc>
        <w:tc>
          <w:tcPr>
            <w:tcW w:w="2180" w:type="dxa"/>
            <w:vAlign w:val="bottom"/>
            <w:tcBorders>
              <w:right w:val="single" w:sz="8" w:color="auto"/>
            </w:tcBorders>
          </w:tcPr>
          <w:p>
            <w:pPr>
              <w:jc w:val="right"/>
              <w:ind w:right="691"/>
              <w:spacing w:after="0"/>
              <w:rPr>
                <w:sz w:val="20"/>
                <w:szCs w:val="20"/>
                <w:color w:val="auto"/>
              </w:rPr>
            </w:pPr>
            <w:r>
              <w:rPr>
                <w:rFonts w:ascii="Arial" w:cs="Arial" w:eastAsia="Arial" w:hAnsi="Arial"/>
                <w:sz w:val="14"/>
                <w:szCs w:val="14"/>
                <w:color w:val="auto"/>
              </w:rPr>
              <w:t>$93,005</w:t>
            </w:r>
          </w:p>
        </w:tc>
        <w:tc>
          <w:tcPr>
            <w:tcW w:w="1660" w:type="dxa"/>
            <w:vAlign w:val="bottom"/>
            <w:tcBorders>
              <w:right w:val="single" w:sz="8" w:color="auto"/>
            </w:tcBorders>
          </w:tcPr>
          <w:p>
            <w:pPr>
              <w:jc w:val="center"/>
              <w:ind w:left="11"/>
              <w:spacing w:after="0"/>
              <w:rPr>
                <w:sz w:val="20"/>
                <w:szCs w:val="20"/>
                <w:color w:val="auto"/>
              </w:rPr>
            </w:pPr>
            <w:r>
              <w:rPr>
                <w:rFonts w:ascii="Arial" w:cs="Arial" w:eastAsia="Arial" w:hAnsi="Arial"/>
                <w:sz w:val="14"/>
                <w:szCs w:val="14"/>
                <w:color w:val="auto"/>
                <w:w w:val="99"/>
              </w:rPr>
              <w:t>—</w:t>
            </w:r>
          </w:p>
        </w:tc>
        <w:tc>
          <w:tcPr>
            <w:tcW w:w="190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r>
      <w:tr>
        <w:trPr>
          <w:trHeight w:val="20"/>
        </w:trPr>
        <w:tc>
          <w:tcPr>
            <w:tcW w:w="212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156845</wp:posOffset>
            </wp:positionV>
            <wp:extent cx="63373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NOTES:</w:t>
      </w:r>
    </w:p>
    <w:p>
      <w:pPr>
        <w:spacing w:after="0" w:line="116" w:lineRule="exact"/>
        <w:rPr>
          <w:sz w:val="20"/>
          <w:szCs w:val="20"/>
          <w:color w:val="auto"/>
        </w:rPr>
      </w:pPr>
    </w:p>
    <w:p>
      <w:pPr>
        <w:ind w:left="1620" w:right="200" w:hanging="492"/>
        <w:spacing w:after="0" w:line="280" w:lineRule="auto"/>
        <w:tabs>
          <w:tab w:leader="none" w:pos="1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the closing price of Unitil common stock on the last business day of the year (December 31, 2025), which was $48.44. </w:t>
      </w:r>
    </w:p>
    <w:p>
      <w:pPr>
        <w:spacing w:after="0" w:line="50" w:lineRule="exact"/>
        <w:rPr>
          <w:rFonts w:ascii="Arial" w:cs="Arial" w:eastAsia="Arial" w:hAnsi="Arial"/>
          <w:sz w:val="17"/>
          <w:szCs w:val="17"/>
          <w:color w:val="auto"/>
        </w:rPr>
      </w:pPr>
    </w:p>
    <w:p>
      <w:pPr>
        <w:ind w:left="1620" w:right="40" w:hanging="492"/>
        <w:spacing w:after="0" w:line="259" w:lineRule="auto"/>
        <w:tabs>
          <w:tab w:leader="none" w:pos="1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Shares of restricted stock were granted on January 25, 2022, for 2021 performance results pursuant to the Third Amended Stock Plan, which vested 25% on January 25, 2023, 25% on January 25, 2024, and January 27, 2025. The unvested shares shown in the table (25% of the total 2022 grant) vested the final 25% on January 26, 2026.</w:t>
      </w:r>
    </w:p>
    <w:p>
      <w:pPr>
        <w:spacing w:after="0" w:line="68" w:lineRule="exact"/>
        <w:rPr>
          <w:rFonts w:ascii="Arial" w:cs="Arial" w:eastAsia="Arial" w:hAnsi="Arial"/>
          <w:sz w:val="17"/>
          <w:szCs w:val="17"/>
          <w:color w:val="auto"/>
        </w:rPr>
      </w:pPr>
    </w:p>
    <w:p>
      <w:pPr>
        <w:ind w:left="1620" w:right="40" w:hanging="492"/>
        <w:spacing w:after="0" w:line="245" w:lineRule="auto"/>
        <w:tabs>
          <w:tab w:leader="none" w:pos="1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Shares of restricted stock were granted on January 24, 2023, pursuant to the Third Amended Stock Plan (the “2023 Grant”). The unvested shares shown in the table represent 50% of the total 2023 Grant (50% Performance Restricted Shares and 50% Time Restricted Shares.) On January 24, 2024, and on January 24, 2025, 25% of the Time Restricted Shares vested, respectively. On January 26, 2026, an additional 25% of the Time Restricted Shares vested, and the final 25% will vest on January 25, 2027. The Performance Restricted Shares will vest after a performance period of three years, in an amount based on the attainment of certain performance thresholds of certain defined performance metrics, each as set by the Compensation Committee for the 2023 - 2025 performance period. On January 26, 2026, 100% of Performance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144145</wp:posOffset>
            </wp:positionV>
            <wp:extent cx="6337300" cy="825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640"/>
          </w:cols>
          <w:pgMar w:left="320" w:top="470" w:right="9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15" w:lineRule="exact"/>
        <w:rPr>
          <w:sz w:val="20"/>
          <w:szCs w:val="20"/>
          <w:color w:val="auto"/>
        </w:rPr>
      </w:pPr>
    </w:p>
    <w:p>
      <w:pPr>
        <w:ind w:left="1620" w:right="260"/>
        <w:spacing w:after="0" w:line="252" w:lineRule="auto"/>
        <w:rPr>
          <w:sz w:val="20"/>
          <w:szCs w:val="20"/>
          <w:color w:val="auto"/>
        </w:rPr>
      </w:pPr>
      <w:r>
        <w:rPr>
          <w:rFonts w:ascii="Arial" w:cs="Arial" w:eastAsia="Arial" w:hAnsi="Arial"/>
          <w:sz w:val="17"/>
          <w:szCs w:val="17"/>
          <w:color w:val="auto"/>
        </w:rPr>
        <w:t>Shares granted in January 2023 vested. Goals set for the defined performance metrics for the performance period 2023-2025 were met at 106% of target, and Additional Shares were granted to all participants (including Named Executive Officers) to account for the 6% above-target performance. The value of the Additional Shares granted to each Named Executive Officer is not included in the total shown in column (c).</w:t>
      </w:r>
    </w:p>
    <w:p>
      <w:pPr>
        <w:spacing w:after="0" w:line="76" w:lineRule="exact"/>
        <w:rPr>
          <w:sz w:val="20"/>
          <w:szCs w:val="20"/>
          <w:color w:val="auto"/>
        </w:rPr>
      </w:pPr>
    </w:p>
    <w:p>
      <w:pPr>
        <w:ind w:left="1620" w:right="20" w:hanging="492"/>
        <w:spacing w:after="0" w:line="246" w:lineRule="auto"/>
        <w:tabs>
          <w:tab w:leader="none" w:pos="1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Shares of restricted stock were granted on January 30, 2024, pursuant to the Third Amended Stock Plan (the “2024 Grant”). The unvested shares shown in the table represent 75% of the total 2024 Grant (50% Performance Restricted Shares and 50% Time Restricted Shares). On January 30, 2025, 25% of the Time Restricted Shares vested. On January 30, 2026, an additional 25% of the Time Restricted Shares vested, and will further vest 25% on January 31, 2027, and February 1, 2028, respectively. The Performance Restricted Shares will vest after a performance period of three years, in an amount based on the attainment of certain performance thresholds of certain defined performance metrics, each as set by the Compensation Committee for the 2024 - 2026 performance period.</w:t>
      </w:r>
    </w:p>
    <w:p>
      <w:pPr>
        <w:spacing w:after="0" w:line="78" w:lineRule="exact"/>
        <w:rPr>
          <w:rFonts w:ascii="Arial" w:cs="Arial" w:eastAsia="Arial" w:hAnsi="Arial"/>
          <w:sz w:val="17"/>
          <w:szCs w:val="17"/>
          <w:color w:val="auto"/>
        </w:rPr>
      </w:pPr>
    </w:p>
    <w:p>
      <w:pPr>
        <w:ind w:left="1620" w:right="160" w:hanging="492"/>
        <w:spacing w:after="0" w:line="246" w:lineRule="auto"/>
        <w:tabs>
          <w:tab w:leader="none" w:pos="1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Shares of restricted stock were granted on January 28, 2025, pursuant to the Third Amended Stock Plan (the “2025 Grant”). The unvested shares shown in the table represent 100% of the total 2025 Grant of 50% Performance Restricted Shares and 50% Time Restricted Shares. On January 28, 2026, 25% of the Time Restricted Shares vested; and will further vest 25% on January 28, 2027, January 28, 2028, January 29, 2029, respectively. The Performance Restricted Shares will vest after a performance period of three years, in an amount based on the attainment of certain performance thresholds of certain defined performance metrics, each as set by the Compensation Committee for the 2025 - 2027 performance period.</w:t>
      </w:r>
    </w:p>
    <w:p>
      <w:pPr>
        <w:spacing w:after="0" w:line="200" w:lineRule="exact"/>
        <w:rPr>
          <w:sz w:val="20"/>
          <w:szCs w:val="20"/>
          <w:color w:val="auto"/>
        </w:rPr>
      </w:pPr>
    </w:p>
    <w:p>
      <w:pPr>
        <w:spacing w:after="0" w:line="276"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7" w:lineRule="exact"/>
        <w:rPr>
          <w:sz w:val="20"/>
          <w:szCs w:val="20"/>
          <w:color w:val="auto"/>
        </w:rPr>
      </w:pPr>
    </w:p>
    <w:p>
      <w:pPr>
        <w:ind w:left="640" w:right="80"/>
        <w:spacing w:after="0" w:line="237" w:lineRule="auto"/>
        <w:rPr>
          <w:sz w:val="20"/>
          <w:szCs w:val="20"/>
          <w:color w:val="auto"/>
        </w:rPr>
      </w:pPr>
      <w:r>
        <w:rPr>
          <w:rFonts w:ascii="Arial" w:cs="Arial" w:eastAsia="Arial" w:hAnsi="Arial"/>
          <w:sz w:val="21"/>
          <w:szCs w:val="21"/>
          <w:color w:val="auto"/>
        </w:rPr>
        <w:t xml:space="preserve">Mr. Meissner is currently the only employee with an Employment Agreement, the term of which is April 25, 2024, through April 25, 2027. The Employment Agreement also provides that Mr. Meissner will participate in the Management Incentive Plan, the SERP, other employee benefit plans available to our executives, and our stock plans (which include the Third Amended Stock Plan). The termination provisions of the Employment Agreement are discussed below under the section entitled </w:t>
      </w:r>
      <w:r>
        <w:rPr>
          <w:rFonts w:ascii="Arial" w:cs="Arial" w:eastAsia="Arial" w:hAnsi="Arial"/>
          <w:sz w:val="21"/>
          <w:szCs w:val="21"/>
          <w:i w:val="1"/>
          <w:iCs w:val="1"/>
          <w:color w:val="auto"/>
        </w:rPr>
        <w:t>Compensation – Compensation of</w:t>
      </w:r>
      <w:r>
        <w:rPr>
          <w:rFonts w:ascii="Arial" w:cs="Arial" w:eastAsia="Arial" w:hAnsi="Arial"/>
          <w:sz w:val="21"/>
          <w:szCs w:val="21"/>
          <w:color w:val="auto"/>
        </w:rPr>
        <w:t xml:space="preserve"> </w:t>
      </w:r>
      <w:r>
        <w:rPr>
          <w:rFonts w:ascii="Arial" w:cs="Arial" w:eastAsia="Arial" w:hAnsi="Arial"/>
          <w:sz w:val="21"/>
          <w:szCs w:val="21"/>
          <w:i w:val="1"/>
          <w:iCs w:val="1"/>
          <w:color w:val="auto"/>
        </w:rPr>
        <w:t>Named Executive Officers</w:t>
      </w:r>
      <w:r>
        <w:rPr>
          <w:rFonts w:ascii="Arial" w:cs="Arial" w:eastAsia="Arial" w:hAnsi="Arial"/>
          <w:sz w:val="21"/>
          <w:szCs w:val="21"/>
          <w:color w:val="auto"/>
        </w:rPr>
        <w:t>—</w:t>
      </w:r>
      <w:r>
        <w:rPr>
          <w:rFonts w:ascii="Arial" w:cs="Arial" w:eastAsia="Arial" w:hAnsi="Arial"/>
          <w:sz w:val="21"/>
          <w:szCs w:val="21"/>
          <w:i w:val="1"/>
          <w:iCs w:val="1"/>
          <w:color w:val="auto"/>
        </w:rPr>
        <w:t>Potential Payments Upon Termination or Change of Control</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148590</wp:posOffset>
            </wp:positionV>
            <wp:extent cx="6337300" cy="908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620"/>
          </w:cols>
          <w:pgMar w:left="320" w:top="470" w:right="9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THE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59" w:lineRule="exact"/>
        <w:rPr>
          <w:sz w:val="20"/>
          <w:szCs w:val="20"/>
          <w:color w:val="auto"/>
        </w:rPr>
      </w:pPr>
    </w:p>
    <w:p>
      <w:pPr>
        <w:ind w:left="640" w:right="4940"/>
        <w:spacing w:after="0" w:line="235" w:lineRule="auto"/>
        <w:rPr>
          <w:sz w:val="20"/>
          <w:szCs w:val="20"/>
          <w:color w:val="auto"/>
        </w:rPr>
      </w:pPr>
      <w:r>
        <w:rPr>
          <w:rFonts w:ascii="Arial" w:cs="Arial" w:eastAsia="Arial" w:hAnsi="Arial"/>
          <w:sz w:val="21"/>
          <w:szCs w:val="21"/>
          <w:color w:val="auto"/>
        </w:rPr>
        <w:t xml:space="preserve">The Retirement Plan is a tax-qualified defined benefit pension plan and related trust agreement that provides retirement annuities for eligible employees. Since the Retirement Plan is a defined benefit plan, we make contributions generally for all participants, and no amounts were contributed or accrued specifically for the benefit of any executive officer under the Retirement Plan. Members of the Board who are not or have not been officers of our Company or any of its subsidiaries are not eligible to participate in the Retirement Plan. Please see the section entitled </w:t>
      </w:r>
      <w:r>
        <w:rPr>
          <w:rFonts w:ascii="Arial" w:cs="Arial" w:eastAsia="Arial" w:hAnsi="Arial"/>
          <w:sz w:val="21"/>
          <w:szCs w:val="21"/>
          <w:i w:val="1"/>
          <w:iCs w:val="1"/>
          <w:color w:val="auto"/>
        </w:rPr>
        <w:t xml:space="preserve">Compensation – Compensation Discussion and Analysis </w:t>
      </w:r>
      <w:r>
        <w:rPr>
          <w:rFonts w:ascii="Arial" w:cs="Arial" w:eastAsia="Arial" w:hAnsi="Arial"/>
          <w:sz w:val="21"/>
          <w:szCs w:val="21"/>
          <w:color w:val="auto"/>
        </w:rPr>
        <w:t>for information regarding the closure of the</w:t>
      </w:r>
      <w:r>
        <w:rPr>
          <w:rFonts w:ascii="Arial" w:cs="Arial" w:eastAsia="Arial" w:hAnsi="Arial"/>
          <w:sz w:val="21"/>
          <w:szCs w:val="21"/>
          <w:i w:val="1"/>
          <w:iCs w:val="1"/>
          <w:color w:val="auto"/>
        </w:rPr>
        <w:t xml:space="preserve"> </w:t>
      </w:r>
      <w:r>
        <w:rPr>
          <w:rFonts w:ascii="Arial" w:cs="Arial" w:eastAsia="Arial" w:hAnsi="Arial"/>
          <w:sz w:val="21"/>
          <w:szCs w:val="21"/>
          <w:color w:val="auto"/>
        </w:rPr>
        <w:t>Retirement Plan, which became effective on June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-2234565</wp:posOffset>
            </wp:positionV>
            <wp:extent cx="2351405" cy="30943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351405" cy="3094355"/>
                    </a:xfrm>
                    <a:prstGeom prst="rect">
                      <a:avLst/>
                    </a:prstGeom>
                    <a:noFill/>
                  </pic:spPr>
                </pic:pic>
              </a:graphicData>
            </a:graphic>
          </wp:anchor>
        </w:drawing>
      </w:r>
    </w:p>
    <w:p>
      <w:pPr>
        <w:spacing w:after="0" w:line="176" w:lineRule="exact"/>
        <w:rPr>
          <w:sz w:val="20"/>
          <w:szCs w:val="20"/>
          <w:color w:val="auto"/>
        </w:rPr>
      </w:pPr>
    </w:p>
    <w:p>
      <w:pPr>
        <w:ind w:left="640" w:right="5000"/>
        <w:spacing w:after="0" w:line="252" w:lineRule="auto"/>
        <w:rPr>
          <w:sz w:val="20"/>
          <w:szCs w:val="20"/>
          <w:color w:val="auto"/>
        </w:rPr>
      </w:pPr>
      <w:r>
        <w:rPr>
          <w:rFonts w:ascii="Arial" w:cs="Arial" w:eastAsia="Arial" w:hAnsi="Arial"/>
          <w:sz w:val="20"/>
          <w:szCs w:val="20"/>
          <w:color w:val="auto"/>
        </w:rPr>
        <w:t>The Retirement Plan provides participants with early retirement benefits upon the attainment of age 55 with at least 15 years of service. The early retirement benefit is an unreduced pension at age 60 with a reduction of 5% per year for each year prior to age 60.</w:t>
      </w:r>
    </w:p>
    <w:p>
      <w:pPr>
        <w:spacing w:after="0" w:line="2" w:lineRule="exact"/>
        <w:rPr>
          <w:sz w:val="20"/>
          <w:szCs w:val="20"/>
          <w:color w:val="auto"/>
        </w:rPr>
      </w:pPr>
    </w:p>
    <w:p>
      <w:pPr>
        <w:ind w:left="640" w:right="120"/>
        <w:spacing w:after="0" w:line="238" w:lineRule="auto"/>
        <w:rPr>
          <w:sz w:val="20"/>
          <w:szCs w:val="20"/>
          <w:color w:val="auto"/>
        </w:rPr>
      </w:pPr>
      <w:r>
        <w:rPr>
          <w:rFonts w:ascii="Arial" w:cs="Arial" w:eastAsia="Arial" w:hAnsi="Arial"/>
          <w:sz w:val="21"/>
          <w:szCs w:val="21"/>
          <w:color w:val="auto"/>
        </w:rPr>
        <w:t>As of December 31, 2025, Mr. Meissner, Mr. Eisfeller and Mr. LeBlanc are the Named Executive Officers eligible for early retirement benefits under the Retirement Plan. A participant is 100% vested for benefits under the Retirement Plan after five years of service. The formula for determining annual benefits under the Retirement Plan’s life annuity option is shown to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150495</wp:posOffset>
            </wp:positionV>
            <wp:extent cx="6337300" cy="908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620"/>
          </w:cols>
          <w:pgMar w:left="320" w:top="470" w:right="9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right="200"/>
        <w:spacing w:after="0" w:line="290" w:lineRule="auto"/>
        <w:rPr>
          <w:sz w:val="20"/>
          <w:szCs w:val="20"/>
          <w:color w:val="auto"/>
        </w:rPr>
      </w:pPr>
      <w:r>
        <w:rPr>
          <w:rFonts w:ascii="Arial" w:cs="Arial" w:eastAsia="Arial" w:hAnsi="Arial"/>
          <w:sz w:val="20"/>
          <w:szCs w:val="20"/>
          <w:color w:val="auto"/>
        </w:rPr>
        <w:t>The table below provides information with respect to the actuarial present value of the accumulated benefit under the Retirement Plan and the SERP for all Named Executive Officers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109220</wp:posOffset>
            </wp:positionV>
            <wp:extent cx="6337300" cy="2146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337300" cy="214630"/>
                    </a:xfrm>
                    <a:prstGeom prst="rect">
                      <a:avLst/>
                    </a:prstGeom>
                    <a:noFill/>
                  </pic:spPr>
                </pic:pic>
              </a:graphicData>
            </a:graphic>
          </wp:anchor>
        </w:drawing>
      </w:r>
    </w:p>
    <w:p>
      <w:pPr>
        <w:spacing w:after="0" w:line="191" w:lineRule="exact"/>
        <w:rPr>
          <w:sz w:val="20"/>
          <w:szCs w:val="20"/>
          <w:color w:val="auto"/>
        </w:rPr>
      </w:pPr>
    </w:p>
    <w:p>
      <w:pPr>
        <w:ind w:left="4340"/>
        <w:spacing w:after="0"/>
        <w:rPr>
          <w:sz w:val="20"/>
          <w:szCs w:val="20"/>
          <w:color w:val="auto"/>
        </w:rPr>
      </w:pPr>
      <w:r>
        <w:rPr>
          <w:rFonts w:ascii="Arial" w:cs="Arial" w:eastAsia="Arial" w:hAnsi="Arial"/>
          <w:sz w:val="21"/>
          <w:szCs w:val="21"/>
          <w:b w:val="1"/>
          <w:bCs w:val="1"/>
          <w:color w:val="FFFFFF"/>
        </w:rPr>
        <w:t>2025 PENSION BENEFITS</w:t>
      </w:r>
    </w:p>
    <w:p>
      <w:pPr>
        <w:spacing w:after="0" w:line="43" w:lineRule="exact"/>
        <w:rPr>
          <w:sz w:val="20"/>
          <w:szCs w:val="20"/>
          <w:color w:val="auto"/>
        </w:rPr>
      </w:pPr>
    </w:p>
    <w:tbl>
      <w:tblPr>
        <w:tblLayout w:type="fixed"/>
        <w:tblInd w:w="640" w:type="dxa"/>
        <w:tblCellMar>
          <w:top w:w="0" w:type="dxa"/>
          <w:left w:w="0" w:type="dxa"/>
          <w:bottom w:w="0" w:type="dxa"/>
          <w:right w:w="0" w:type="dxa"/>
        </w:tblCellMar>
      </w:tblPr>
      <w:tr>
        <w:trPr>
          <w:trHeight w:val="177"/>
        </w:trPr>
        <w:tc>
          <w:tcPr>
            <w:tcW w:w="1820" w:type="dxa"/>
            <w:vAlign w:val="bottom"/>
            <w:tcBorders>
              <w:top w:val="single" w:sz="8" w:color="auto"/>
              <w:right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spacing w:after="0"/>
              <w:rPr>
                <w:sz w:val="15"/>
                <w:szCs w:val="15"/>
                <w:color w:val="auto"/>
              </w:rPr>
            </w:pPr>
          </w:p>
        </w:tc>
        <w:tc>
          <w:tcPr>
            <w:tcW w:w="400" w:type="dxa"/>
            <w:vAlign w:val="bottom"/>
            <w:tcBorders>
              <w:top w:val="single" w:sz="8" w:color="auto"/>
            </w:tcBorders>
          </w:tcPr>
          <w:p>
            <w:pPr>
              <w:ind w:left="300"/>
              <w:spacing w:after="0"/>
              <w:rPr>
                <w:sz w:val="20"/>
                <w:szCs w:val="20"/>
                <w:color w:val="auto"/>
              </w:rPr>
            </w:pPr>
            <w:r>
              <w:rPr>
                <w:rFonts w:ascii="Arial" w:cs="Arial" w:eastAsia="Arial" w:hAnsi="Arial"/>
                <w:sz w:val="10"/>
                <w:szCs w:val="10"/>
                <w:b w:val="1"/>
                <w:bCs w:val="1"/>
                <w:color w:val="auto"/>
                <w:w w:val="79"/>
              </w:rPr>
              <w:t> </w:t>
            </w:r>
          </w:p>
        </w:tc>
        <w:tc>
          <w:tcPr>
            <w:tcW w:w="1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  Number of Years    </w:t>
            </w:r>
          </w:p>
        </w:tc>
        <w:tc>
          <w:tcPr>
            <w:tcW w:w="208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4"/>
                <w:szCs w:val="14"/>
                <w:b w:val="1"/>
                <w:bCs w:val="1"/>
                <w:color w:val="auto"/>
              </w:rPr>
              <w:t>  Present Value of</w:t>
            </w:r>
          </w:p>
        </w:tc>
        <w:tc>
          <w:tcPr>
            <w:tcW w:w="1960" w:type="dxa"/>
            <w:vAlign w:val="bottom"/>
            <w:tcBorders>
              <w:top w:val="single" w:sz="8" w:color="auto"/>
            </w:tcBorders>
          </w:tcPr>
          <w:p>
            <w:pPr>
              <w:spacing w:after="0"/>
              <w:rPr>
                <w:sz w:val="15"/>
                <w:szCs w:val="15"/>
                <w:color w:val="auto"/>
              </w:rPr>
            </w:pPr>
          </w:p>
        </w:tc>
      </w:tr>
      <w:tr>
        <w:trPr>
          <w:trHeight w:val="156"/>
        </w:trPr>
        <w:tc>
          <w:tcPr>
            <w:tcW w:w="1820" w:type="dxa"/>
            <w:vAlign w:val="bottom"/>
            <w:tcBorders>
              <w:right w:val="single" w:sz="8" w:color="auto"/>
            </w:tcBorders>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80" w:type="dxa"/>
            <w:vAlign w:val="bottom"/>
            <w:tcBorders>
              <w:right w:val="single" w:sz="8" w:color="auto"/>
            </w:tcBorders>
          </w:tcPr>
          <w:p>
            <w:pPr>
              <w:jc w:val="center"/>
              <w:ind w:right="291"/>
              <w:spacing w:after="0" w:line="156" w:lineRule="exact"/>
              <w:rPr>
                <w:sz w:val="20"/>
                <w:szCs w:val="20"/>
                <w:color w:val="auto"/>
              </w:rPr>
            </w:pPr>
            <w:r>
              <w:rPr>
                <w:rFonts w:ascii="Arial" w:cs="Arial" w:eastAsia="Arial" w:hAnsi="Arial"/>
                <w:sz w:val="14"/>
                <w:szCs w:val="14"/>
                <w:b w:val="1"/>
                <w:bCs w:val="1"/>
                <w:color w:val="auto"/>
                <w:w w:val="98"/>
              </w:rPr>
              <w:t>Credited</w:t>
            </w:r>
          </w:p>
        </w:tc>
        <w:tc>
          <w:tcPr>
            <w:tcW w:w="20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7"/>
              </w:rPr>
              <w:t>Accumulated</w:t>
            </w:r>
          </w:p>
        </w:tc>
        <w:tc>
          <w:tcPr>
            <w:tcW w:w="1960" w:type="dxa"/>
            <w:vAlign w:val="bottom"/>
          </w:tcPr>
          <w:p>
            <w:pPr>
              <w:ind w:left="380"/>
              <w:spacing w:after="0" w:line="156" w:lineRule="exact"/>
              <w:rPr>
                <w:sz w:val="20"/>
                <w:szCs w:val="20"/>
                <w:color w:val="auto"/>
              </w:rPr>
            </w:pPr>
            <w:r>
              <w:rPr>
                <w:rFonts w:ascii="Arial" w:cs="Arial" w:eastAsia="Arial" w:hAnsi="Arial"/>
                <w:sz w:val="14"/>
                <w:szCs w:val="14"/>
                <w:b w:val="1"/>
                <w:bCs w:val="1"/>
                <w:color w:val="auto"/>
              </w:rPr>
              <w:t>  Payments During</w:t>
            </w:r>
          </w:p>
        </w:tc>
      </w:tr>
      <w:tr>
        <w:trPr>
          <w:trHeight w:val="195"/>
        </w:trPr>
        <w:tc>
          <w:tcPr>
            <w:tcW w:w="1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  Name</w:t>
            </w: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87"/>
              </w:rPr>
              <w:t>      Plan Name </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 </w:t>
            </w: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rPr>
              <w:t>Service</w:t>
            </w:r>
          </w:p>
        </w:tc>
        <w:tc>
          <w:tcPr>
            <w:tcW w:w="2080" w:type="dxa"/>
            <w:vAlign w:val="bottom"/>
            <w:tcBorders>
              <w:bottom w:val="single" w:sz="8" w:color="auto"/>
              <w:right w:val="single" w:sz="8" w:color="auto"/>
            </w:tcBorders>
          </w:tcPr>
          <w:p>
            <w:pPr>
              <w:jc w:val="center"/>
              <w:spacing w:after="0" w:line="195" w:lineRule="exact"/>
              <w:rPr>
                <w:sz w:val="20"/>
                <w:szCs w:val="20"/>
                <w:color w:val="auto"/>
              </w:rPr>
            </w:pPr>
            <w:r>
              <w:rPr>
                <w:rFonts w:ascii="Arial" w:cs="Arial" w:eastAsia="Arial" w:hAnsi="Arial"/>
                <w:sz w:val="14"/>
                <w:szCs w:val="14"/>
                <w:b w:val="1"/>
                <w:bCs w:val="1"/>
                <w:color w:val="auto"/>
                <w:w w:val="94"/>
              </w:rPr>
              <w:t xml:space="preserve">Benefit </w:t>
            </w:r>
            <w:r>
              <w:rPr>
                <w:rFonts w:ascii="Arial" w:cs="Arial" w:eastAsia="Arial" w:hAnsi="Arial"/>
                <w:sz w:val="20"/>
                <w:szCs w:val="20"/>
                <w:i w:val="1"/>
                <w:iCs w:val="1"/>
                <w:color w:val="auto"/>
                <w:w w:val="94"/>
                <w:vertAlign w:val="superscript"/>
              </w:rPr>
              <w:t>(1)</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Last Fiscal Year</w:t>
            </w:r>
          </w:p>
        </w:tc>
      </w:tr>
      <w:tr>
        <w:trPr>
          <w:trHeight w:val="245"/>
        </w:trPr>
        <w:tc>
          <w:tcPr>
            <w:tcW w:w="1820" w:type="dxa"/>
            <w:vAlign w:val="bottom"/>
            <w:tcBorders>
              <w:bottom w:val="single" w:sz="8" w:color="314A72"/>
              <w:right w:val="single" w:sz="8" w:color="314A72"/>
            </w:tcBorders>
            <w:shd w:val="clear" w:color="auto" w:fill="314A72"/>
          </w:tcPr>
          <w:p>
            <w:pPr>
              <w:ind w:left="800"/>
              <w:spacing w:after="0"/>
              <w:rPr>
                <w:sz w:val="20"/>
                <w:szCs w:val="20"/>
                <w:color w:val="auto"/>
              </w:rPr>
            </w:pPr>
            <w:r>
              <w:rPr>
                <w:rFonts w:ascii="Arial" w:cs="Arial" w:eastAsia="Arial" w:hAnsi="Arial"/>
                <w:sz w:val="14"/>
                <w:szCs w:val="14"/>
                <w:b w:val="1"/>
                <w:bCs w:val="1"/>
                <w:color w:val="FFFFFF"/>
              </w:rPr>
              <w:t>(a)</w:t>
            </w:r>
          </w:p>
        </w:tc>
        <w:tc>
          <w:tcPr>
            <w:tcW w:w="1500" w:type="dxa"/>
            <w:vAlign w:val="bottom"/>
            <w:tcBorders>
              <w:bottom w:val="single" w:sz="8" w:color="314A72"/>
            </w:tcBorders>
            <w:shd w:val="clear" w:color="auto" w:fill="314A72"/>
          </w:tcPr>
          <w:p>
            <w:pPr>
              <w:ind w:left="720"/>
              <w:spacing w:after="0"/>
              <w:rPr>
                <w:sz w:val="20"/>
                <w:szCs w:val="20"/>
                <w:color w:val="auto"/>
              </w:rPr>
            </w:pPr>
            <w:r>
              <w:rPr>
                <w:rFonts w:ascii="Arial" w:cs="Arial" w:eastAsia="Arial" w:hAnsi="Arial"/>
                <w:sz w:val="14"/>
                <w:szCs w:val="14"/>
                <w:b w:val="1"/>
                <w:bCs w:val="1"/>
                <w:color w:val="FFFFFF"/>
              </w:rPr>
              <w:t xml:space="preserve">      (b)    </w:t>
            </w:r>
          </w:p>
        </w:tc>
        <w:tc>
          <w:tcPr>
            <w:tcW w:w="540" w:type="dxa"/>
            <w:vAlign w:val="bottom"/>
            <w:tcBorders>
              <w:bottom w:val="single" w:sz="8" w:color="314A72"/>
              <w:right w:val="single" w:sz="8" w:color="314A72"/>
            </w:tcBorders>
            <w:shd w:val="clear" w:color="auto" w:fill="314A72"/>
          </w:tcPr>
          <w:p>
            <w:pPr>
              <w:spacing w:after="0"/>
              <w:rPr>
                <w:sz w:val="20"/>
                <w:szCs w:val="20"/>
                <w:color w:val="auto"/>
              </w:rPr>
            </w:pPr>
          </w:p>
        </w:tc>
        <w:tc>
          <w:tcPr>
            <w:tcW w:w="400" w:type="dxa"/>
            <w:vAlign w:val="bottom"/>
            <w:tcBorders>
              <w:bottom w:val="single" w:sz="8" w:color="314A72"/>
            </w:tcBorders>
            <w:shd w:val="clear" w:color="auto" w:fill="314A72"/>
          </w:tcPr>
          <w:p>
            <w:pPr>
              <w:spacing w:after="0"/>
              <w:rPr>
                <w:sz w:val="20"/>
                <w:szCs w:val="20"/>
                <w:color w:val="auto"/>
              </w:rPr>
            </w:pPr>
          </w:p>
        </w:tc>
        <w:tc>
          <w:tcPr>
            <w:tcW w:w="1680" w:type="dxa"/>
            <w:vAlign w:val="bottom"/>
            <w:tcBorders>
              <w:bottom w:val="single" w:sz="8" w:color="314A72"/>
              <w:right w:val="single" w:sz="8" w:color="314A72"/>
            </w:tcBorders>
            <w:shd w:val="clear" w:color="auto" w:fill="314A72"/>
          </w:tcPr>
          <w:p>
            <w:pPr>
              <w:jc w:val="center"/>
              <w:ind w:right="271"/>
              <w:spacing w:after="0"/>
              <w:rPr>
                <w:sz w:val="20"/>
                <w:szCs w:val="20"/>
                <w:color w:val="auto"/>
              </w:rPr>
            </w:pPr>
            <w:r>
              <w:rPr>
                <w:rFonts w:ascii="Arial" w:cs="Arial" w:eastAsia="Arial" w:hAnsi="Arial"/>
                <w:sz w:val="14"/>
                <w:szCs w:val="14"/>
                <w:b w:val="1"/>
                <w:bCs w:val="1"/>
                <w:color w:val="FFFFFF"/>
              </w:rPr>
              <w:t>(c)</w:t>
            </w:r>
          </w:p>
        </w:tc>
        <w:tc>
          <w:tcPr>
            <w:tcW w:w="2080" w:type="dxa"/>
            <w:vAlign w:val="bottom"/>
            <w:tcBorders>
              <w:bottom w:val="single" w:sz="8" w:color="314A72"/>
              <w:right w:val="single" w:sz="8" w:color="314A72"/>
            </w:tcBorders>
            <w:shd w:val="clear" w:color="auto" w:fill="314A72"/>
          </w:tcPr>
          <w:p>
            <w:pPr>
              <w:jc w:val="center"/>
              <w:spacing w:after="0"/>
              <w:rPr>
                <w:sz w:val="20"/>
                <w:szCs w:val="20"/>
                <w:color w:val="auto"/>
              </w:rPr>
            </w:pPr>
            <w:r>
              <w:rPr>
                <w:rFonts w:ascii="Arial" w:cs="Arial" w:eastAsia="Arial" w:hAnsi="Arial"/>
                <w:sz w:val="14"/>
                <w:szCs w:val="14"/>
                <w:b w:val="1"/>
                <w:bCs w:val="1"/>
                <w:color w:val="FFFFFF"/>
              </w:rPr>
              <w:t>(d)</w:t>
            </w:r>
          </w:p>
        </w:tc>
        <w:tc>
          <w:tcPr>
            <w:tcW w:w="1960" w:type="dxa"/>
            <w:vAlign w:val="bottom"/>
            <w:tcBorders>
              <w:bottom w:val="single" w:sz="8" w:color="314A72"/>
            </w:tcBorders>
            <w:shd w:val="clear" w:color="auto" w:fill="314A72"/>
          </w:tcPr>
          <w:p>
            <w:pPr>
              <w:jc w:val="center"/>
              <w:spacing w:after="0"/>
              <w:rPr>
                <w:sz w:val="20"/>
                <w:szCs w:val="20"/>
                <w:color w:val="auto"/>
              </w:rPr>
            </w:pPr>
            <w:r>
              <w:rPr>
                <w:rFonts w:ascii="Arial" w:cs="Arial" w:eastAsia="Arial" w:hAnsi="Arial"/>
                <w:sz w:val="14"/>
                <w:szCs w:val="14"/>
                <w:b w:val="1"/>
                <w:bCs w:val="1"/>
                <w:color w:val="FFFFFF"/>
              </w:rPr>
              <w:t>(e)</w:t>
            </w:r>
          </w:p>
        </w:tc>
      </w:tr>
      <w:tr>
        <w:trPr>
          <w:trHeight w:val="225"/>
        </w:trPr>
        <w:tc>
          <w:tcPr>
            <w:tcW w:w="1820" w:type="dxa"/>
            <w:vAlign w:val="bottom"/>
            <w:tcBorders>
              <w:top w:val="single" w:sz="8" w:color="auto"/>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Thomas P. Meissner, Jr.</w:t>
            </w:r>
          </w:p>
        </w:tc>
        <w:tc>
          <w:tcPr>
            <w:tcW w:w="150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 xml:space="preserve">Retirement Plan        </w:t>
            </w:r>
          </w:p>
        </w:tc>
        <w:tc>
          <w:tcPr>
            <w:tcW w:w="5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400" w:type="dxa"/>
            <w:vAlign w:val="bottom"/>
            <w:tcBorders>
              <w:top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jc w:val="center"/>
              <w:ind w:right="291"/>
              <w:spacing w:after="0"/>
              <w:rPr>
                <w:sz w:val="20"/>
                <w:szCs w:val="20"/>
                <w:color w:val="auto"/>
              </w:rPr>
            </w:pPr>
            <w:r>
              <w:rPr>
                <w:rFonts w:ascii="Arial" w:cs="Arial" w:eastAsia="Arial" w:hAnsi="Arial"/>
                <w:sz w:val="14"/>
                <w:szCs w:val="14"/>
                <w:color w:val="auto"/>
              </w:rPr>
              <w:t>31</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$1,739,046</w:t>
            </w: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215"/>
        </w:trPr>
        <w:tc>
          <w:tcPr>
            <w:tcW w:w="1820" w:type="dxa"/>
            <w:vAlign w:val="bottom"/>
            <w:tcBorders>
              <w:right w:val="single" w:sz="8" w:color="auto"/>
            </w:tcBorders>
            <w:shd w:val="clear" w:color="auto" w:fill="F7AB6C"/>
          </w:tcPr>
          <w:p>
            <w:pPr>
              <w:spacing w:after="0"/>
              <w:rPr>
                <w:sz w:val="18"/>
                <w:szCs w:val="18"/>
                <w:color w:val="auto"/>
              </w:rPr>
            </w:pPr>
          </w:p>
        </w:tc>
        <w:tc>
          <w:tcPr>
            <w:tcW w:w="1500" w:type="dxa"/>
            <w:vAlign w:val="bottom"/>
          </w:tcPr>
          <w:p>
            <w:pPr>
              <w:ind w:left="140"/>
              <w:spacing w:after="0"/>
              <w:rPr>
                <w:sz w:val="20"/>
                <w:szCs w:val="20"/>
                <w:color w:val="auto"/>
              </w:rPr>
            </w:pPr>
            <w:r>
              <w:rPr>
                <w:rFonts w:ascii="Arial" w:cs="Arial" w:eastAsia="Arial" w:hAnsi="Arial"/>
                <w:sz w:val="14"/>
                <w:szCs w:val="14"/>
                <w:color w:val="auto"/>
              </w:rPr>
              <w:t>SERP</w:t>
            </w:r>
          </w:p>
        </w:tc>
        <w:tc>
          <w:tcPr>
            <w:tcW w:w="5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Borders>
              <w:right w:val="single" w:sz="8" w:color="auto"/>
            </w:tcBorders>
          </w:tcPr>
          <w:p>
            <w:pPr>
              <w:jc w:val="center"/>
              <w:ind w:right="291"/>
              <w:spacing w:after="0"/>
              <w:rPr>
                <w:sz w:val="20"/>
                <w:szCs w:val="20"/>
                <w:color w:val="auto"/>
              </w:rPr>
            </w:pPr>
            <w:r>
              <w:rPr>
                <w:rFonts w:ascii="Arial" w:cs="Arial" w:eastAsia="Arial" w:hAnsi="Arial"/>
                <w:sz w:val="14"/>
                <w:szCs w:val="14"/>
                <w:color w:val="auto"/>
              </w:rPr>
              <w:t>31</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$5,611,545</w:t>
            </w:r>
          </w:p>
        </w:tc>
        <w:tc>
          <w:tcPr>
            <w:tcW w:w="1960" w:type="dxa"/>
            <w:vAlign w:val="bottom"/>
          </w:tcPr>
          <w:p>
            <w:pPr>
              <w:spacing w:after="0"/>
              <w:rPr>
                <w:sz w:val="18"/>
                <w:szCs w:val="18"/>
                <w:color w:val="auto"/>
              </w:rPr>
            </w:pPr>
          </w:p>
        </w:tc>
      </w:tr>
      <w:tr>
        <w:trPr>
          <w:trHeight w:val="86"/>
        </w:trPr>
        <w:tc>
          <w:tcPr>
            <w:tcW w:w="1820" w:type="dxa"/>
            <w:vAlign w:val="bottom"/>
            <w:tcBorders>
              <w:bottom w:val="single" w:sz="8" w:color="auto"/>
              <w:right w:val="single" w:sz="8" w:color="auto"/>
            </w:tcBorders>
            <w:shd w:val="clear" w:color="auto" w:fill="F7AB6C"/>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r>
      <w:tr>
        <w:trPr>
          <w:trHeight w:val="370"/>
        </w:trPr>
        <w:tc>
          <w:tcPr>
            <w:tcW w:w="1820" w:type="dxa"/>
            <w:vAlign w:val="bottom"/>
            <w:tcBorders>
              <w:bottom w:val="single" w:sz="8" w:color="F7AB6C"/>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 xml:space="preserve">Robert B. Hevert </w:t>
            </w:r>
            <w:r>
              <w:rPr>
                <w:rFonts w:ascii="Arial" w:cs="Arial" w:eastAsia="Arial" w:hAnsi="Arial"/>
                <w:sz w:val="20"/>
                <w:szCs w:val="20"/>
                <w:b w:val="1"/>
                <w:bCs w:val="1"/>
                <w:i w:val="1"/>
                <w:iCs w:val="1"/>
                <w:color w:val="auto"/>
                <w:vertAlign w:val="superscript"/>
              </w:rPr>
              <w:t>(2)</w:t>
            </w:r>
          </w:p>
        </w:tc>
        <w:tc>
          <w:tcPr>
            <w:tcW w:w="1500" w:type="dxa"/>
            <w:vAlign w:val="bottom"/>
          </w:tcPr>
          <w:p>
            <w:pPr>
              <w:ind w:left="940"/>
              <w:spacing w:after="0"/>
              <w:rPr>
                <w:sz w:val="20"/>
                <w:szCs w:val="20"/>
                <w:color w:val="auto"/>
              </w:rPr>
            </w:pPr>
            <w:r>
              <w:rPr>
                <w:rFonts w:ascii="Arial" w:cs="Arial" w:eastAsia="Arial" w:hAnsi="Arial"/>
                <w:sz w:val="14"/>
                <w:szCs w:val="14"/>
                <w:color w:val="auto"/>
              </w:rPr>
              <w:t>   —</w:t>
            </w:r>
          </w:p>
        </w:tc>
        <w:tc>
          <w:tcPr>
            <w:tcW w:w="5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Borders>
              <w:right w:val="single" w:sz="8" w:color="auto"/>
            </w:tcBorders>
          </w:tcPr>
          <w:p>
            <w:pPr>
              <w:jc w:val="center"/>
              <w:ind w:right="271"/>
              <w:spacing w:after="0"/>
              <w:rPr>
                <w:sz w:val="20"/>
                <w:szCs w:val="20"/>
                <w:color w:val="auto"/>
              </w:rPr>
            </w:pPr>
            <w:r>
              <w:rPr>
                <w:rFonts w:ascii="Arial" w:cs="Arial" w:eastAsia="Arial" w:hAnsi="Arial"/>
                <w:sz w:val="14"/>
                <w:szCs w:val="14"/>
                <w:color w:val="auto"/>
                <w:w w:val="99"/>
              </w:rPr>
              <w:t>—</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370"/>
        </w:trPr>
        <w:tc>
          <w:tcPr>
            <w:tcW w:w="1820" w:type="dxa"/>
            <w:vAlign w:val="bottom"/>
            <w:tcBorders>
              <w:top w:val="single" w:sz="8" w:color="auto"/>
              <w:bottom w:val="single" w:sz="8" w:color="F7AB6C"/>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 xml:space="preserve">Daniel J. Hurstak </w:t>
            </w:r>
            <w:r>
              <w:rPr>
                <w:rFonts w:ascii="Arial" w:cs="Arial" w:eastAsia="Arial" w:hAnsi="Arial"/>
                <w:sz w:val="20"/>
                <w:szCs w:val="20"/>
                <w:b w:val="1"/>
                <w:bCs w:val="1"/>
                <w:i w:val="1"/>
                <w:iCs w:val="1"/>
                <w:color w:val="auto"/>
                <w:vertAlign w:val="superscript"/>
              </w:rPr>
              <w:t>(2)</w:t>
            </w:r>
          </w:p>
        </w:tc>
        <w:tc>
          <w:tcPr>
            <w:tcW w:w="1500" w:type="dxa"/>
            <w:vAlign w:val="bottom"/>
            <w:tcBorders>
              <w:top w:val="single" w:sz="8" w:color="auto"/>
            </w:tcBorders>
          </w:tcPr>
          <w:p>
            <w:pPr>
              <w:ind w:left="940"/>
              <w:spacing w:after="0"/>
              <w:rPr>
                <w:sz w:val="20"/>
                <w:szCs w:val="20"/>
                <w:color w:val="auto"/>
              </w:rPr>
            </w:pPr>
            <w:r>
              <w:rPr>
                <w:rFonts w:ascii="Arial" w:cs="Arial" w:eastAsia="Arial" w:hAnsi="Arial"/>
                <w:sz w:val="14"/>
                <w:szCs w:val="14"/>
                <w:color w:val="auto"/>
              </w:rPr>
              <w:t>   —</w:t>
            </w:r>
          </w:p>
        </w:tc>
        <w:tc>
          <w:tcPr>
            <w:tcW w:w="540" w:type="dxa"/>
            <w:vAlign w:val="bottom"/>
            <w:tcBorders>
              <w:top w:val="single" w:sz="8" w:color="auto"/>
              <w:right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80" w:type="dxa"/>
            <w:vAlign w:val="bottom"/>
            <w:tcBorders>
              <w:top w:val="single" w:sz="8" w:color="auto"/>
              <w:right w:val="single" w:sz="8" w:color="auto"/>
            </w:tcBorders>
          </w:tcPr>
          <w:p>
            <w:pPr>
              <w:jc w:val="center"/>
              <w:ind w:right="271"/>
              <w:spacing w:after="0"/>
              <w:rPr>
                <w:sz w:val="20"/>
                <w:szCs w:val="20"/>
                <w:color w:val="auto"/>
              </w:rPr>
            </w:pPr>
            <w:r>
              <w:rPr>
                <w:rFonts w:ascii="Arial" w:cs="Arial" w:eastAsia="Arial" w:hAnsi="Arial"/>
                <w:sz w:val="14"/>
                <w:szCs w:val="14"/>
                <w:color w:val="auto"/>
                <w:w w:val="99"/>
              </w:rPr>
              <w:t>—</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258"/>
        </w:trPr>
        <w:tc>
          <w:tcPr>
            <w:tcW w:w="1820" w:type="dxa"/>
            <w:vAlign w:val="bottom"/>
            <w:tcBorders>
              <w:top w:val="single" w:sz="8" w:color="auto"/>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Justin Eisfeller</w:t>
            </w:r>
          </w:p>
        </w:tc>
        <w:tc>
          <w:tcPr>
            <w:tcW w:w="150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Retirement Plan</w:t>
            </w:r>
          </w:p>
        </w:tc>
        <w:tc>
          <w:tcPr>
            <w:tcW w:w="540" w:type="dxa"/>
            <w:vAlign w:val="bottom"/>
            <w:tcBorders>
              <w:top w:val="single" w:sz="8" w:color="auto"/>
              <w:right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680" w:type="dxa"/>
            <w:vAlign w:val="bottom"/>
            <w:tcBorders>
              <w:top w:val="single" w:sz="8" w:color="auto"/>
              <w:right w:val="single" w:sz="8" w:color="auto"/>
            </w:tcBorders>
          </w:tcPr>
          <w:p>
            <w:pPr>
              <w:jc w:val="center"/>
              <w:ind w:right="291"/>
              <w:spacing w:after="0"/>
              <w:rPr>
                <w:sz w:val="20"/>
                <w:szCs w:val="20"/>
                <w:color w:val="auto"/>
              </w:rPr>
            </w:pPr>
            <w:r>
              <w:rPr>
                <w:rFonts w:ascii="Arial" w:cs="Arial" w:eastAsia="Arial" w:hAnsi="Arial"/>
                <w:sz w:val="14"/>
                <w:szCs w:val="14"/>
                <w:color w:val="auto"/>
              </w:rPr>
              <w:t>24</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$998,853</w:t>
            </w: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112"/>
        </w:trPr>
        <w:tc>
          <w:tcPr>
            <w:tcW w:w="1820" w:type="dxa"/>
            <w:vAlign w:val="bottom"/>
            <w:tcBorders>
              <w:bottom w:val="single" w:sz="8" w:color="auto"/>
              <w:right w:val="single" w:sz="8" w:color="auto"/>
            </w:tcBorders>
            <w:shd w:val="clear" w:color="auto" w:fill="F7AB6C"/>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r>
      <w:tr>
        <w:trPr>
          <w:trHeight w:val="225"/>
        </w:trPr>
        <w:tc>
          <w:tcPr>
            <w:tcW w:w="1820" w:type="dxa"/>
            <w:vAlign w:val="bottom"/>
            <w:tcBorders>
              <w:right w:val="single" w:sz="8" w:color="auto"/>
            </w:tcBorders>
            <w:shd w:val="clear" w:color="auto" w:fill="F7AB6C"/>
          </w:tcPr>
          <w:p>
            <w:pPr>
              <w:ind w:left="80"/>
              <w:spacing w:after="0"/>
              <w:rPr>
                <w:sz w:val="20"/>
                <w:szCs w:val="20"/>
                <w:color w:val="auto"/>
              </w:rPr>
            </w:pPr>
            <w:r>
              <w:rPr>
                <w:rFonts w:ascii="Arial" w:cs="Arial" w:eastAsia="Arial" w:hAnsi="Arial"/>
                <w:sz w:val="14"/>
                <w:szCs w:val="14"/>
                <w:b w:val="1"/>
                <w:bCs w:val="1"/>
                <w:color w:val="auto"/>
              </w:rPr>
              <w:t>Christopher J. LeBlanc</w:t>
            </w:r>
          </w:p>
        </w:tc>
        <w:tc>
          <w:tcPr>
            <w:tcW w:w="1500" w:type="dxa"/>
            <w:vAlign w:val="bottom"/>
          </w:tcPr>
          <w:p>
            <w:pPr>
              <w:ind w:left="140"/>
              <w:spacing w:after="0"/>
              <w:rPr>
                <w:sz w:val="20"/>
                <w:szCs w:val="20"/>
                <w:color w:val="auto"/>
              </w:rPr>
            </w:pPr>
            <w:r>
              <w:rPr>
                <w:rFonts w:ascii="Arial" w:cs="Arial" w:eastAsia="Arial" w:hAnsi="Arial"/>
                <w:sz w:val="14"/>
                <w:szCs w:val="14"/>
                <w:color w:val="auto"/>
              </w:rPr>
              <w:t>Retirement Plan</w:t>
            </w:r>
          </w:p>
        </w:tc>
        <w:tc>
          <w:tcPr>
            <w:tcW w:w="5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Borders>
              <w:right w:val="single" w:sz="8" w:color="auto"/>
            </w:tcBorders>
          </w:tcPr>
          <w:p>
            <w:pPr>
              <w:jc w:val="center"/>
              <w:ind w:right="291"/>
              <w:spacing w:after="0"/>
              <w:rPr>
                <w:sz w:val="20"/>
                <w:szCs w:val="20"/>
                <w:color w:val="auto"/>
              </w:rPr>
            </w:pPr>
            <w:r>
              <w:rPr>
                <w:rFonts w:ascii="Arial" w:cs="Arial" w:eastAsia="Arial" w:hAnsi="Arial"/>
                <w:sz w:val="14"/>
                <w:szCs w:val="14"/>
                <w:color w:val="auto"/>
              </w:rPr>
              <w:t>25</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$1,095,813</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06"/>
        </w:trPr>
        <w:tc>
          <w:tcPr>
            <w:tcW w:w="1820" w:type="dxa"/>
            <w:vAlign w:val="bottom"/>
            <w:tcBorders>
              <w:bottom w:val="single" w:sz="8" w:color="auto"/>
              <w:right w:val="single" w:sz="8" w:color="auto"/>
            </w:tcBorders>
            <w:shd w:val="clear" w:color="auto" w:fill="F7AB6C"/>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-1484630</wp:posOffset>
            </wp:positionV>
            <wp:extent cx="8255" cy="1733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-1484630</wp:posOffset>
            </wp:positionV>
            <wp:extent cx="8255" cy="1733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-1484630</wp:posOffset>
            </wp:positionV>
            <wp:extent cx="8255" cy="1733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-1484630</wp:posOffset>
            </wp:positionV>
            <wp:extent cx="8255" cy="1733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156845</wp:posOffset>
            </wp:positionV>
            <wp:extent cx="63373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NOTES:</w:t>
      </w:r>
    </w:p>
    <w:p>
      <w:pPr>
        <w:spacing w:after="0" w:line="116" w:lineRule="exact"/>
        <w:rPr>
          <w:sz w:val="20"/>
          <w:szCs w:val="20"/>
          <w:color w:val="auto"/>
        </w:rPr>
      </w:pPr>
    </w:p>
    <w:p>
      <w:pPr>
        <w:ind w:left="1620" w:right="40" w:hanging="492"/>
        <w:spacing w:after="0" w:line="252" w:lineRule="auto"/>
        <w:tabs>
          <w:tab w:leader="none" w:pos="1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present value amounts calculated by our actuary are based on assumptions for the growth of Unitil’s 401(k) contribution (applies to the SERP only), participant’s salary, and participant’s age. The Retirement Plan present value of accumulated benefit was calculated using a discount rate of 5.39%. The SERP present value of accumulated benefit was calculated using a discount rate of 5.26%.</w:t>
      </w:r>
    </w:p>
    <w:p>
      <w:pPr>
        <w:spacing w:after="0" w:line="75" w:lineRule="exact"/>
        <w:rPr>
          <w:rFonts w:ascii="Arial" w:cs="Arial" w:eastAsia="Arial" w:hAnsi="Arial"/>
          <w:sz w:val="17"/>
          <w:szCs w:val="17"/>
          <w:color w:val="auto"/>
        </w:rPr>
      </w:pPr>
    </w:p>
    <w:p>
      <w:pPr>
        <w:ind w:left="1620" w:right="180" w:hanging="492"/>
        <w:spacing w:after="0" w:line="280" w:lineRule="auto"/>
        <w:tabs>
          <w:tab w:leader="none" w:pos="1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Mr. Hevert and Mr. Hurstak do not participate in the Retirement Plan or the SERP as both plans were closed to new participants when they began their employment with us on July 23, 2020, and March 23, 2020, respectively.</w:t>
      </w:r>
    </w:p>
    <w:p>
      <w:pPr>
        <w:spacing w:after="0" w:line="200" w:lineRule="exact"/>
        <w:rPr>
          <w:sz w:val="20"/>
          <w:szCs w:val="20"/>
          <w:color w:val="auto"/>
        </w:rPr>
      </w:pPr>
    </w:p>
    <w:p>
      <w:pPr>
        <w:spacing w:after="0" w:line="248"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THE SUPPLEMENTAL EXECUTIVE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right="40"/>
        <w:spacing w:after="0" w:line="264" w:lineRule="auto"/>
        <w:rPr>
          <w:sz w:val="20"/>
          <w:szCs w:val="20"/>
          <w:color w:val="auto"/>
        </w:rPr>
      </w:pPr>
      <w:r>
        <w:rPr>
          <w:rFonts w:ascii="Arial" w:cs="Arial" w:eastAsia="Arial" w:hAnsi="Arial"/>
          <w:sz w:val="21"/>
          <w:szCs w:val="21"/>
          <w:color w:val="auto"/>
        </w:rPr>
        <w:t>We also maintain a SERP, a non-qualified defined benefit plan. The SERP provides supplemental retirement benefits to executives selected by the Board. The SERP is closed to new participants.</w:t>
      </w:r>
    </w:p>
    <w:p>
      <w:pPr>
        <w:spacing w:after="0" w:line="144" w:lineRule="exact"/>
        <w:rPr>
          <w:sz w:val="20"/>
          <w:szCs w:val="20"/>
          <w:color w:val="auto"/>
        </w:rPr>
      </w:pPr>
    </w:p>
    <w:p>
      <w:pPr>
        <w:ind w:left="640" w:right="20"/>
        <w:spacing w:after="0" w:line="238" w:lineRule="auto"/>
        <w:rPr>
          <w:sz w:val="20"/>
          <w:szCs w:val="20"/>
          <w:color w:val="auto"/>
        </w:rPr>
      </w:pPr>
      <w:r>
        <w:rPr>
          <w:rFonts w:ascii="Arial" w:cs="Arial" w:eastAsia="Arial" w:hAnsi="Arial"/>
          <w:sz w:val="21"/>
          <w:szCs w:val="21"/>
          <w:color w:val="auto"/>
        </w:rPr>
        <w:t>As of December 31, 2025, Mr. Meissner is the only active employee selected by the Board to receive SERP benefits upon attaining normal retirement eligibility, which occurs when the participant reaches age 65, or early retirement eligibility, which occurs when the participant reaches both age 55 and has completed 15 years of service. For a participant who elects to begin receiving early retirement benefits under the SERP prior to attaining age 60, the benefits are reduced by 0.417 of 1% for each full calendar month that commencement of benefits precedes attainment of age 60. Mr. Meissner became eligible for early retirement in 2017.</w:t>
      </w:r>
    </w:p>
    <w:p>
      <w:pPr>
        <w:spacing w:after="0" w:line="169" w:lineRule="exact"/>
        <w:rPr>
          <w:sz w:val="20"/>
          <w:szCs w:val="20"/>
          <w:color w:val="auto"/>
        </w:rPr>
      </w:pPr>
    </w:p>
    <w:p>
      <w:pPr>
        <w:ind w:left="640" w:right="380"/>
        <w:spacing w:after="0" w:line="267" w:lineRule="auto"/>
        <w:rPr>
          <w:sz w:val="20"/>
          <w:szCs w:val="20"/>
          <w:color w:val="auto"/>
        </w:rPr>
      </w:pPr>
      <w:r>
        <w:rPr>
          <w:rFonts w:ascii="Arial" w:cs="Arial" w:eastAsia="Arial" w:hAnsi="Arial"/>
          <w:sz w:val="20"/>
          <w:szCs w:val="20"/>
          <w:color w:val="auto"/>
        </w:rPr>
        <w:t>If a participant terminates employment for any reason prior to retirement, other than due to death or in connection with a change in control as described below, the participant will not be entitled to any benefits under the SERP. Annual benefits are based on an amount equal to 60% of a participant’s final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131445</wp:posOffset>
            </wp:positionV>
            <wp:extent cx="6337300" cy="825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620"/>
          </w:cols>
          <w:pgMar w:left="320" w:top="470" w:right="9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380"/>
        <w:spacing w:after="0" w:line="243" w:lineRule="auto"/>
        <w:rPr>
          <w:sz w:val="20"/>
          <w:szCs w:val="20"/>
          <w:color w:val="auto"/>
        </w:rPr>
      </w:pPr>
      <w:r>
        <w:rPr>
          <w:rFonts w:ascii="Arial" w:cs="Arial" w:eastAsia="Arial" w:hAnsi="Arial"/>
          <w:sz w:val="21"/>
          <w:szCs w:val="21"/>
          <w:color w:val="auto"/>
        </w:rPr>
        <w:t>earnings, which includes annual salary and annual cash incentives. The annual benefit is offset by (i) the participant’s benefits payable under the Retirement Plan; (ii) other retirement income payable to the participant by us or any previous employer; (iii) income that a participant receives as a primary Social Security benefit, and (iv) the balance of the 401(k) Company match.</w:t>
      </w:r>
    </w:p>
    <w:p>
      <w:pPr>
        <w:spacing w:after="0" w:line="165" w:lineRule="exact"/>
        <w:rPr>
          <w:sz w:val="20"/>
          <w:szCs w:val="20"/>
          <w:color w:val="auto"/>
        </w:rPr>
      </w:pPr>
    </w:p>
    <w:p>
      <w:pPr>
        <w:ind w:left="640" w:right="140"/>
        <w:spacing w:after="0" w:line="238" w:lineRule="auto"/>
        <w:rPr>
          <w:sz w:val="20"/>
          <w:szCs w:val="20"/>
          <w:color w:val="auto"/>
        </w:rPr>
      </w:pPr>
      <w:r>
        <w:rPr>
          <w:rFonts w:ascii="Arial" w:cs="Arial" w:eastAsia="Arial" w:hAnsi="Arial"/>
          <w:sz w:val="21"/>
          <w:szCs w:val="21"/>
          <w:color w:val="auto"/>
        </w:rPr>
        <w:t xml:space="preserve">If a change in control occurs and a participant’s employment terminates prior to the earlier to occur of the participant being eligible for retirement or early retirement, then the participant will begin to receive benefits on the earlier to occur of the date on which they would have attained normal or early retirement eligibility. In this case, the participant’s benefits would be determined by assuming the participant had remained employed and continued to accrue additional years of service. The term “change in control” as used in the SERP is defined in the section entitled </w:t>
      </w:r>
      <w:r>
        <w:rPr>
          <w:rFonts w:ascii="Arial" w:cs="Arial" w:eastAsia="Arial" w:hAnsi="Arial"/>
          <w:sz w:val="21"/>
          <w:szCs w:val="21"/>
          <w:i w:val="1"/>
          <w:iCs w:val="1"/>
          <w:color w:val="auto"/>
        </w:rPr>
        <w:t>Compensation – Compensation of Named Executive Officers—</w:t>
      </w:r>
      <w:r>
        <w:rPr>
          <w:rFonts w:ascii="Arial" w:cs="Arial" w:eastAsia="Arial" w:hAnsi="Arial"/>
          <w:sz w:val="21"/>
          <w:szCs w:val="21"/>
          <w:color w:val="auto"/>
        </w:rPr>
        <w:t xml:space="preserve"> </w:t>
      </w:r>
      <w:r>
        <w:rPr>
          <w:rFonts w:ascii="Arial" w:cs="Arial" w:eastAsia="Arial" w:hAnsi="Arial"/>
          <w:sz w:val="21"/>
          <w:szCs w:val="21"/>
          <w:i w:val="1"/>
          <w:iCs w:val="1"/>
          <w:color w:val="auto"/>
        </w:rPr>
        <w:t>Definition of Change of Control, Cause and Good Reason</w:t>
      </w:r>
      <w:r>
        <w:rPr>
          <w:rFonts w:ascii="Arial" w:cs="Arial" w:eastAsia="Arial" w:hAnsi="Arial"/>
          <w:sz w:val="21"/>
          <w:szCs w:val="21"/>
          <w:color w:val="auto"/>
        </w:rPr>
        <w: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right="40"/>
        <w:spacing w:after="0" w:line="235" w:lineRule="auto"/>
        <w:rPr>
          <w:sz w:val="20"/>
          <w:szCs w:val="20"/>
          <w:color w:val="auto"/>
        </w:rPr>
      </w:pPr>
      <w:r>
        <w:rPr>
          <w:rFonts w:ascii="Arial" w:cs="Arial" w:eastAsia="Arial" w:hAnsi="Arial"/>
          <w:sz w:val="21"/>
          <w:szCs w:val="21"/>
          <w:color w:val="auto"/>
        </w:rPr>
        <w:t>The Unitil Corporation Deferred Compensation Plan (the “DC Plan”) is an unfunded, non-qualified deferred compensation plan that provides a vehicle for participants to accumulate tax-deferred savings to supplement retirement income. The DC Plan is open to senior management or other highly compensated employees as determined by the Board, and may also be used for recruitment and retention purposes for newly hired senior executives. The DC Plan mirrors our Tax Deferred Savings and Investment Plan, but provides for contributions on compensation above the IRS limit, allowing participants to defer up to 85% of base salary, and up to 85% of any cash incentive for retirement. We may also elect to make discretionary contributions on behalf of any participant in an amount equal to a specified percentage of the participant’s compensation, a flat dollar amount and/or an amount equal to a specified percentage of any compensation deferred. Any contribution shall be made entirely at the discretion of the Board. As an unfunded plan, our obligation to make payments under the DC Plan constitutes solely an unsecured (but legally enforceable) promise to make such payments, and no person, including any participant or beneficiary shall have any lien, prior claim or other security interest in any of our property as a result of the DC Plan. Any amounts payable under the DC Plan shall be paid out of our general assets and each participant and/or beneficiary shall be deemed to be no more than one of our general unsecured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149225</wp:posOffset>
            </wp:positionV>
            <wp:extent cx="6337300" cy="825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620"/>
          </w:cols>
          <w:pgMar w:left="320" w:top="470" w:right="9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80"/>
        <w:spacing w:after="0" w:line="248" w:lineRule="auto"/>
        <w:rPr>
          <w:sz w:val="20"/>
          <w:szCs w:val="20"/>
          <w:color w:val="auto"/>
        </w:rPr>
      </w:pPr>
      <w:r>
        <w:rPr>
          <w:rFonts w:ascii="Arial" w:cs="Arial" w:eastAsia="Arial" w:hAnsi="Arial"/>
          <w:sz w:val="21"/>
          <w:szCs w:val="21"/>
          <w:color w:val="auto"/>
        </w:rPr>
        <w:t>In 2025, Mr. Hevert, Mr. Hurstak, Mr. Eisfeller and Mr. LeBlanc participated in the DC Plan, all of whom were eligible for contributions from us in 2025. We anticipate that additional Named Executive Officers will participate in the DC Plan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135255</wp:posOffset>
            </wp:positionV>
            <wp:extent cx="6337300" cy="2476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337300" cy="247650"/>
                    </a:xfrm>
                    <a:prstGeom prst="rect">
                      <a:avLst/>
                    </a:prstGeom>
                    <a:noFill/>
                  </pic:spPr>
                </pic:pic>
              </a:graphicData>
            </a:graphic>
          </wp:anchor>
        </w:drawing>
      </w:r>
    </w:p>
    <w:p>
      <w:pPr>
        <w:spacing w:after="0" w:line="245" w:lineRule="exact"/>
        <w:rPr>
          <w:sz w:val="20"/>
          <w:szCs w:val="20"/>
          <w:color w:val="auto"/>
        </w:rPr>
      </w:pPr>
    </w:p>
    <w:p>
      <w:pPr>
        <w:ind w:left="2320"/>
        <w:spacing w:after="0"/>
        <w:rPr>
          <w:sz w:val="20"/>
          <w:szCs w:val="20"/>
          <w:color w:val="auto"/>
        </w:rPr>
      </w:pPr>
      <w:r>
        <w:rPr>
          <w:rFonts w:ascii="Arial" w:cs="Arial" w:eastAsia="Arial" w:hAnsi="Arial"/>
          <w:sz w:val="21"/>
          <w:szCs w:val="21"/>
          <w:b w:val="1"/>
          <w:bCs w:val="1"/>
          <w:color w:val="FFFFFF"/>
        </w:rPr>
        <w:t>NON-QUALIFIED DEFERRED COMPENSATION: FISCAL YEAR 2025</w:t>
      </w:r>
    </w:p>
    <w:p>
      <w:pPr>
        <w:spacing w:after="0" w:line="8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380" w:type="dxa"/>
            <w:vAlign w:val="bottom"/>
            <w:tcBorders>
              <w:right w:val="single" w:sz="8" w:color="auto"/>
            </w:tcBorders>
          </w:tcPr>
          <w:p>
            <w:pPr>
              <w:spacing w:after="0"/>
              <w:rPr>
                <w:sz w:val="14"/>
                <w:szCs w:val="14"/>
                <w:color w:val="auto"/>
              </w:rPr>
            </w:pPr>
          </w:p>
        </w:tc>
        <w:tc>
          <w:tcPr>
            <w:tcW w:w="1080" w:type="dxa"/>
            <w:vAlign w:val="bottom"/>
          </w:tcPr>
          <w:p>
            <w:pPr>
              <w:jc w:val="center"/>
              <w:ind w:left="251"/>
              <w:spacing w:after="0"/>
              <w:rPr>
                <w:sz w:val="20"/>
                <w:szCs w:val="20"/>
                <w:color w:val="auto"/>
              </w:rPr>
            </w:pPr>
            <w:r>
              <w:rPr>
                <w:rFonts w:ascii="Arial" w:cs="Arial" w:eastAsia="Arial" w:hAnsi="Arial"/>
                <w:sz w:val="14"/>
                <w:szCs w:val="14"/>
                <w:b w:val="1"/>
                <w:bCs w:val="1"/>
                <w:color w:val="auto"/>
                <w:w w:val="85"/>
              </w:rPr>
              <w:t>Executive </w:t>
            </w:r>
          </w:p>
        </w:tc>
        <w:tc>
          <w:tcPr>
            <w:tcW w:w="26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 </w:t>
            </w:r>
          </w:p>
        </w:tc>
        <w:tc>
          <w:tcPr>
            <w:tcW w:w="1120" w:type="dxa"/>
            <w:vAlign w:val="bottom"/>
          </w:tcPr>
          <w:p>
            <w:pPr>
              <w:jc w:val="center"/>
              <w:ind w:left="331"/>
              <w:spacing w:after="0"/>
              <w:rPr>
                <w:sz w:val="20"/>
                <w:szCs w:val="20"/>
                <w:color w:val="auto"/>
              </w:rPr>
            </w:pPr>
            <w:r>
              <w:rPr>
                <w:rFonts w:ascii="Arial" w:cs="Arial" w:eastAsia="Arial" w:hAnsi="Arial"/>
                <w:sz w:val="14"/>
                <w:szCs w:val="14"/>
                <w:b w:val="1"/>
                <w:bCs w:val="1"/>
                <w:color w:val="auto"/>
                <w:w w:val="86"/>
              </w:rPr>
              <w:t>Registrant </w:t>
            </w:r>
          </w:p>
        </w:tc>
        <w:tc>
          <w:tcPr>
            <w:tcW w:w="240" w:type="dxa"/>
            <w:vAlign w:val="bottom"/>
          </w:tcPr>
          <w:p>
            <w:pPr>
              <w:ind w:left="100"/>
              <w:spacing w:after="0"/>
              <w:rPr>
                <w:sz w:val="20"/>
                <w:szCs w:val="20"/>
                <w:color w:val="auto"/>
              </w:rPr>
            </w:pPr>
            <w:r>
              <w:rPr>
                <w:rFonts w:ascii="Arial" w:cs="Arial" w:eastAsia="Arial" w:hAnsi="Arial"/>
                <w:sz w:val="14"/>
                <w:szCs w:val="14"/>
                <w:b w:val="1"/>
                <w:bCs w:val="1"/>
                <w:color w:val="auto"/>
              </w:rPr>
              <w:t> </w:t>
            </w:r>
          </w:p>
        </w:tc>
        <w:tc>
          <w:tcPr>
            <w:tcW w:w="40" w:type="dxa"/>
            <w:vAlign w:val="bottom"/>
            <w:tcBorders>
              <w:right w:val="single" w:sz="8" w:color="auto"/>
            </w:tcBorders>
            <w:shd w:val="clear" w:color="auto" w:fill="000000"/>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280" w:type="dxa"/>
            <w:vAlign w:val="bottom"/>
            <w:gridSpan w:val="2"/>
          </w:tcPr>
          <w:p>
            <w:pPr>
              <w:ind w:left="380"/>
              <w:spacing w:after="0"/>
              <w:rPr>
                <w:sz w:val="20"/>
                <w:szCs w:val="20"/>
                <w:color w:val="auto"/>
              </w:rPr>
            </w:pPr>
            <w:r>
              <w:rPr>
                <w:rFonts w:ascii="Arial" w:cs="Arial" w:eastAsia="Arial" w:hAnsi="Arial"/>
                <w:sz w:val="14"/>
                <w:szCs w:val="14"/>
                <w:b w:val="1"/>
                <w:bCs w:val="1"/>
                <w:color w:val="auto"/>
              </w:rPr>
              <w:t xml:space="preserve">Aggregate    </w:t>
            </w:r>
          </w:p>
        </w:tc>
        <w:tc>
          <w:tcPr>
            <w:tcW w:w="10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56"/>
        </w:trPr>
        <w:tc>
          <w:tcPr>
            <w:tcW w:w="238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gridSpan w:val="2"/>
          </w:tcPr>
          <w:p>
            <w:pPr>
              <w:jc w:val="center"/>
              <w:ind w:left="151"/>
              <w:spacing w:after="0" w:line="156" w:lineRule="exact"/>
              <w:rPr>
                <w:sz w:val="20"/>
                <w:szCs w:val="20"/>
                <w:color w:val="auto"/>
              </w:rPr>
            </w:pPr>
            <w:r>
              <w:rPr>
                <w:rFonts w:ascii="Arial" w:cs="Arial" w:eastAsia="Arial" w:hAnsi="Arial"/>
                <w:sz w:val="14"/>
                <w:szCs w:val="14"/>
                <w:b w:val="1"/>
                <w:bCs w:val="1"/>
                <w:color w:val="auto"/>
              </w:rPr>
              <w:t xml:space="preserve">Contributions    </w:t>
            </w:r>
          </w:p>
        </w:tc>
        <w:tc>
          <w:tcPr>
            <w:tcW w:w="1360" w:type="dxa"/>
            <w:vAlign w:val="bottom"/>
            <w:gridSpan w:val="2"/>
          </w:tcPr>
          <w:p>
            <w:pPr>
              <w:jc w:val="center"/>
              <w:ind w:left="211"/>
              <w:spacing w:after="0" w:line="156" w:lineRule="exact"/>
              <w:rPr>
                <w:sz w:val="20"/>
                <w:szCs w:val="20"/>
                <w:color w:val="auto"/>
              </w:rPr>
            </w:pPr>
            <w:r>
              <w:rPr>
                <w:rFonts w:ascii="Arial" w:cs="Arial" w:eastAsia="Arial" w:hAnsi="Arial"/>
                <w:sz w:val="14"/>
                <w:szCs w:val="14"/>
                <w:b w:val="1"/>
                <w:bCs w:val="1"/>
                <w:color w:val="auto"/>
              </w:rPr>
              <w:t xml:space="preserve">Contributions    </w:t>
            </w:r>
          </w:p>
        </w:tc>
        <w:tc>
          <w:tcPr>
            <w:tcW w:w="40" w:type="dxa"/>
            <w:vAlign w:val="bottom"/>
            <w:tcBorders>
              <w:right w:val="single" w:sz="8" w:color="auto"/>
            </w:tcBorders>
            <w:shd w:val="clear" w:color="auto" w:fill="000000"/>
          </w:tcPr>
          <w:p>
            <w:pPr>
              <w:spacing w:after="0"/>
              <w:rPr>
                <w:sz w:val="13"/>
                <w:szCs w:val="13"/>
                <w:color w:val="auto"/>
              </w:rPr>
            </w:pPr>
          </w:p>
        </w:tc>
        <w:tc>
          <w:tcPr>
            <w:tcW w:w="1780" w:type="dxa"/>
            <w:vAlign w:val="bottom"/>
            <w:tcBorders>
              <w:right w:val="single" w:sz="8" w:color="auto"/>
            </w:tcBorders>
            <w:gridSpan w:val="2"/>
          </w:tcPr>
          <w:p>
            <w:pPr>
              <w:jc w:val="center"/>
              <w:ind w:left="171"/>
              <w:spacing w:after="0" w:line="156" w:lineRule="exact"/>
              <w:rPr>
                <w:sz w:val="20"/>
                <w:szCs w:val="20"/>
                <w:color w:val="auto"/>
              </w:rPr>
            </w:pPr>
            <w:r>
              <w:rPr>
                <w:rFonts w:ascii="Arial" w:cs="Arial" w:eastAsia="Arial" w:hAnsi="Arial"/>
                <w:sz w:val="14"/>
                <w:szCs w:val="14"/>
                <w:b w:val="1"/>
                <w:bCs w:val="1"/>
                <w:color w:val="auto"/>
              </w:rPr>
              <w:t xml:space="preserve">Aggregate Earnings    </w:t>
            </w:r>
          </w:p>
        </w:tc>
        <w:tc>
          <w:tcPr>
            <w:tcW w:w="1280" w:type="dxa"/>
            <w:vAlign w:val="bottom"/>
            <w:gridSpan w:val="2"/>
          </w:tcPr>
          <w:p>
            <w:pPr>
              <w:jc w:val="center"/>
              <w:ind w:left="157"/>
              <w:spacing w:after="0" w:line="156" w:lineRule="exact"/>
              <w:rPr>
                <w:sz w:val="20"/>
                <w:szCs w:val="20"/>
                <w:color w:val="auto"/>
              </w:rPr>
            </w:pPr>
            <w:r>
              <w:rPr>
                <w:rFonts w:ascii="Arial" w:cs="Arial" w:eastAsia="Arial" w:hAnsi="Arial"/>
                <w:sz w:val="14"/>
                <w:szCs w:val="14"/>
                <w:b w:val="1"/>
                <w:bCs w:val="1"/>
                <w:color w:val="auto"/>
                <w:w w:val="90"/>
              </w:rPr>
              <w:t>Withdrawals / </w:t>
            </w:r>
          </w:p>
        </w:tc>
        <w:tc>
          <w:tcPr>
            <w:tcW w:w="1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4"/>
                <w:szCs w:val="14"/>
                <w:b w:val="1"/>
                <w:bCs w:val="1"/>
                <w:color w:val="auto"/>
                <w:w w:val="83"/>
              </w:rPr>
              <w:t> </w:t>
            </w:r>
          </w:p>
        </w:tc>
        <w:tc>
          <w:tcPr>
            <w:tcW w:w="1700" w:type="dxa"/>
            <w:vAlign w:val="bottom"/>
            <w:gridSpan w:val="2"/>
          </w:tcPr>
          <w:p>
            <w:pPr>
              <w:jc w:val="center"/>
              <w:ind w:left="211"/>
              <w:spacing w:after="0" w:line="156" w:lineRule="exact"/>
              <w:rPr>
                <w:sz w:val="20"/>
                <w:szCs w:val="20"/>
                <w:color w:val="auto"/>
              </w:rPr>
            </w:pPr>
            <w:r>
              <w:rPr>
                <w:rFonts w:ascii="Arial" w:cs="Arial" w:eastAsia="Arial" w:hAnsi="Arial"/>
                <w:sz w:val="14"/>
                <w:szCs w:val="14"/>
                <w:b w:val="1"/>
                <w:bCs w:val="1"/>
                <w:color w:val="auto"/>
              </w:rPr>
              <w:t xml:space="preserve">Aggregate Balance    </w:t>
            </w:r>
          </w:p>
        </w:tc>
      </w:tr>
      <w:tr>
        <w:trPr>
          <w:trHeight w:val="203"/>
        </w:trPr>
        <w:tc>
          <w:tcPr>
            <w:tcW w:w="23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   Name</w:t>
            </w:r>
          </w:p>
        </w:tc>
        <w:tc>
          <w:tcPr>
            <w:tcW w:w="1080" w:type="dxa"/>
            <w:vAlign w:val="bottom"/>
          </w:tcPr>
          <w:p>
            <w:pPr>
              <w:jc w:val="center"/>
              <w:ind w:left="271"/>
              <w:spacing w:after="0"/>
              <w:rPr>
                <w:sz w:val="20"/>
                <w:szCs w:val="20"/>
                <w:color w:val="auto"/>
              </w:rPr>
            </w:pPr>
            <w:r>
              <w:rPr>
                <w:rFonts w:ascii="Arial" w:cs="Arial" w:eastAsia="Arial" w:hAnsi="Arial"/>
                <w:sz w:val="14"/>
                <w:szCs w:val="14"/>
                <w:b w:val="1"/>
                <w:bCs w:val="1"/>
                <w:color w:val="auto"/>
                <w:w w:val="86"/>
              </w:rPr>
              <w:t>in Last FY </w:t>
            </w:r>
          </w:p>
        </w:tc>
        <w:tc>
          <w:tcPr>
            <w:tcW w:w="26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 </w:t>
            </w:r>
          </w:p>
        </w:tc>
        <w:tc>
          <w:tcPr>
            <w:tcW w:w="1120" w:type="dxa"/>
            <w:vAlign w:val="bottom"/>
          </w:tcPr>
          <w:p>
            <w:pPr>
              <w:jc w:val="center"/>
              <w:ind w:left="311"/>
              <w:spacing w:after="0"/>
              <w:rPr>
                <w:sz w:val="20"/>
                <w:szCs w:val="20"/>
                <w:color w:val="auto"/>
              </w:rPr>
            </w:pPr>
            <w:r>
              <w:rPr>
                <w:rFonts w:ascii="Arial" w:cs="Arial" w:eastAsia="Arial" w:hAnsi="Arial"/>
                <w:sz w:val="14"/>
                <w:szCs w:val="14"/>
                <w:b w:val="1"/>
                <w:bCs w:val="1"/>
                <w:color w:val="auto"/>
                <w:w w:val="86"/>
              </w:rPr>
              <w:t>in Last FY </w:t>
            </w:r>
          </w:p>
        </w:tc>
        <w:tc>
          <w:tcPr>
            <w:tcW w:w="240" w:type="dxa"/>
            <w:vAlign w:val="bottom"/>
          </w:tcPr>
          <w:p>
            <w:pPr>
              <w:ind w:left="80"/>
              <w:spacing w:after="0"/>
              <w:rPr>
                <w:sz w:val="20"/>
                <w:szCs w:val="20"/>
                <w:color w:val="auto"/>
              </w:rPr>
            </w:pPr>
            <w:r>
              <w:rPr>
                <w:rFonts w:ascii="Arial" w:cs="Arial" w:eastAsia="Arial" w:hAnsi="Arial"/>
                <w:sz w:val="14"/>
                <w:szCs w:val="14"/>
                <w:b w:val="1"/>
                <w:bCs w:val="1"/>
                <w:color w:val="auto"/>
              </w:rPr>
              <w:t> </w:t>
            </w:r>
          </w:p>
        </w:tc>
        <w:tc>
          <w:tcPr>
            <w:tcW w:w="40" w:type="dxa"/>
            <w:vAlign w:val="bottom"/>
            <w:tcBorders>
              <w:right w:val="single" w:sz="8" w:color="auto"/>
            </w:tcBorders>
            <w:shd w:val="clear" w:color="auto" w:fill="000000"/>
          </w:tcPr>
          <w:p>
            <w:pPr>
              <w:spacing w:after="0"/>
              <w:rPr>
                <w:sz w:val="17"/>
                <w:szCs w:val="17"/>
                <w:color w:val="auto"/>
              </w:rPr>
            </w:pPr>
          </w:p>
        </w:tc>
        <w:tc>
          <w:tcPr>
            <w:tcW w:w="1300" w:type="dxa"/>
            <w:vAlign w:val="bottom"/>
          </w:tcPr>
          <w:p>
            <w:pPr>
              <w:jc w:val="center"/>
              <w:ind w:left="531"/>
              <w:spacing w:after="0"/>
              <w:rPr>
                <w:sz w:val="20"/>
                <w:szCs w:val="20"/>
                <w:color w:val="auto"/>
              </w:rPr>
            </w:pPr>
            <w:r>
              <w:rPr>
                <w:rFonts w:ascii="Arial" w:cs="Arial" w:eastAsia="Arial" w:hAnsi="Arial"/>
                <w:sz w:val="14"/>
                <w:szCs w:val="14"/>
                <w:b w:val="1"/>
                <w:bCs w:val="1"/>
                <w:color w:val="auto"/>
                <w:w w:val="86"/>
              </w:rPr>
              <w:t>in Last FY </w:t>
            </w:r>
          </w:p>
        </w:tc>
        <w:tc>
          <w:tcPr>
            <w:tcW w:w="480" w:type="dxa"/>
            <w:vAlign w:val="bottom"/>
            <w:tcBorders>
              <w:right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 </w:t>
            </w:r>
          </w:p>
        </w:tc>
        <w:tc>
          <w:tcPr>
            <w:tcW w:w="1280" w:type="dxa"/>
            <w:vAlign w:val="bottom"/>
            <w:gridSpan w:val="2"/>
          </w:tcPr>
          <w:p>
            <w:pPr>
              <w:jc w:val="center"/>
              <w:ind w:left="157"/>
              <w:spacing w:after="0"/>
              <w:rPr>
                <w:sz w:val="20"/>
                <w:szCs w:val="20"/>
                <w:color w:val="auto"/>
              </w:rPr>
            </w:pPr>
            <w:r>
              <w:rPr>
                <w:rFonts w:ascii="Arial" w:cs="Arial" w:eastAsia="Arial" w:hAnsi="Arial"/>
                <w:sz w:val="14"/>
                <w:szCs w:val="14"/>
                <w:b w:val="1"/>
                <w:bCs w:val="1"/>
                <w:color w:val="auto"/>
                <w:w w:val="89"/>
              </w:rPr>
              <w:t>Distributions </w:t>
            </w:r>
          </w:p>
        </w:tc>
        <w:tc>
          <w:tcPr>
            <w:tcW w:w="10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 </w:t>
            </w:r>
          </w:p>
        </w:tc>
        <w:tc>
          <w:tcPr>
            <w:tcW w:w="1360" w:type="dxa"/>
            <w:vAlign w:val="bottom"/>
          </w:tcPr>
          <w:p>
            <w:pPr>
              <w:jc w:val="center"/>
              <w:ind w:left="411"/>
              <w:spacing w:after="0"/>
              <w:rPr>
                <w:sz w:val="20"/>
                <w:szCs w:val="20"/>
                <w:color w:val="auto"/>
              </w:rPr>
            </w:pPr>
            <w:r>
              <w:rPr>
                <w:rFonts w:ascii="Arial" w:cs="Arial" w:eastAsia="Arial" w:hAnsi="Arial"/>
                <w:sz w:val="14"/>
                <w:szCs w:val="14"/>
                <w:b w:val="1"/>
                <w:bCs w:val="1"/>
                <w:color w:val="auto"/>
                <w:w w:val="88"/>
              </w:rPr>
              <w:t>at Last FYE </w:t>
            </w:r>
          </w:p>
        </w:tc>
        <w:tc>
          <w:tcPr>
            <w:tcW w:w="340" w:type="dxa"/>
            <w:vAlign w:val="bottom"/>
          </w:tcPr>
          <w:p>
            <w:pPr>
              <w:ind w:left="60"/>
              <w:spacing w:after="0"/>
              <w:rPr>
                <w:sz w:val="20"/>
                <w:szCs w:val="20"/>
                <w:color w:val="auto"/>
              </w:rPr>
            </w:pPr>
            <w:r>
              <w:rPr>
                <w:rFonts w:ascii="Arial" w:cs="Arial" w:eastAsia="Arial" w:hAnsi="Arial"/>
                <w:sz w:val="14"/>
                <w:szCs w:val="14"/>
                <w:b w:val="1"/>
                <w:bCs w:val="1"/>
                <w:color w:val="auto"/>
              </w:rPr>
              <w:t> </w:t>
            </w:r>
          </w:p>
        </w:tc>
      </w:tr>
      <w:tr>
        <w:trPr>
          <w:trHeight w:val="241"/>
        </w:trPr>
        <w:tc>
          <w:tcPr>
            <w:tcW w:w="2380" w:type="dxa"/>
            <w:vAlign w:val="bottom"/>
            <w:tcBorders>
              <w:bottom w:val="single" w:sz="8" w:color="314A72"/>
              <w:right w:val="single" w:sz="8" w:color="314A72"/>
            </w:tcBorders>
            <w:shd w:val="clear" w:color="auto" w:fill="314A72"/>
          </w:tcPr>
          <w:p>
            <w:pPr>
              <w:ind w:left="1020"/>
              <w:spacing w:after="0"/>
              <w:rPr>
                <w:sz w:val="20"/>
                <w:szCs w:val="20"/>
                <w:color w:val="auto"/>
              </w:rPr>
            </w:pPr>
            <w:r>
              <w:rPr>
                <w:rFonts w:ascii="Arial" w:cs="Arial" w:eastAsia="Arial" w:hAnsi="Arial"/>
                <w:sz w:val="14"/>
                <w:szCs w:val="14"/>
                <w:b w:val="1"/>
                <w:bCs w:val="1"/>
                <w:color w:val="FFFFFF"/>
              </w:rPr>
              <w:t xml:space="preserve">(a)    </w:t>
            </w:r>
          </w:p>
        </w:tc>
        <w:tc>
          <w:tcPr>
            <w:tcW w:w="1080" w:type="dxa"/>
            <w:vAlign w:val="bottom"/>
            <w:tcBorders>
              <w:bottom w:val="single" w:sz="8" w:color="314A72"/>
            </w:tcBorders>
            <w:shd w:val="clear" w:color="auto" w:fill="314A72"/>
          </w:tcPr>
          <w:p>
            <w:pPr>
              <w:jc w:val="center"/>
              <w:ind w:left="411"/>
              <w:spacing w:after="0"/>
              <w:rPr>
                <w:sz w:val="20"/>
                <w:szCs w:val="20"/>
                <w:color w:val="auto"/>
              </w:rPr>
            </w:pPr>
            <w:r>
              <w:rPr>
                <w:rFonts w:ascii="Arial" w:cs="Arial" w:eastAsia="Arial" w:hAnsi="Arial"/>
                <w:sz w:val="14"/>
                <w:szCs w:val="14"/>
                <w:b w:val="1"/>
                <w:bCs w:val="1"/>
                <w:color w:val="FFFFFF"/>
              </w:rPr>
              <w:t xml:space="preserve">(b)    </w:t>
            </w:r>
          </w:p>
        </w:tc>
        <w:tc>
          <w:tcPr>
            <w:tcW w:w="260" w:type="dxa"/>
            <w:vAlign w:val="bottom"/>
            <w:tcBorders>
              <w:bottom w:val="single" w:sz="8" w:color="314A72"/>
              <w:right w:val="single" w:sz="8" w:color="314A72"/>
            </w:tcBorders>
            <w:shd w:val="clear" w:color="auto" w:fill="314A72"/>
          </w:tcPr>
          <w:p>
            <w:pPr>
              <w:spacing w:after="0"/>
              <w:rPr>
                <w:sz w:val="20"/>
                <w:szCs w:val="20"/>
                <w:color w:val="auto"/>
              </w:rPr>
            </w:pPr>
          </w:p>
        </w:tc>
        <w:tc>
          <w:tcPr>
            <w:tcW w:w="1120" w:type="dxa"/>
            <w:vAlign w:val="bottom"/>
            <w:tcBorders>
              <w:bottom w:val="single" w:sz="8" w:color="314A72"/>
            </w:tcBorders>
            <w:shd w:val="clear" w:color="auto" w:fill="314A72"/>
          </w:tcPr>
          <w:p>
            <w:pPr>
              <w:jc w:val="center"/>
              <w:ind w:left="471"/>
              <w:spacing w:after="0"/>
              <w:rPr>
                <w:sz w:val="20"/>
                <w:szCs w:val="20"/>
                <w:color w:val="auto"/>
              </w:rPr>
            </w:pPr>
            <w:r>
              <w:rPr>
                <w:rFonts w:ascii="Arial" w:cs="Arial" w:eastAsia="Arial" w:hAnsi="Arial"/>
                <w:sz w:val="14"/>
                <w:szCs w:val="14"/>
                <w:b w:val="1"/>
                <w:bCs w:val="1"/>
                <w:color w:val="FFFFFF"/>
              </w:rPr>
              <w:t xml:space="preserve">(c)    </w:t>
            </w:r>
          </w:p>
        </w:tc>
        <w:tc>
          <w:tcPr>
            <w:tcW w:w="240" w:type="dxa"/>
            <w:vAlign w:val="bottom"/>
            <w:tcBorders>
              <w:bottom w:val="single" w:sz="8" w:color="314A72"/>
            </w:tcBorders>
            <w:shd w:val="clear" w:color="auto" w:fill="314A72"/>
          </w:tcPr>
          <w:p>
            <w:pPr>
              <w:spacing w:after="0"/>
              <w:rPr>
                <w:sz w:val="20"/>
                <w:szCs w:val="20"/>
                <w:color w:val="auto"/>
              </w:rPr>
            </w:pPr>
          </w:p>
        </w:tc>
        <w:tc>
          <w:tcPr>
            <w:tcW w:w="40" w:type="dxa"/>
            <w:vAlign w:val="bottom"/>
            <w:tcBorders>
              <w:bottom w:val="single" w:sz="8" w:color="314A72"/>
              <w:right w:val="single" w:sz="8" w:color="314A72"/>
            </w:tcBorders>
            <w:shd w:val="clear" w:color="auto" w:fill="314A72"/>
          </w:tcPr>
          <w:p>
            <w:pPr>
              <w:spacing w:after="0"/>
              <w:rPr>
                <w:sz w:val="20"/>
                <w:szCs w:val="20"/>
                <w:color w:val="auto"/>
              </w:rPr>
            </w:pPr>
          </w:p>
        </w:tc>
        <w:tc>
          <w:tcPr>
            <w:tcW w:w="1300" w:type="dxa"/>
            <w:vAlign w:val="bottom"/>
            <w:tcBorders>
              <w:bottom w:val="single" w:sz="8" w:color="314A72"/>
            </w:tcBorders>
            <w:shd w:val="clear" w:color="auto" w:fill="314A72"/>
          </w:tcPr>
          <w:p>
            <w:pPr>
              <w:jc w:val="center"/>
              <w:ind w:left="671"/>
              <w:spacing w:after="0"/>
              <w:rPr>
                <w:sz w:val="20"/>
                <w:szCs w:val="20"/>
                <w:color w:val="auto"/>
              </w:rPr>
            </w:pPr>
            <w:r>
              <w:rPr>
                <w:rFonts w:ascii="Arial" w:cs="Arial" w:eastAsia="Arial" w:hAnsi="Arial"/>
                <w:sz w:val="14"/>
                <w:szCs w:val="14"/>
                <w:b w:val="1"/>
                <w:bCs w:val="1"/>
                <w:color w:val="FFFFFF"/>
              </w:rPr>
              <w:t xml:space="preserve">(d)    </w:t>
            </w:r>
          </w:p>
        </w:tc>
        <w:tc>
          <w:tcPr>
            <w:tcW w:w="480" w:type="dxa"/>
            <w:vAlign w:val="bottom"/>
            <w:tcBorders>
              <w:bottom w:val="single" w:sz="8" w:color="314A72"/>
              <w:right w:val="single" w:sz="8" w:color="314A72"/>
            </w:tcBorders>
            <w:shd w:val="clear" w:color="auto" w:fill="314A72"/>
          </w:tcPr>
          <w:p>
            <w:pPr>
              <w:spacing w:after="0"/>
              <w:rPr>
                <w:sz w:val="20"/>
                <w:szCs w:val="20"/>
                <w:color w:val="auto"/>
              </w:rPr>
            </w:pPr>
          </w:p>
        </w:tc>
        <w:tc>
          <w:tcPr>
            <w:tcW w:w="900" w:type="dxa"/>
            <w:vAlign w:val="bottom"/>
            <w:tcBorders>
              <w:bottom w:val="single" w:sz="8" w:color="314A72"/>
            </w:tcBorders>
            <w:shd w:val="clear" w:color="auto" w:fill="314A72"/>
          </w:tcPr>
          <w:p>
            <w:pPr>
              <w:jc w:val="center"/>
              <w:ind w:left="537"/>
              <w:spacing w:after="0"/>
              <w:rPr>
                <w:sz w:val="20"/>
                <w:szCs w:val="20"/>
                <w:color w:val="auto"/>
              </w:rPr>
            </w:pPr>
            <w:r>
              <w:rPr>
                <w:rFonts w:ascii="Arial" w:cs="Arial" w:eastAsia="Arial" w:hAnsi="Arial"/>
                <w:sz w:val="14"/>
                <w:szCs w:val="14"/>
                <w:b w:val="1"/>
                <w:bCs w:val="1"/>
                <w:color w:val="FFFFFF"/>
              </w:rPr>
              <w:t xml:space="preserve">(e) </w:t>
            </w:r>
          </w:p>
        </w:tc>
        <w:tc>
          <w:tcPr>
            <w:tcW w:w="380" w:type="dxa"/>
            <w:vAlign w:val="bottom"/>
            <w:tcBorders>
              <w:bottom w:val="single" w:sz="8" w:color="314A72"/>
            </w:tcBorders>
            <w:shd w:val="clear" w:color="auto" w:fill="314A72"/>
          </w:tcPr>
          <w:p>
            <w:pPr>
              <w:ind w:left="60"/>
              <w:spacing w:after="0"/>
              <w:rPr>
                <w:sz w:val="20"/>
                <w:szCs w:val="20"/>
                <w:color w:val="auto"/>
              </w:rPr>
            </w:pPr>
            <w:r>
              <w:rPr>
                <w:rFonts w:ascii="Arial" w:cs="Arial" w:eastAsia="Arial" w:hAnsi="Arial"/>
                <w:sz w:val="14"/>
                <w:szCs w:val="14"/>
                <w:b w:val="1"/>
                <w:bCs w:val="1"/>
                <w:color w:val="FFFFFF"/>
              </w:rPr>
              <w:t> </w:t>
            </w:r>
          </w:p>
        </w:tc>
        <w:tc>
          <w:tcPr>
            <w:tcW w:w="100" w:type="dxa"/>
            <w:vAlign w:val="bottom"/>
            <w:tcBorders>
              <w:bottom w:val="single" w:sz="8" w:color="314A72"/>
              <w:right w:val="single" w:sz="8" w:color="314A72"/>
            </w:tcBorders>
            <w:shd w:val="clear" w:color="auto" w:fill="314A72"/>
          </w:tcPr>
          <w:p>
            <w:pPr>
              <w:spacing w:after="0"/>
              <w:rPr>
                <w:sz w:val="20"/>
                <w:szCs w:val="20"/>
                <w:color w:val="auto"/>
              </w:rPr>
            </w:pPr>
          </w:p>
        </w:tc>
        <w:tc>
          <w:tcPr>
            <w:tcW w:w="1360" w:type="dxa"/>
            <w:vAlign w:val="bottom"/>
            <w:tcBorders>
              <w:bottom w:val="single" w:sz="8" w:color="314A72"/>
            </w:tcBorders>
            <w:shd w:val="clear" w:color="auto" w:fill="314A72"/>
          </w:tcPr>
          <w:p>
            <w:pPr>
              <w:jc w:val="center"/>
              <w:ind w:left="571"/>
              <w:spacing w:after="0"/>
              <w:rPr>
                <w:sz w:val="20"/>
                <w:szCs w:val="20"/>
                <w:color w:val="auto"/>
              </w:rPr>
            </w:pPr>
            <w:r>
              <w:rPr>
                <w:rFonts w:ascii="Arial" w:cs="Arial" w:eastAsia="Arial" w:hAnsi="Arial"/>
                <w:sz w:val="14"/>
                <w:szCs w:val="14"/>
                <w:b w:val="1"/>
                <w:bCs w:val="1"/>
                <w:color w:val="FFFFFF"/>
              </w:rPr>
              <w:t xml:space="preserve">(f)    </w:t>
            </w:r>
          </w:p>
        </w:tc>
        <w:tc>
          <w:tcPr>
            <w:tcW w:w="340" w:type="dxa"/>
            <w:vAlign w:val="bottom"/>
            <w:tcBorders>
              <w:bottom w:val="single" w:sz="8" w:color="314A72"/>
            </w:tcBorders>
            <w:shd w:val="clear" w:color="auto" w:fill="314A72"/>
          </w:tcPr>
          <w:p>
            <w:pPr>
              <w:spacing w:after="0"/>
              <w:rPr>
                <w:sz w:val="20"/>
                <w:szCs w:val="20"/>
                <w:color w:val="auto"/>
              </w:rPr>
            </w:pPr>
          </w:p>
        </w:tc>
      </w:tr>
      <w:tr>
        <w:trPr>
          <w:trHeight w:val="252"/>
        </w:trPr>
        <w:tc>
          <w:tcPr>
            <w:tcW w:w="2380" w:type="dxa"/>
            <w:vAlign w:val="bottom"/>
            <w:tcBorders>
              <w:right w:val="single" w:sz="8" w:color="auto"/>
            </w:tcBorders>
            <w:shd w:val="clear" w:color="auto" w:fill="F7AB6C"/>
          </w:tcPr>
          <w:p>
            <w:pPr>
              <w:spacing w:after="0"/>
              <w:rPr>
                <w:sz w:val="20"/>
                <w:szCs w:val="20"/>
                <w:color w:val="auto"/>
              </w:rPr>
            </w:pPr>
            <w:r>
              <w:rPr>
                <w:rFonts w:ascii="Arial" w:cs="Arial" w:eastAsia="Arial" w:hAnsi="Arial"/>
                <w:sz w:val="14"/>
                <w:szCs w:val="14"/>
                <w:color w:val="auto"/>
              </w:rPr>
              <w:t>   Robert B. Hevert</w:t>
            </w:r>
          </w:p>
        </w:tc>
        <w:tc>
          <w:tcPr>
            <w:tcW w:w="1080" w:type="dxa"/>
            <w:vAlign w:val="bottom"/>
          </w:tcPr>
          <w:p>
            <w:pPr>
              <w:jc w:val="center"/>
              <w:ind w:left="251"/>
              <w:spacing w:after="0"/>
              <w:rPr>
                <w:sz w:val="20"/>
                <w:szCs w:val="20"/>
                <w:color w:val="auto"/>
              </w:rPr>
            </w:pPr>
            <w:r>
              <w:rPr>
                <w:rFonts w:ascii="Arial" w:cs="Arial" w:eastAsia="Arial" w:hAnsi="Arial"/>
                <w:sz w:val="14"/>
                <w:szCs w:val="14"/>
                <w:color w:val="auto"/>
                <w:w w:val="82"/>
              </w:rPr>
              <w:t>$112,296 </w:t>
            </w:r>
          </w:p>
        </w:tc>
        <w:tc>
          <w:tcPr>
            <w:tcW w:w="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w:t>
            </w:r>
          </w:p>
        </w:tc>
        <w:tc>
          <w:tcPr>
            <w:tcW w:w="1120" w:type="dxa"/>
            <w:vAlign w:val="bottom"/>
          </w:tcPr>
          <w:p>
            <w:pPr>
              <w:jc w:val="center"/>
              <w:ind w:left="311"/>
              <w:spacing w:after="0"/>
              <w:rPr>
                <w:sz w:val="20"/>
                <w:szCs w:val="20"/>
                <w:color w:val="auto"/>
              </w:rPr>
            </w:pPr>
            <w:r>
              <w:rPr>
                <w:rFonts w:ascii="Arial" w:cs="Arial" w:eastAsia="Arial" w:hAnsi="Arial"/>
                <w:sz w:val="14"/>
                <w:szCs w:val="14"/>
                <w:color w:val="auto"/>
                <w:w w:val="83"/>
              </w:rPr>
              <w:t>$74,864 </w:t>
            </w:r>
          </w:p>
        </w:tc>
        <w:tc>
          <w:tcPr>
            <w:tcW w:w="28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 </w:t>
            </w:r>
          </w:p>
        </w:tc>
        <w:tc>
          <w:tcPr>
            <w:tcW w:w="1300" w:type="dxa"/>
            <w:vAlign w:val="bottom"/>
          </w:tcPr>
          <w:p>
            <w:pPr>
              <w:jc w:val="center"/>
              <w:ind w:left="491"/>
              <w:spacing w:after="0"/>
              <w:rPr>
                <w:sz w:val="20"/>
                <w:szCs w:val="20"/>
                <w:color w:val="auto"/>
              </w:rPr>
            </w:pPr>
            <w:r>
              <w:rPr>
                <w:rFonts w:ascii="Arial" w:cs="Arial" w:eastAsia="Arial" w:hAnsi="Arial"/>
                <w:sz w:val="14"/>
                <w:szCs w:val="14"/>
                <w:color w:val="auto"/>
                <w:w w:val="85"/>
              </w:rPr>
              <w:t>$154,314 </w:t>
            </w:r>
          </w:p>
        </w:tc>
        <w:tc>
          <w:tcPr>
            <w:tcW w:w="480" w:type="dxa"/>
            <w:vAlign w:val="bottom"/>
            <w:tcBorders>
              <w:right w:val="single" w:sz="8" w:color="auto"/>
            </w:tcBorders>
          </w:tcPr>
          <w:p>
            <w:pPr>
              <w:jc w:val="right"/>
              <w:ind w:right="291"/>
              <w:spacing w:after="0"/>
              <w:rPr>
                <w:sz w:val="20"/>
                <w:szCs w:val="20"/>
                <w:color w:val="auto"/>
              </w:rPr>
            </w:pPr>
            <w:r>
              <w:rPr>
                <w:rFonts w:ascii="Arial" w:cs="Arial" w:eastAsia="Arial" w:hAnsi="Arial"/>
                <w:sz w:val="14"/>
                <w:szCs w:val="14"/>
                <w:color w:val="auto"/>
              </w:rPr>
              <w:t>  </w:t>
            </w:r>
          </w:p>
        </w:tc>
        <w:tc>
          <w:tcPr>
            <w:tcW w:w="900" w:type="dxa"/>
            <w:vAlign w:val="bottom"/>
          </w:tcPr>
          <w:p>
            <w:pPr>
              <w:jc w:val="center"/>
              <w:ind w:left="537"/>
              <w:spacing w:after="0"/>
              <w:rPr>
                <w:sz w:val="20"/>
                <w:szCs w:val="20"/>
                <w:color w:val="auto"/>
              </w:rPr>
            </w:pPr>
            <w:r>
              <w:rPr>
                <w:rFonts w:ascii="Arial" w:cs="Arial" w:eastAsia="Arial" w:hAnsi="Arial"/>
                <w:sz w:val="12"/>
                <w:szCs w:val="12"/>
                <w:color w:val="auto"/>
                <w:w w:val="74"/>
              </w:rPr>
              <w:t>— </w:t>
            </w:r>
          </w:p>
        </w:tc>
        <w:tc>
          <w:tcPr>
            <w:tcW w:w="380" w:type="dxa"/>
            <w:vAlign w:val="bottom"/>
          </w:tcPr>
          <w:p>
            <w:pPr>
              <w:ind w:left="40"/>
              <w:spacing w:after="0"/>
              <w:rPr>
                <w:sz w:val="20"/>
                <w:szCs w:val="20"/>
                <w:color w:val="auto"/>
              </w:rPr>
            </w:pPr>
            <w:r>
              <w:rPr>
                <w:rFonts w:ascii="Arial" w:cs="Arial" w:eastAsia="Arial" w:hAnsi="Arial"/>
                <w:sz w:val="14"/>
                <w:szCs w:val="14"/>
                <w:color w:val="auto"/>
              </w:rPr>
              <w:t> </w:t>
            </w:r>
          </w:p>
        </w:tc>
        <w:tc>
          <w:tcPr>
            <w:tcW w:w="100" w:type="dxa"/>
            <w:vAlign w:val="bottom"/>
            <w:tcBorders>
              <w:right w:val="single" w:sz="8" w:color="auto"/>
            </w:tcBorders>
          </w:tcPr>
          <w:p>
            <w:pPr>
              <w:spacing w:after="0"/>
              <w:rPr>
                <w:sz w:val="21"/>
                <w:szCs w:val="21"/>
                <w:color w:val="auto"/>
              </w:rPr>
            </w:pPr>
          </w:p>
        </w:tc>
        <w:tc>
          <w:tcPr>
            <w:tcW w:w="1360" w:type="dxa"/>
            <w:vAlign w:val="bottom"/>
          </w:tcPr>
          <w:p>
            <w:pPr>
              <w:jc w:val="center"/>
              <w:ind w:left="411"/>
              <w:spacing w:after="0"/>
              <w:rPr>
                <w:sz w:val="20"/>
                <w:szCs w:val="20"/>
                <w:color w:val="auto"/>
              </w:rPr>
            </w:pPr>
            <w:r>
              <w:rPr>
                <w:rFonts w:ascii="Arial" w:cs="Arial" w:eastAsia="Arial" w:hAnsi="Arial"/>
                <w:sz w:val="14"/>
                <w:szCs w:val="14"/>
                <w:color w:val="auto"/>
                <w:w w:val="85"/>
              </w:rPr>
              <w:t>$1,106,892 </w:t>
            </w:r>
          </w:p>
        </w:tc>
        <w:tc>
          <w:tcPr>
            <w:tcW w:w="340" w:type="dxa"/>
            <w:vAlign w:val="bottom"/>
          </w:tcPr>
          <w:p>
            <w:pPr>
              <w:ind w:left="20"/>
              <w:spacing w:after="0"/>
              <w:rPr>
                <w:sz w:val="20"/>
                <w:szCs w:val="20"/>
                <w:color w:val="auto"/>
              </w:rPr>
            </w:pPr>
            <w:r>
              <w:rPr>
                <w:rFonts w:ascii="Arial" w:cs="Arial" w:eastAsia="Arial" w:hAnsi="Arial"/>
                <w:sz w:val="14"/>
                <w:szCs w:val="14"/>
                <w:color w:val="auto"/>
              </w:rPr>
              <w:t> </w:t>
            </w:r>
          </w:p>
        </w:tc>
      </w:tr>
      <w:tr>
        <w:trPr>
          <w:trHeight w:val="73"/>
        </w:trPr>
        <w:tc>
          <w:tcPr>
            <w:tcW w:w="2380" w:type="dxa"/>
            <w:vAlign w:val="bottom"/>
            <w:tcBorders>
              <w:bottom w:val="single" w:sz="8" w:color="auto"/>
              <w:right w:val="single" w:sz="8" w:color="auto"/>
            </w:tcBorders>
            <w:shd w:val="clear" w:color="auto" w:fill="F7AB6C"/>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r>
      <w:tr>
        <w:trPr>
          <w:trHeight w:val="232"/>
        </w:trPr>
        <w:tc>
          <w:tcPr>
            <w:tcW w:w="2380" w:type="dxa"/>
            <w:vAlign w:val="bottom"/>
            <w:tcBorders>
              <w:right w:val="single" w:sz="8" w:color="auto"/>
            </w:tcBorders>
            <w:shd w:val="clear" w:color="auto" w:fill="F7AB6C"/>
          </w:tcPr>
          <w:p>
            <w:pPr>
              <w:spacing w:after="0"/>
              <w:rPr>
                <w:sz w:val="20"/>
                <w:szCs w:val="20"/>
                <w:color w:val="auto"/>
              </w:rPr>
            </w:pPr>
            <w:r>
              <w:rPr>
                <w:rFonts w:ascii="Arial" w:cs="Arial" w:eastAsia="Arial" w:hAnsi="Arial"/>
                <w:sz w:val="14"/>
                <w:szCs w:val="14"/>
                <w:color w:val="auto"/>
              </w:rPr>
              <w:t>   Daniel J. Hurstak</w:t>
            </w:r>
          </w:p>
        </w:tc>
        <w:tc>
          <w:tcPr>
            <w:tcW w:w="1080" w:type="dxa"/>
            <w:vAlign w:val="bottom"/>
          </w:tcPr>
          <w:p>
            <w:pPr>
              <w:jc w:val="center"/>
              <w:ind w:left="271"/>
              <w:spacing w:after="0"/>
              <w:rPr>
                <w:sz w:val="20"/>
                <w:szCs w:val="20"/>
                <w:color w:val="auto"/>
              </w:rPr>
            </w:pPr>
            <w:r>
              <w:rPr>
                <w:rFonts w:ascii="Arial" w:cs="Arial" w:eastAsia="Arial" w:hAnsi="Arial"/>
                <w:sz w:val="14"/>
                <w:szCs w:val="14"/>
                <w:color w:val="auto"/>
                <w:w w:val="81"/>
              </w:rPr>
              <w:t>  $51,959 </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1120" w:type="dxa"/>
            <w:vAlign w:val="bottom"/>
          </w:tcPr>
          <w:p>
            <w:pPr>
              <w:jc w:val="center"/>
              <w:ind w:left="311"/>
              <w:spacing w:after="0"/>
              <w:rPr>
                <w:sz w:val="20"/>
                <w:szCs w:val="20"/>
                <w:color w:val="auto"/>
              </w:rPr>
            </w:pPr>
            <w:r>
              <w:rPr>
                <w:rFonts w:ascii="Arial" w:cs="Arial" w:eastAsia="Arial" w:hAnsi="Arial"/>
                <w:sz w:val="14"/>
                <w:szCs w:val="14"/>
                <w:color w:val="auto"/>
                <w:w w:val="83"/>
              </w:rPr>
              <w:t>$51,959 </w:t>
            </w:r>
          </w:p>
        </w:tc>
        <w:tc>
          <w:tcPr>
            <w:tcW w:w="28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 </w:t>
            </w:r>
          </w:p>
        </w:tc>
        <w:tc>
          <w:tcPr>
            <w:tcW w:w="1300" w:type="dxa"/>
            <w:vAlign w:val="bottom"/>
          </w:tcPr>
          <w:p>
            <w:pPr>
              <w:jc w:val="center"/>
              <w:ind w:left="531"/>
              <w:spacing w:after="0"/>
              <w:rPr>
                <w:sz w:val="20"/>
                <w:szCs w:val="20"/>
                <w:color w:val="auto"/>
              </w:rPr>
            </w:pPr>
            <w:r>
              <w:rPr>
                <w:rFonts w:ascii="Arial" w:cs="Arial" w:eastAsia="Arial" w:hAnsi="Arial"/>
                <w:sz w:val="14"/>
                <w:szCs w:val="14"/>
                <w:color w:val="auto"/>
                <w:w w:val="83"/>
              </w:rPr>
              <w:t>$81,282 </w:t>
            </w:r>
          </w:p>
        </w:tc>
        <w:tc>
          <w:tcPr>
            <w:tcW w:w="4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w:t>
            </w:r>
          </w:p>
        </w:tc>
        <w:tc>
          <w:tcPr>
            <w:tcW w:w="900" w:type="dxa"/>
            <w:vAlign w:val="bottom"/>
          </w:tcPr>
          <w:p>
            <w:pPr>
              <w:jc w:val="center"/>
              <w:ind w:left="537"/>
              <w:spacing w:after="0"/>
              <w:rPr>
                <w:sz w:val="20"/>
                <w:szCs w:val="20"/>
                <w:color w:val="auto"/>
              </w:rPr>
            </w:pPr>
            <w:r>
              <w:rPr>
                <w:rFonts w:ascii="Arial" w:cs="Arial" w:eastAsia="Arial" w:hAnsi="Arial"/>
                <w:sz w:val="12"/>
                <w:szCs w:val="12"/>
                <w:color w:val="auto"/>
                <w:w w:val="74"/>
              </w:rPr>
              <w:t>— </w:t>
            </w:r>
          </w:p>
        </w:tc>
        <w:tc>
          <w:tcPr>
            <w:tcW w:w="380" w:type="dxa"/>
            <w:vAlign w:val="bottom"/>
          </w:tcPr>
          <w:p>
            <w:pPr>
              <w:ind w:left="40"/>
              <w:spacing w:after="0"/>
              <w:rPr>
                <w:sz w:val="20"/>
                <w:szCs w:val="20"/>
                <w:color w:val="auto"/>
              </w:rPr>
            </w:pPr>
            <w:r>
              <w:rPr>
                <w:rFonts w:ascii="Arial" w:cs="Arial" w:eastAsia="Arial" w:hAnsi="Arial"/>
                <w:sz w:val="14"/>
                <w:szCs w:val="14"/>
                <w:color w:val="auto"/>
              </w:rPr>
              <w:t> </w:t>
            </w:r>
          </w:p>
        </w:tc>
        <w:tc>
          <w:tcPr>
            <w:tcW w:w="100" w:type="dxa"/>
            <w:vAlign w:val="bottom"/>
            <w:tcBorders>
              <w:right w:val="single" w:sz="8" w:color="auto"/>
            </w:tcBorders>
          </w:tcPr>
          <w:p>
            <w:pPr>
              <w:spacing w:after="0"/>
              <w:rPr>
                <w:sz w:val="20"/>
                <w:szCs w:val="20"/>
                <w:color w:val="auto"/>
              </w:rPr>
            </w:pPr>
          </w:p>
        </w:tc>
        <w:tc>
          <w:tcPr>
            <w:tcW w:w="1360" w:type="dxa"/>
            <w:vAlign w:val="bottom"/>
          </w:tcPr>
          <w:p>
            <w:pPr>
              <w:jc w:val="center"/>
              <w:ind w:left="411"/>
              <w:spacing w:after="0"/>
              <w:rPr>
                <w:sz w:val="20"/>
                <w:szCs w:val="20"/>
                <w:color w:val="auto"/>
              </w:rPr>
            </w:pPr>
            <w:r>
              <w:rPr>
                <w:rFonts w:ascii="Arial" w:cs="Arial" w:eastAsia="Arial" w:hAnsi="Arial"/>
                <w:sz w:val="14"/>
                <w:szCs w:val="14"/>
                <w:color w:val="auto"/>
                <w:w w:val="81"/>
              </w:rPr>
              <w:t>   $585,040 </w:t>
            </w:r>
          </w:p>
        </w:tc>
        <w:tc>
          <w:tcPr>
            <w:tcW w:w="340" w:type="dxa"/>
            <w:vAlign w:val="bottom"/>
          </w:tcPr>
          <w:p>
            <w:pPr>
              <w:ind w:left="20"/>
              <w:spacing w:after="0"/>
              <w:rPr>
                <w:sz w:val="20"/>
                <w:szCs w:val="20"/>
                <w:color w:val="auto"/>
              </w:rPr>
            </w:pPr>
            <w:r>
              <w:rPr>
                <w:rFonts w:ascii="Arial" w:cs="Arial" w:eastAsia="Arial" w:hAnsi="Arial"/>
                <w:sz w:val="14"/>
                <w:szCs w:val="14"/>
                <w:color w:val="auto"/>
              </w:rPr>
              <w:t> </w:t>
            </w:r>
          </w:p>
        </w:tc>
      </w:tr>
      <w:tr>
        <w:trPr>
          <w:trHeight w:val="73"/>
        </w:trPr>
        <w:tc>
          <w:tcPr>
            <w:tcW w:w="2380" w:type="dxa"/>
            <w:vAlign w:val="bottom"/>
            <w:tcBorders>
              <w:bottom w:val="single" w:sz="8" w:color="auto"/>
              <w:right w:val="single" w:sz="8" w:color="auto"/>
            </w:tcBorders>
            <w:shd w:val="clear" w:color="auto" w:fill="F7AB6C"/>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r>
      <w:tr>
        <w:trPr>
          <w:trHeight w:val="232"/>
        </w:trPr>
        <w:tc>
          <w:tcPr>
            <w:tcW w:w="2380" w:type="dxa"/>
            <w:vAlign w:val="bottom"/>
            <w:tcBorders>
              <w:right w:val="single" w:sz="8" w:color="auto"/>
            </w:tcBorders>
            <w:shd w:val="clear" w:color="auto" w:fill="F7AB6C"/>
          </w:tcPr>
          <w:p>
            <w:pPr>
              <w:spacing w:after="0"/>
              <w:rPr>
                <w:sz w:val="20"/>
                <w:szCs w:val="20"/>
                <w:color w:val="auto"/>
              </w:rPr>
            </w:pPr>
            <w:r>
              <w:rPr>
                <w:rFonts w:ascii="Arial" w:cs="Arial" w:eastAsia="Arial" w:hAnsi="Arial"/>
                <w:sz w:val="14"/>
                <w:szCs w:val="14"/>
                <w:color w:val="auto"/>
              </w:rPr>
              <w:t>   Justin Eisfeller</w:t>
            </w:r>
          </w:p>
        </w:tc>
        <w:tc>
          <w:tcPr>
            <w:tcW w:w="1080" w:type="dxa"/>
            <w:vAlign w:val="bottom"/>
          </w:tcPr>
          <w:p>
            <w:pPr>
              <w:jc w:val="center"/>
              <w:ind w:left="271"/>
              <w:spacing w:after="0"/>
              <w:rPr>
                <w:sz w:val="20"/>
                <w:szCs w:val="20"/>
                <w:color w:val="auto"/>
              </w:rPr>
            </w:pPr>
            <w:r>
              <w:rPr>
                <w:rFonts w:ascii="Arial" w:cs="Arial" w:eastAsia="Arial" w:hAnsi="Arial"/>
                <w:sz w:val="14"/>
                <w:szCs w:val="14"/>
                <w:color w:val="auto"/>
                <w:w w:val="81"/>
              </w:rPr>
              <w:t>  $61,386 </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1120" w:type="dxa"/>
            <w:vAlign w:val="bottom"/>
          </w:tcPr>
          <w:p>
            <w:pPr>
              <w:jc w:val="center"/>
              <w:ind w:left="311"/>
              <w:spacing w:after="0"/>
              <w:rPr>
                <w:sz w:val="20"/>
                <w:szCs w:val="20"/>
                <w:color w:val="auto"/>
              </w:rPr>
            </w:pPr>
            <w:r>
              <w:rPr>
                <w:rFonts w:ascii="Arial" w:cs="Arial" w:eastAsia="Arial" w:hAnsi="Arial"/>
                <w:sz w:val="14"/>
                <w:szCs w:val="14"/>
                <w:color w:val="auto"/>
                <w:w w:val="83"/>
              </w:rPr>
              <w:t>$40,924 </w:t>
            </w:r>
          </w:p>
        </w:tc>
        <w:tc>
          <w:tcPr>
            <w:tcW w:w="28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 </w:t>
            </w:r>
          </w:p>
        </w:tc>
        <w:tc>
          <w:tcPr>
            <w:tcW w:w="1300" w:type="dxa"/>
            <w:vAlign w:val="bottom"/>
          </w:tcPr>
          <w:p>
            <w:pPr>
              <w:jc w:val="center"/>
              <w:ind w:left="531"/>
              <w:spacing w:after="0"/>
              <w:rPr>
                <w:sz w:val="20"/>
                <w:szCs w:val="20"/>
                <w:color w:val="auto"/>
              </w:rPr>
            </w:pPr>
            <w:r>
              <w:rPr>
                <w:rFonts w:ascii="Arial" w:cs="Arial" w:eastAsia="Arial" w:hAnsi="Arial"/>
                <w:sz w:val="14"/>
                <w:szCs w:val="14"/>
                <w:color w:val="auto"/>
                <w:w w:val="83"/>
              </w:rPr>
              <w:t>$17,532 </w:t>
            </w:r>
          </w:p>
        </w:tc>
        <w:tc>
          <w:tcPr>
            <w:tcW w:w="4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w:t>
            </w:r>
          </w:p>
        </w:tc>
        <w:tc>
          <w:tcPr>
            <w:tcW w:w="900" w:type="dxa"/>
            <w:vAlign w:val="bottom"/>
          </w:tcPr>
          <w:p>
            <w:pPr>
              <w:jc w:val="center"/>
              <w:ind w:left="537"/>
              <w:spacing w:after="0"/>
              <w:rPr>
                <w:sz w:val="20"/>
                <w:szCs w:val="20"/>
                <w:color w:val="auto"/>
              </w:rPr>
            </w:pPr>
            <w:r>
              <w:rPr>
                <w:rFonts w:ascii="Arial" w:cs="Arial" w:eastAsia="Arial" w:hAnsi="Arial"/>
                <w:sz w:val="12"/>
                <w:szCs w:val="12"/>
                <w:color w:val="auto"/>
                <w:w w:val="74"/>
              </w:rPr>
              <w:t>— </w:t>
            </w:r>
          </w:p>
        </w:tc>
        <w:tc>
          <w:tcPr>
            <w:tcW w:w="380" w:type="dxa"/>
            <w:vAlign w:val="bottom"/>
          </w:tcPr>
          <w:p>
            <w:pPr>
              <w:ind w:left="40"/>
              <w:spacing w:after="0"/>
              <w:rPr>
                <w:sz w:val="20"/>
                <w:szCs w:val="20"/>
                <w:color w:val="auto"/>
              </w:rPr>
            </w:pPr>
            <w:r>
              <w:rPr>
                <w:rFonts w:ascii="Arial" w:cs="Arial" w:eastAsia="Arial" w:hAnsi="Arial"/>
                <w:sz w:val="14"/>
                <w:szCs w:val="14"/>
                <w:color w:val="auto"/>
              </w:rPr>
              <w:t> </w:t>
            </w:r>
          </w:p>
        </w:tc>
        <w:tc>
          <w:tcPr>
            <w:tcW w:w="100" w:type="dxa"/>
            <w:vAlign w:val="bottom"/>
            <w:tcBorders>
              <w:right w:val="single" w:sz="8" w:color="auto"/>
            </w:tcBorders>
          </w:tcPr>
          <w:p>
            <w:pPr>
              <w:spacing w:after="0"/>
              <w:rPr>
                <w:sz w:val="20"/>
                <w:szCs w:val="20"/>
                <w:color w:val="auto"/>
              </w:rPr>
            </w:pPr>
          </w:p>
        </w:tc>
        <w:tc>
          <w:tcPr>
            <w:tcW w:w="1360" w:type="dxa"/>
            <w:vAlign w:val="bottom"/>
          </w:tcPr>
          <w:p>
            <w:pPr>
              <w:jc w:val="center"/>
              <w:ind w:left="411"/>
              <w:spacing w:after="0"/>
              <w:rPr>
                <w:sz w:val="20"/>
                <w:szCs w:val="20"/>
                <w:color w:val="auto"/>
              </w:rPr>
            </w:pPr>
            <w:r>
              <w:rPr>
                <w:rFonts w:ascii="Arial" w:cs="Arial" w:eastAsia="Arial" w:hAnsi="Arial"/>
                <w:sz w:val="14"/>
                <w:szCs w:val="14"/>
                <w:color w:val="auto"/>
                <w:w w:val="81"/>
              </w:rPr>
              <w:t>   $483,124 </w:t>
            </w:r>
          </w:p>
        </w:tc>
        <w:tc>
          <w:tcPr>
            <w:tcW w:w="340" w:type="dxa"/>
            <w:vAlign w:val="bottom"/>
          </w:tcPr>
          <w:p>
            <w:pPr>
              <w:ind w:left="20"/>
              <w:spacing w:after="0"/>
              <w:rPr>
                <w:sz w:val="20"/>
                <w:szCs w:val="20"/>
                <w:color w:val="auto"/>
              </w:rPr>
            </w:pPr>
            <w:r>
              <w:rPr>
                <w:rFonts w:ascii="Arial" w:cs="Arial" w:eastAsia="Arial" w:hAnsi="Arial"/>
                <w:sz w:val="14"/>
                <w:szCs w:val="14"/>
                <w:color w:val="auto"/>
              </w:rPr>
              <w:t> </w:t>
            </w:r>
          </w:p>
        </w:tc>
      </w:tr>
      <w:tr>
        <w:trPr>
          <w:trHeight w:val="73"/>
        </w:trPr>
        <w:tc>
          <w:tcPr>
            <w:tcW w:w="2380" w:type="dxa"/>
            <w:vAlign w:val="bottom"/>
            <w:tcBorders>
              <w:bottom w:val="single" w:sz="8" w:color="auto"/>
              <w:right w:val="single" w:sz="8" w:color="auto"/>
            </w:tcBorders>
            <w:shd w:val="clear" w:color="auto" w:fill="F7AB6C"/>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r>
      <w:tr>
        <w:trPr>
          <w:trHeight w:val="232"/>
        </w:trPr>
        <w:tc>
          <w:tcPr>
            <w:tcW w:w="2380" w:type="dxa"/>
            <w:vAlign w:val="bottom"/>
            <w:tcBorders>
              <w:right w:val="single" w:sz="8" w:color="auto"/>
            </w:tcBorders>
            <w:shd w:val="clear" w:color="auto" w:fill="F7AB6C"/>
          </w:tcPr>
          <w:p>
            <w:pPr>
              <w:spacing w:after="0"/>
              <w:rPr>
                <w:sz w:val="20"/>
                <w:szCs w:val="20"/>
                <w:color w:val="auto"/>
              </w:rPr>
            </w:pPr>
            <w:r>
              <w:rPr>
                <w:rFonts w:ascii="Arial" w:cs="Arial" w:eastAsia="Arial" w:hAnsi="Arial"/>
                <w:sz w:val="14"/>
                <w:szCs w:val="14"/>
                <w:color w:val="auto"/>
              </w:rPr>
              <w:t>   Christopher J. LeBlanc</w:t>
            </w:r>
          </w:p>
        </w:tc>
        <w:tc>
          <w:tcPr>
            <w:tcW w:w="1080" w:type="dxa"/>
            <w:vAlign w:val="bottom"/>
          </w:tcPr>
          <w:p>
            <w:pPr>
              <w:jc w:val="center"/>
              <w:ind w:left="271"/>
              <w:spacing w:after="0"/>
              <w:rPr>
                <w:sz w:val="20"/>
                <w:szCs w:val="20"/>
                <w:color w:val="auto"/>
              </w:rPr>
            </w:pPr>
            <w:r>
              <w:rPr>
                <w:rFonts w:ascii="Arial" w:cs="Arial" w:eastAsia="Arial" w:hAnsi="Arial"/>
                <w:sz w:val="14"/>
                <w:szCs w:val="14"/>
                <w:color w:val="auto"/>
                <w:w w:val="81"/>
              </w:rPr>
              <w:t>  $50,402 </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1120" w:type="dxa"/>
            <w:vAlign w:val="bottom"/>
          </w:tcPr>
          <w:p>
            <w:pPr>
              <w:jc w:val="center"/>
              <w:ind w:left="311"/>
              <w:spacing w:after="0"/>
              <w:rPr>
                <w:sz w:val="20"/>
                <w:szCs w:val="20"/>
                <w:color w:val="auto"/>
              </w:rPr>
            </w:pPr>
            <w:r>
              <w:rPr>
                <w:rFonts w:ascii="Arial" w:cs="Arial" w:eastAsia="Arial" w:hAnsi="Arial"/>
                <w:sz w:val="14"/>
                <w:szCs w:val="14"/>
                <w:color w:val="auto"/>
                <w:w w:val="83"/>
              </w:rPr>
              <w:t>$42,001 </w:t>
            </w:r>
          </w:p>
        </w:tc>
        <w:tc>
          <w:tcPr>
            <w:tcW w:w="28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 </w:t>
            </w:r>
          </w:p>
        </w:tc>
        <w:tc>
          <w:tcPr>
            <w:tcW w:w="1300" w:type="dxa"/>
            <w:vAlign w:val="bottom"/>
          </w:tcPr>
          <w:p>
            <w:pPr>
              <w:jc w:val="center"/>
              <w:ind w:left="531"/>
              <w:spacing w:after="0"/>
              <w:rPr>
                <w:sz w:val="20"/>
                <w:szCs w:val="20"/>
                <w:color w:val="auto"/>
              </w:rPr>
            </w:pPr>
            <w:r>
              <w:rPr>
                <w:rFonts w:ascii="Arial" w:cs="Arial" w:eastAsia="Arial" w:hAnsi="Arial"/>
                <w:sz w:val="14"/>
                <w:szCs w:val="14"/>
                <w:color w:val="auto"/>
                <w:w w:val="83"/>
              </w:rPr>
              <w:t>$55,438 </w:t>
            </w:r>
          </w:p>
        </w:tc>
        <w:tc>
          <w:tcPr>
            <w:tcW w:w="4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w:t>
            </w:r>
          </w:p>
        </w:tc>
        <w:tc>
          <w:tcPr>
            <w:tcW w:w="900" w:type="dxa"/>
            <w:vAlign w:val="bottom"/>
          </w:tcPr>
          <w:p>
            <w:pPr>
              <w:jc w:val="center"/>
              <w:ind w:left="537"/>
              <w:spacing w:after="0"/>
              <w:rPr>
                <w:sz w:val="20"/>
                <w:szCs w:val="20"/>
                <w:color w:val="auto"/>
              </w:rPr>
            </w:pPr>
            <w:r>
              <w:rPr>
                <w:rFonts w:ascii="Arial" w:cs="Arial" w:eastAsia="Arial" w:hAnsi="Arial"/>
                <w:sz w:val="12"/>
                <w:szCs w:val="12"/>
                <w:color w:val="auto"/>
                <w:w w:val="74"/>
              </w:rPr>
              <w:t>— </w:t>
            </w:r>
          </w:p>
        </w:tc>
        <w:tc>
          <w:tcPr>
            <w:tcW w:w="380" w:type="dxa"/>
            <w:vAlign w:val="bottom"/>
          </w:tcPr>
          <w:p>
            <w:pPr>
              <w:ind w:left="40"/>
              <w:spacing w:after="0"/>
              <w:rPr>
                <w:sz w:val="20"/>
                <w:szCs w:val="20"/>
                <w:color w:val="auto"/>
              </w:rPr>
            </w:pPr>
            <w:r>
              <w:rPr>
                <w:rFonts w:ascii="Arial" w:cs="Arial" w:eastAsia="Arial" w:hAnsi="Arial"/>
                <w:sz w:val="14"/>
                <w:szCs w:val="14"/>
                <w:color w:val="auto"/>
              </w:rPr>
              <w:t> </w:t>
            </w:r>
          </w:p>
        </w:tc>
        <w:tc>
          <w:tcPr>
            <w:tcW w:w="100" w:type="dxa"/>
            <w:vAlign w:val="bottom"/>
            <w:tcBorders>
              <w:right w:val="single" w:sz="8" w:color="auto"/>
            </w:tcBorders>
          </w:tcPr>
          <w:p>
            <w:pPr>
              <w:spacing w:after="0"/>
              <w:rPr>
                <w:sz w:val="20"/>
                <w:szCs w:val="20"/>
                <w:color w:val="auto"/>
              </w:rPr>
            </w:pPr>
          </w:p>
        </w:tc>
        <w:tc>
          <w:tcPr>
            <w:tcW w:w="1360" w:type="dxa"/>
            <w:vAlign w:val="bottom"/>
          </w:tcPr>
          <w:p>
            <w:pPr>
              <w:jc w:val="center"/>
              <w:ind w:left="411"/>
              <w:spacing w:after="0"/>
              <w:rPr>
                <w:sz w:val="20"/>
                <w:szCs w:val="20"/>
                <w:color w:val="auto"/>
              </w:rPr>
            </w:pPr>
            <w:r>
              <w:rPr>
                <w:rFonts w:ascii="Arial" w:cs="Arial" w:eastAsia="Arial" w:hAnsi="Arial"/>
                <w:sz w:val="14"/>
                <w:szCs w:val="14"/>
                <w:color w:val="auto"/>
                <w:w w:val="81"/>
              </w:rPr>
              <w:t>   $455,475 </w:t>
            </w:r>
          </w:p>
        </w:tc>
        <w:tc>
          <w:tcPr>
            <w:tcW w:w="340" w:type="dxa"/>
            <w:vAlign w:val="bottom"/>
          </w:tcPr>
          <w:p>
            <w:pPr>
              <w:ind w:left="20"/>
              <w:spacing w:after="0"/>
              <w:rPr>
                <w:sz w:val="20"/>
                <w:szCs w:val="20"/>
                <w:color w:val="auto"/>
              </w:rPr>
            </w:pPr>
            <w:r>
              <w:rPr>
                <w:rFonts w:ascii="Arial" w:cs="Arial" w:eastAsia="Arial" w:hAnsi="Arial"/>
                <w:sz w:val="14"/>
                <w:szCs w:val="14"/>
                <w:color w:val="auto"/>
              </w:rPr>
              <w:t> </w:t>
            </w:r>
          </w:p>
        </w:tc>
      </w:tr>
      <w:tr>
        <w:trPr>
          <w:trHeight w:val="73"/>
        </w:trPr>
        <w:tc>
          <w:tcPr>
            <w:tcW w:w="2380" w:type="dxa"/>
            <w:vAlign w:val="bottom"/>
            <w:tcBorders>
              <w:bottom w:val="single" w:sz="8" w:color="auto"/>
              <w:right w:val="single" w:sz="8" w:color="auto"/>
            </w:tcBorders>
            <w:shd w:val="clear" w:color="auto" w:fill="F7AB6C"/>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r>
      <w:tr>
        <w:trPr>
          <w:trHeight w:val="240"/>
        </w:trPr>
        <w:tc>
          <w:tcPr>
            <w:tcW w:w="2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-1162685</wp:posOffset>
            </wp:positionV>
            <wp:extent cx="8255" cy="165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16510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-1162685</wp:posOffset>
            </wp:positionV>
            <wp:extent cx="8255" cy="165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16510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right="60"/>
        <w:spacing w:after="0" w:line="234" w:lineRule="auto"/>
        <w:rPr>
          <w:sz w:val="20"/>
          <w:szCs w:val="20"/>
          <w:color w:val="auto"/>
        </w:rPr>
      </w:pPr>
      <w:r>
        <w:rPr>
          <w:rFonts w:ascii="Arial" w:cs="Arial" w:eastAsia="Arial" w:hAnsi="Arial"/>
          <w:sz w:val="21"/>
          <w:szCs w:val="21"/>
          <w:color w:val="auto"/>
        </w:rPr>
        <w:t>Upon termination of employment following a change of control of our Company, severance benefits will be paid to the Named Executive Officers. The severance benefits for termination other than a change of control which are payable to Mr. Meissner are addressed in his Employment Agreement, discussed below, and he would receive the benefits provided to him under that agreement. The other Named Executive Officers are not covered under an employment agreement and any severance benefits payable to them would be paid in the event of an adverse employment action following a change of control. In addition, the Third Amended Stock Plan provides that unvested Time Restricted Shares will vest upon (i) death, (ii) disability (as defined in the Company’s Long-Term Disability Plan), (iii) retirement or (iv) a change of control of the Company (as defined in the Third Amended Stock Plan). In the event of death, disability, retirement, or a change in control without an adverse employment action, vesting of the Performance Restricted Shares will occur at the conclusion of the respective Performance Period, and will be pro-rated based on the number of months of service completed during the Performance Period. In the event of a change in control with an adverse employment action, all Time Restricted and Performance Restricted Shares will vest. The Third Amended Stock Plan also provides that all unvested awards under the Third Amended Stock Plan are forfeited if the participant’s employment terminates other than by reason of (i) death, (ii) disability (as defined in our Long-Term Disability Plan) or (iii) retirement at or after attaining early retirement eligibility at age 55 or standard retirement at age 65.</w:t>
      </w:r>
    </w:p>
    <w:p>
      <w:pPr>
        <w:spacing w:after="0" w:line="200" w:lineRule="exact"/>
        <w:rPr>
          <w:sz w:val="20"/>
          <w:szCs w:val="20"/>
          <w:color w:val="auto"/>
        </w:rPr>
      </w:pPr>
    </w:p>
    <w:p>
      <w:pPr>
        <w:spacing w:after="0" w:line="297"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right="220"/>
        <w:spacing w:after="0"/>
        <w:rPr>
          <w:sz w:val="20"/>
          <w:szCs w:val="20"/>
          <w:color w:val="auto"/>
        </w:rPr>
      </w:pPr>
      <w:r>
        <w:rPr>
          <w:rFonts w:ascii="Arial" w:cs="Arial" w:eastAsia="Arial" w:hAnsi="Arial"/>
          <w:sz w:val="21"/>
          <w:szCs w:val="21"/>
          <w:color w:val="auto"/>
        </w:rPr>
        <w:t>We maintain Change of Control Agreements (“CC Agreements”) with certain key management employees, including all Named Executive Officers, to provide continuity in the management and operation of the Company and its subsidiaries, and so that key management employees will make decisions and take actions that are in the best interest of shareholders and not unduly influenced by the fear of job loss in the event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149225</wp:posOffset>
            </wp:positionV>
            <wp:extent cx="6337300" cy="908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620"/>
          </w:cols>
          <w:pgMar w:left="320" w:top="470" w:right="9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80"/>
        <w:spacing w:after="0" w:line="236" w:lineRule="auto"/>
        <w:rPr>
          <w:sz w:val="20"/>
          <w:szCs w:val="20"/>
          <w:color w:val="auto"/>
        </w:rPr>
      </w:pPr>
      <w:r>
        <w:rPr>
          <w:rFonts w:ascii="Arial" w:cs="Arial" w:eastAsia="Arial" w:hAnsi="Arial"/>
          <w:sz w:val="21"/>
          <w:szCs w:val="21"/>
          <w:color w:val="auto"/>
        </w:rPr>
        <w:t xml:space="preserve">a change of control. The Board approves all CC Agreements prior to execution. All existing CC Agreements are two-year “double trigger” agreements, meaning that two events must occur in order for benefits to be paid: (i) a change of control must occur (upon which the agreement becomes effective); and (ii) an adverse employment action must occur during the term of the agreement, meaning that we must terminate the executive’s employment other than for cause or disability or the executive must terminate his or her employment for good reason. The term of each CC Agreement begins upon a change of control of the Company. Double trigger CC Agreements were chosen to discourage executives from choosing to leave the Company as the result of a change of control where there is no adverse employment action. There is no excise tax gross-up provision in any CC Agreement. The terms “change of control” and “cause” and “good reason” are defined in the section entitled </w:t>
      </w:r>
      <w:r>
        <w:rPr>
          <w:rFonts w:ascii="Arial" w:cs="Arial" w:eastAsia="Arial" w:hAnsi="Arial"/>
          <w:sz w:val="21"/>
          <w:szCs w:val="21"/>
          <w:i w:val="1"/>
          <w:iCs w:val="1"/>
          <w:color w:val="auto"/>
        </w:rPr>
        <w:t>Compensation – Compensation of Named Executive Officers—</w:t>
      </w:r>
      <w:r>
        <w:rPr>
          <w:rFonts w:ascii="Arial" w:cs="Arial" w:eastAsia="Arial" w:hAnsi="Arial"/>
          <w:sz w:val="21"/>
          <w:szCs w:val="21"/>
          <w:color w:val="auto"/>
        </w:rPr>
        <w:t xml:space="preserve"> </w:t>
      </w:r>
      <w:r>
        <w:rPr>
          <w:rFonts w:ascii="Arial" w:cs="Arial" w:eastAsia="Arial" w:hAnsi="Arial"/>
          <w:sz w:val="21"/>
          <w:szCs w:val="21"/>
          <w:i w:val="1"/>
          <w:iCs w:val="1"/>
          <w:color w:val="auto"/>
        </w:rPr>
        <w:t>Definition of Change of Control, Cause and Good Reason</w:t>
      </w:r>
      <w:r>
        <w:rPr>
          <w:rFonts w:ascii="Arial" w:cs="Arial" w:eastAsia="Arial" w:hAnsi="Arial"/>
          <w:sz w:val="21"/>
          <w:szCs w:val="21"/>
          <w:color w:val="auto"/>
        </w:rPr>
        <w:t>.</w:t>
      </w:r>
    </w:p>
    <w:p>
      <w:pPr>
        <w:spacing w:after="0" w:line="200" w:lineRule="exact"/>
        <w:rPr>
          <w:sz w:val="20"/>
          <w:szCs w:val="20"/>
          <w:color w:val="auto"/>
        </w:rPr>
      </w:pPr>
    </w:p>
    <w:p>
      <w:pPr>
        <w:spacing w:after="0" w:line="284"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Estimated Present Value of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right="60"/>
        <w:spacing w:after="0" w:line="239" w:lineRule="auto"/>
        <w:rPr>
          <w:sz w:val="20"/>
          <w:szCs w:val="20"/>
          <w:color w:val="auto"/>
        </w:rPr>
      </w:pPr>
      <w:r>
        <w:rPr>
          <w:rFonts w:ascii="Arial" w:cs="Arial" w:eastAsia="Arial" w:hAnsi="Arial"/>
          <w:sz w:val="21"/>
          <w:szCs w:val="21"/>
          <w:color w:val="auto"/>
        </w:rPr>
        <w:t>The following tables show the payments and benefits the Named Executive Officers would have received in connection with a variety of employment termination scenarios, as well as upon a change of control, assuming that employment termination or the change of control was effective as of December 31, 2025. The actual amounts that would be paid can only be determined at the time of an actual separation from the Company. All of the payments and benefits described below would be provided by Unitil or our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140335</wp:posOffset>
            </wp:positionV>
            <wp:extent cx="6337300" cy="23939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337300" cy="239395"/>
                    </a:xfrm>
                    <a:prstGeom prst="rect">
                      <a:avLst/>
                    </a:prstGeom>
                    <a:noFill/>
                  </pic:spPr>
                </pic:pic>
              </a:graphicData>
            </a:graphic>
          </wp:anchor>
        </w:drawing>
      </w:r>
    </w:p>
    <w:p>
      <w:pPr>
        <w:spacing w:after="0" w:line="278"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FFFFFF"/>
        </w:rPr>
        <w:t>ESTIMATED PRESENT VALUE OF BENEFITS</w:t>
      </w:r>
    </w:p>
    <w:p>
      <w:pPr>
        <w:spacing w:after="0" w:line="43" w:lineRule="exact"/>
        <w:rPr>
          <w:sz w:val="20"/>
          <w:szCs w:val="20"/>
          <w:color w:val="auto"/>
        </w:rPr>
      </w:pPr>
    </w:p>
    <w:tbl>
      <w:tblPr>
        <w:tblLayout w:type="fixed"/>
        <w:tblInd w:w="640" w:type="dxa"/>
        <w:tblCellMar>
          <w:top w:w="0" w:type="dxa"/>
          <w:left w:w="0" w:type="dxa"/>
          <w:bottom w:w="0" w:type="dxa"/>
          <w:right w:w="0" w:type="dxa"/>
        </w:tblCellMar>
      </w:tblPr>
      <w:tr>
        <w:trPr>
          <w:trHeight w:val="242"/>
        </w:trPr>
        <w:tc>
          <w:tcPr>
            <w:tcW w:w="2600" w:type="dxa"/>
            <w:vAlign w:val="bottom"/>
            <w:tcBorders>
              <w:top w:val="single" w:sz="8" w:color="auto"/>
              <w:right w:val="single" w:sz="8" w:color="auto"/>
            </w:tcBorders>
          </w:tcPr>
          <w:p>
            <w:pPr>
              <w:spacing w:after="0"/>
              <w:rPr>
                <w:sz w:val="21"/>
                <w:szCs w:val="21"/>
                <w:color w:val="auto"/>
              </w:rPr>
            </w:pPr>
          </w:p>
        </w:tc>
        <w:tc>
          <w:tcPr>
            <w:tcW w:w="1540" w:type="dxa"/>
            <w:vAlign w:val="bottom"/>
            <w:tcBorders>
              <w:top w:val="single" w:sz="8" w:color="auto"/>
              <w:bottom w:val="single" w:sz="8" w:color="auto"/>
              <w:right w:val="single" w:sz="8" w:color="F7AB6C"/>
            </w:tcBorders>
            <w:shd w:val="clear" w:color="auto" w:fill="F7AB6C"/>
          </w:tcPr>
          <w:p>
            <w:pPr>
              <w:spacing w:after="0"/>
              <w:rPr>
                <w:sz w:val="21"/>
                <w:szCs w:val="21"/>
                <w:color w:val="auto"/>
              </w:rPr>
            </w:pPr>
          </w:p>
        </w:tc>
        <w:tc>
          <w:tcPr>
            <w:tcW w:w="1100" w:type="dxa"/>
            <w:vAlign w:val="bottom"/>
            <w:tcBorders>
              <w:top w:val="single" w:sz="8" w:color="auto"/>
              <w:bottom w:val="single" w:sz="8" w:color="auto"/>
              <w:right w:val="single" w:sz="8" w:color="F7AB6C"/>
            </w:tcBorders>
            <w:gridSpan w:val="2"/>
            <w:shd w:val="clear" w:color="auto" w:fill="F7AB6C"/>
          </w:tcPr>
          <w:p>
            <w:pPr>
              <w:ind w:left="160"/>
              <w:spacing w:after="0"/>
              <w:rPr>
                <w:sz w:val="20"/>
                <w:szCs w:val="20"/>
                <w:color w:val="auto"/>
              </w:rPr>
            </w:pPr>
            <w:r>
              <w:rPr>
                <w:rFonts w:ascii="Arial" w:cs="Arial" w:eastAsia="Arial" w:hAnsi="Arial"/>
                <w:sz w:val="16"/>
                <w:szCs w:val="16"/>
                <w:b w:val="1"/>
                <w:bCs w:val="1"/>
                <w:color w:val="auto"/>
                <w:w w:val="98"/>
              </w:rPr>
              <w:t>Termination</w:t>
            </w:r>
          </w:p>
        </w:tc>
        <w:tc>
          <w:tcPr>
            <w:tcW w:w="160" w:type="dxa"/>
            <w:vAlign w:val="bottom"/>
            <w:tcBorders>
              <w:top w:val="single" w:sz="8" w:color="auto"/>
              <w:bottom w:val="single" w:sz="8" w:color="auto"/>
            </w:tcBorders>
            <w:shd w:val="clear" w:color="auto" w:fill="F7AB6C"/>
          </w:tcPr>
          <w:p>
            <w:pPr>
              <w:spacing w:after="0"/>
              <w:rPr>
                <w:sz w:val="21"/>
                <w:szCs w:val="21"/>
                <w:color w:val="auto"/>
              </w:rPr>
            </w:pPr>
          </w:p>
        </w:tc>
        <w:tc>
          <w:tcPr>
            <w:tcW w:w="1320" w:type="dxa"/>
            <w:vAlign w:val="bottom"/>
            <w:tcBorders>
              <w:top w:val="single" w:sz="8" w:color="auto"/>
              <w:bottom w:val="single" w:sz="8" w:color="auto"/>
              <w:right w:val="single" w:sz="8" w:color="auto"/>
            </w:tcBorders>
            <w:shd w:val="clear" w:color="auto" w:fill="F7AB6C"/>
          </w:tcPr>
          <w:p>
            <w:pPr>
              <w:spacing w:after="0"/>
              <w:rPr>
                <w:sz w:val="21"/>
                <w:szCs w:val="21"/>
                <w:color w:val="auto"/>
              </w:rPr>
            </w:pPr>
          </w:p>
        </w:tc>
        <w:tc>
          <w:tcPr>
            <w:tcW w:w="1080" w:type="dxa"/>
            <w:vAlign w:val="bottom"/>
            <w:tcBorders>
              <w:top w:val="single" w:sz="8" w:color="auto"/>
              <w:bottom w:val="single" w:sz="8" w:color="auto"/>
              <w:right w:val="single" w:sz="8" w:color="auto"/>
            </w:tcBorders>
            <w:shd w:val="clear" w:color="auto" w:fill="F7AB6C"/>
          </w:tcPr>
          <w:p>
            <w:pPr>
              <w:jc w:val="center"/>
              <w:ind w:left="65"/>
              <w:spacing w:after="0"/>
              <w:rPr>
                <w:sz w:val="20"/>
                <w:szCs w:val="20"/>
                <w:color w:val="auto"/>
              </w:rPr>
            </w:pPr>
            <w:r>
              <w:rPr>
                <w:rFonts w:ascii="Arial" w:cs="Arial" w:eastAsia="Arial" w:hAnsi="Arial"/>
                <w:sz w:val="16"/>
                <w:szCs w:val="16"/>
                <w:b w:val="1"/>
                <w:bCs w:val="1"/>
                <w:color w:val="auto"/>
                <w:w w:val="98"/>
              </w:rPr>
              <w:t>Retirement</w:t>
            </w:r>
          </w:p>
        </w:tc>
        <w:tc>
          <w:tcPr>
            <w:tcW w:w="2180" w:type="dxa"/>
            <w:vAlign w:val="bottom"/>
            <w:tcBorders>
              <w:top w:val="single" w:sz="8" w:color="auto"/>
              <w:bottom w:val="single" w:sz="8" w:color="auto"/>
            </w:tcBorders>
            <w:gridSpan w:val="2"/>
            <w:shd w:val="clear" w:color="auto" w:fill="F7AB6C"/>
          </w:tcPr>
          <w:p>
            <w:pPr>
              <w:jc w:val="right"/>
              <w:ind w:right="245"/>
              <w:spacing w:after="0"/>
              <w:rPr>
                <w:sz w:val="20"/>
                <w:szCs w:val="20"/>
                <w:color w:val="auto"/>
              </w:rPr>
            </w:pPr>
            <w:r>
              <w:rPr>
                <w:rFonts w:ascii="Arial" w:cs="Arial" w:eastAsia="Arial" w:hAnsi="Arial"/>
                <w:sz w:val="16"/>
                <w:szCs w:val="16"/>
                <w:b w:val="1"/>
                <w:bCs w:val="1"/>
                <w:color w:val="auto"/>
              </w:rPr>
              <w:t>Change in Control</w:t>
            </w:r>
          </w:p>
        </w:tc>
      </w:tr>
      <w:tr>
        <w:trPr>
          <w:trHeight w:val="140"/>
        </w:trPr>
        <w:tc>
          <w:tcPr>
            <w:tcW w:w="260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ind w:left="107"/>
              <w:spacing w:after="0" w:line="139" w:lineRule="exact"/>
              <w:rPr>
                <w:sz w:val="20"/>
                <w:szCs w:val="20"/>
                <w:color w:val="auto"/>
              </w:rPr>
            </w:pPr>
            <w:r>
              <w:rPr>
                <w:rFonts w:ascii="Arial" w:cs="Arial" w:eastAsia="Arial" w:hAnsi="Arial"/>
                <w:sz w:val="14"/>
                <w:szCs w:val="14"/>
                <w:b w:val="1"/>
                <w:bCs w:val="1"/>
                <w:color w:val="auto"/>
                <w:w w:val="97"/>
              </w:rPr>
              <w:t>By the Company</w:t>
            </w:r>
          </w:p>
        </w:tc>
        <w:tc>
          <w:tcPr>
            <w:tcW w:w="4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8"/>
              </w:rPr>
              <w:t> By the Company</w:t>
            </w:r>
          </w:p>
        </w:tc>
        <w:tc>
          <w:tcPr>
            <w:tcW w:w="10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80" w:type="dxa"/>
            <w:vAlign w:val="bottom"/>
          </w:tcPr>
          <w:p>
            <w:pPr>
              <w:spacing w:after="0"/>
              <w:rPr>
                <w:sz w:val="12"/>
                <w:szCs w:val="12"/>
                <w:color w:val="auto"/>
              </w:rPr>
            </w:pPr>
          </w:p>
        </w:tc>
      </w:tr>
      <w:tr>
        <w:trPr>
          <w:trHeight w:val="156"/>
        </w:trPr>
        <w:tc>
          <w:tcPr>
            <w:tcW w:w="260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ind w:left="107"/>
              <w:spacing w:after="0" w:line="156" w:lineRule="exact"/>
              <w:rPr>
                <w:sz w:val="20"/>
                <w:szCs w:val="20"/>
                <w:color w:val="auto"/>
              </w:rPr>
            </w:pPr>
            <w:r>
              <w:rPr>
                <w:rFonts w:ascii="Arial" w:cs="Arial" w:eastAsia="Arial" w:hAnsi="Arial"/>
                <w:sz w:val="14"/>
                <w:szCs w:val="14"/>
                <w:b w:val="1"/>
                <w:bCs w:val="1"/>
                <w:color w:val="auto"/>
                <w:w w:val="97"/>
              </w:rPr>
              <w:t>(not for</w:t>
            </w:r>
          </w:p>
        </w:tc>
        <w:tc>
          <w:tcPr>
            <w:tcW w:w="4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for Cause; or</w:t>
            </w:r>
          </w:p>
        </w:tc>
        <w:tc>
          <w:tcPr>
            <w:tcW w:w="108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r>
      <w:tr>
        <w:trPr>
          <w:trHeight w:val="156"/>
        </w:trPr>
        <w:tc>
          <w:tcPr>
            <w:tcW w:w="260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ind w:left="107"/>
              <w:spacing w:after="0" w:line="156" w:lineRule="exact"/>
              <w:rPr>
                <w:sz w:val="20"/>
                <w:szCs w:val="20"/>
                <w:color w:val="auto"/>
              </w:rPr>
            </w:pPr>
            <w:r>
              <w:rPr>
                <w:rFonts w:ascii="Arial" w:cs="Arial" w:eastAsia="Arial" w:hAnsi="Arial"/>
                <w:sz w:val="14"/>
                <w:szCs w:val="14"/>
                <w:b w:val="1"/>
                <w:bCs w:val="1"/>
                <w:color w:val="auto"/>
                <w:w w:val="99"/>
              </w:rPr>
              <w:t>Death, Disability,</w:t>
            </w:r>
          </w:p>
        </w:tc>
        <w:tc>
          <w:tcPr>
            <w:tcW w:w="4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9"/>
              </w:rPr>
              <w:t>Voluntary</w:t>
            </w:r>
          </w:p>
        </w:tc>
        <w:tc>
          <w:tcPr>
            <w:tcW w:w="108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r>
      <w:tr>
        <w:trPr>
          <w:trHeight w:val="156"/>
        </w:trPr>
        <w:tc>
          <w:tcPr>
            <w:tcW w:w="260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ind w:left="87"/>
              <w:spacing w:after="0" w:line="156" w:lineRule="exact"/>
              <w:rPr>
                <w:sz w:val="20"/>
                <w:szCs w:val="20"/>
                <w:color w:val="auto"/>
              </w:rPr>
            </w:pPr>
            <w:r>
              <w:rPr>
                <w:rFonts w:ascii="Arial" w:cs="Arial" w:eastAsia="Arial" w:hAnsi="Arial"/>
                <w:sz w:val="14"/>
                <w:szCs w:val="14"/>
                <w:b w:val="1"/>
                <w:bCs w:val="1"/>
                <w:color w:val="auto"/>
                <w:w w:val="98"/>
              </w:rPr>
              <w:t>or Cause); or</w:t>
            </w:r>
          </w:p>
        </w:tc>
        <w:tc>
          <w:tcPr>
            <w:tcW w:w="1100" w:type="dxa"/>
            <w:vAlign w:val="bottom"/>
            <w:tcBorders>
              <w:right w:val="single" w:sz="8" w:color="auto"/>
            </w:tcBorders>
            <w:gridSpan w:val="2"/>
          </w:tcPr>
          <w:p>
            <w:pPr>
              <w:jc w:val="center"/>
              <w:ind w:left="87"/>
              <w:spacing w:after="0" w:line="156" w:lineRule="exact"/>
              <w:rPr>
                <w:sz w:val="20"/>
                <w:szCs w:val="20"/>
                <w:color w:val="auto"/>
              </w:rPr>
            </w:pPr>
            <w:r>
              <w:rPr>
                <w:rFonts w:ascii="Arial" w:cs="Arial" w:eastAsia="Arial" w:hAnsi="Arial"/>
                <w:sz w:val="14"/>
                <w:szCs w:val="14"/>
                <w:b w:val="1"/>
                <w:bCs w:val="1"/>
                <w:color w:val="auto"/>
                <w:w w:val="99"/>
              </w:rPr>
              <w:t>Due to Death</w:t>
            </w:r>
          </w:p>
        </w:tc>
        <w:tc>
          <w:tcPr>
            <w:tcW w:w="160" w:type="dxa"/>
            <w:vAlign w:val="bottom"/>
          </w:tcPr>
          <w:p>
            <w:pPr>
              <w:spacing w:after="0"/>
              <w:rPr>
                <w:sz w:val="13"/>
                <w:szCs w:val="13"/>
                <w:color w:val="auto"/>
              </w:rPr>
            </w:pPr>
          </w:p>
        </w:tc>
        <w:tc>
          <w:tcPr>
            <w:tcW w:w="132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7"/>
              </w:rPr>
              <w:t>Termination</w:t>
            </w:r>
          </w:p>
        </w:tc>
        <w:tc>
          <w:tcPr>
            <w:tcW w:w="108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r>
      <w:tr>
        <w:trPr>
          <w:trHeight w:val="156"/>
        </w:trPr>
        <w:tc>
          <w:tcPr>
            <w:tcW w:w="260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ind w:left="107"/>
              <w:spacing w:after="0" w:line="156" w:lineRule="exact"/>
              <w:rPr>
                <w:sz w:val="20"/>
                <w:szCs w:val="20"/>
                <w:color w:val="auto"/>
              </w:rPr>
            </w:pPr>
            <w:r>
              <w:rPr>
                <w:rFonts w:ascii="Arial" w:cs="Arial" w:eastAsia="Arial" w:hAnsi="Arial"/>
                <w:sz w:val="14"/>
                <w:szCs w:val="14"/>
                <w:b w:val="1"/>
                <w:bCs w:val="1"/>
                <w:color w:val="auto"/>
                <w:w w:val="99"/>
              </w:rPr>
              <w:t>Voluntary</w:t>
            </w:r>
          </w:p>
        </w:tc>
        <w:tc>
          <w:tcPr>
            <w:tcW w:w="1100" w:type="dxa"/>
            <w:vAlign w:val="bottom"/>
            <w:tcBorders>
              <w:right w:val="single" w:sz="8" w:color="auto"/>
            </w:tcBorders>
            <w:gridSpan w:val="2"/>
          </w:tcPr>
          <w:p>
            <w:pPr>
              <w:jc w:val="center"/>
              <w:ind w:left="107"/>
              <w:spacing w:after="0" w:line="156" w:lineRule="exact"/>
              <w:rPr>
                <w:sz w:val="20"/>
                <w:szCs w:val="20"/>
                <w:color w:val="auto"/>
              </w:rPr>
            </w:pPr>
            <w:r>
              <w:rPr>
                <w:rFonts w:ascii="Arial" w:cs="Arial" w:eastAsia="Arial" w:hAnsi="Arial"/>
                <w:sz w:val="14"/>
                <w:szCs w:val="14"/>
                <w:b w:val="1"/>
                <w:bCs w:val="1"/>
                <w:color w:val="auto"/>
                <w:w w:val="99"/>
              </w:rPr>
              <w:t>or Disability</w:t>
            </w:r>
          </w:p>
        </w:tc>
        <w:tc>
          <w:tcPr>
            <w:tcW w:w="160" w:type="dxa"/>
            <w:vAlign w:val="bottom"/>
          </w:tcPr>
          <w:p>
            <w:pPr>
              <w:spacing w:after="0"/>
              <w:rPr>
                <w:sz w:val="13"/>
                <w:szCs w:val="13"/>
                <w:color w:val="auto"/>
              </w:rPr>
            </w:pPr>
          </w:p>
        </w:tc>
        <w:tc>
          <w:tcPr>
            <w:tcW w:w="132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other than for</w:t>
            </w:r>
          </w:p>
        </w:tc>
        <w:tc>
          <w:tcPr>
            <w:tcW w:w="108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r>
      <w:tr>
        <w:trPr>
          <w:trHeight w:val="156"/>
        </w:trPr>
        <w:tc>
          <w:tcPr>
            <w:tcW w:w="260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ind w:left="87"/>
              <w:spacing w:after="0" w:line="156" w:lineRule="exact"/>
              <w:rPr>
                <w:sz w:val="20"/>
                <w:szCs w:val="20"/>
                <w:color w:val="auto"/>
              </w:rPr>
            </w:pPr>
            <w:r>
              <w:rPr>
                <w:rFonts w:ascii="Arial" w:cs="Arial" w:eastAsia="Arial" w:hAnsi="Arial"/>
                <w:sz w:val="14"/>
                <w:szCs w:val="14"/>
                <w:b w:val="1"/>
                <w:bCs w:val="1"/>
                <w:color w:val="auto"/>
                <w:w w:val="97"/>
              </w:rPr>
              <w:t>Termination</w:t>
            </w:r>
          </w:p>
        </w:tc>
        <w:tc>
          <w:tcPr>
            <w:tcW w:w="1100" w:type="dxa"/>
            <w:vAlign w:val="bottom"/>
            <w:tcBorders>
              <w:right w:val="single" w:sz="8" w:color="auto"/>
            </w:tcBorders>
            <w:gridSpan w:val="2"/>
          </w:tcPr>
          <w:p>
            <w:pPr>
              <w:jc w:val="center"/>
              <w:ind w:left="87"/>
              <w:spacing w:after="0" w:line="156" w:lineRule="exact"/>
              <w:rPr>
                <w:sz w:val="20"/>
                <w:szCs w:val="20"/>
                <w:color w:val="auto"/>
              </w:rPr>
            </w:pPr>
            <w:r>
              <w:rPr>
                <w:rFonts w:ascii="Arial" w:cs="Arial" w:eastAsia="Arial" w:hAnsi="Arial"/>
                <w:sz w:val="14"/>
                <w:szCs w:val="14"/>
                <w:b w:val="1"/>
                <w:bCs w:val="1"/>
                <w:color w:val="auto"/>
                <w:w w:val="98"/>
              </w:rPr>
              <w:t>(with or</w:t>
            </w:r>
          </w:p>
        </w:tc>
        <w:tc>
          <w:tcPr>
            <w:tcW w:w="160" w:type="dxa"/>
            <w:vAlign w:val="bottom"/>
          </w:tcPr>
          <w:p>
            <w:pPr>
              <w:spacing w:after="0"/>
              <w:rPr>
                <w:sz w:val="13"/>
                <w:szCs w:val="13"/>
                <w:color w:val="auto"/>
              </w:rPr>
            </w:pPr>
          </w:p>
        </w:tc>
        <w:tc>
          <w:tcPr>
            <w:tcW w:w="132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9"/>
              </w:rPr>
              <w:t>Good Reason or</w:t>
            </w:r>
          </w:p>
        </w:tc>
        <w:tc>
          <w:tcPr>
            <w:tcW w:w="1080" w:type="dxa"/>
            <w:vAlign w:val="bottom"/>
            <w:tcBorders>
              <w:right w:val="single" w:sz="8" w:color="auto"/>
            </w:tcBorders>
          </w:tcPr>
          <w:p>
            <w:pPr>
              <w:jc w:val="center"/>
              <w:ind w:left="105"/>
              <w:spacing w:after="0" w:line="156" w:lineRule="exact"/>
              <w:rPr>
                <w:sz w:val="20"/>
                <w:szCs w:val="20"/>
                <w:color w:val="auto"/>
              </w:rPr>
            </w:pPr>
            <w:r>
              <w:rPr>
                <w:rFonts w:ascii="Arial" w:cs="Arial" w:eastAsia="Arial" w:hAnsi="Arial"/>
                <w:sz w:val="14"/>
                <w:szCs w:val="14"/>
                <w:b w:val="1"/>
                <w:bCs w:val="1"/>
                <w:color w:val="auto"/>
                <w:w w:val="95"/>
              </w:rPr>
              <w:t>With or</w:t>
            </w:r>
          </w:p>
        </w:tc>
        <w:tc>
          <w:tcPr>
            <w:tcW w:w="1100" w:type="dxa"/>
            <w:vAlign w:val="bottom"/>
            <w:tcBorders>
              <w:right w:val="single" w:sz="8" w:color="auto"/>
            </w:tcBorders>
          </w:tcPr>
          <w:p>
            <w:pPr>
              <w:jc w:val="center"/>
              <w:ind w:left="105"/>
              <w:spacing w:after="0" w:line="156" w:lineRule="exact"/>
              <w:rPr>
                <w:sz w:val="20"/>
                <w:szCs w:val="20"/>
                <w:color w:val="auto"/>
              </w:rPr>
            </w:pPr>
            <w:r>
              <w:rPr>
                <w:rFonts w:ascii="Arial" w:cs="Arial" w:eastAsia="Arial" w:hAnsi="Arial"/>
                <w:sz w:val="14"/>
                <w:szCs w:val="14"/>
                <w:b w:val="1"/>
                <w:bCs w:val="1"/>
                <w:color w:val="auto"/>
                <w:w w:val="99"/>
              </w:rPr>
              <w:t>Without</w:t>
            </w:r>
          </w:p>
        </w:tc>
        <w:tc>
          <w:tcPr>
            <w:tcW w:w="1080" w:type="dxa"/>
            <w:vAlign w:val="bottom"/>
          </w:tcPr>
          <w:p>
            <w:pPr>
              <w:jc w:val="center"/>
              <w:ind w:left="145"/>
              <w:spacing w:after="0" w:line="156" w:lineRule="exact"/>
              <w:rPr>
                <w:sz w:val="20"/>
                <w:szCs w:val="20"/>
                <w:color w:val="auto"/>
              </w:rPr>
            </w:pPr>
            <w:r>
              <w:rPr>
                <w:rFonts w:ascii="Arial" w:cs="Arial" w:eastAsia="Arial" w:hAnsi="Arial"/>
                <w:sz w:val="14"/>
                <w:szCs w:val="14"/>
                <w:b w:val="1"/>
                <w:bCs w:val="1"/>
                <w:color w:val="auto"/>
                <w:w w:val="98"/>
              </w:rPr>
              <w:t>With</w:t>
            </w:r>
          </w:p>
        </w:tc>
      </w:tr>
      <w:tr>
        <w:trPr>
          <w:trHeight w:val="156"/>
        </w:trPr>
        <w:tc>
          <w:tcPr>
            <w:tcW w:w="260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ind w:left="67"/>
              <w:spacing w:after="0" w:line="156" w:lineRule="exact"/>
              <w:rPr>
                <w:sz w:val="20"/>
                <w:szCs w:val="20"/>
                <w:color w:val="auto"/>
              </w:rPr>
            </w:pPr>
            <w:r>
              <w:rPr>
                <w:rFonts w:ascii="Arial" w:cs="Arial" w:eastAsia="Arial" w:hAnsi="Arial"/>
                <w:sz w:val="14"/>
                <w:szCs w:val="14"/>
                <w:b w:val="1"/>
                <w:bCs w:val="1"/>
                <w:color w:val="auto"/>
                <w:w w:val="99"/>
              </w:rPr>
              <w:t> for Good Reason</w:t>
            </w:r>
          </w:p>
        </w:tc>
        <w:tc>
          <w:tcPr>
            <w:tcW w:w="1100" w:type="dxa"/>
            <w:vAlign w:val="bottom"/>
            <w:tcBorders>
              <w:right w:val="single" w:sz="8" w:color="auto"/>
            </w:tcBorders>
            <w:gridSpan w:val="2"/>
          </w:tcPr>
          <w:p>
            <w:pPr>
              <w:jc w:val="center"/>
              <w:ind w:left="107"/>
              <w:spacing w:after="0" w:line="156" w:lineRule="exact"/>
              <w:rPr>
                <w:sz w:val="20"/>
                <w:szCs w:val="20"/>
                <w:color w:val="auto"/>
              </w:rPr>
            </w:pPr>
            <w:r>
              <w:rPr>
                <w:rFonts w:ascii="Arial" w:cs="Arial" w:eastAsia="Arial" w:hAnsi="Arial"/>
                <w:sz w:val="14"/>
                <w:szCs w:val="14"/>
                <w:b w:val="1"/>
                <w:bCs w:val="1"/>
                <w:color w:val="auto"/>
                <w:w w:val="97"/>
              </w:rPr>
              <w:t>without a</w:t>
            </w:r>
          </w:p>
        </w:tc>
        <w:tc>
          <w:tcPr>
            <w:tcW w:w="160" w:type="dxa"/>
            <w:vAlign w:val="bottom"/>
          </w:tcPr>
          <w:p>
            <w:pPr>
              <w:spacing w:after="0"/>
              <w:rPr>
                <w:sz w:val="13"/>
                <w:szCs w:val="13"/>
                <w:color w:val="auto"/>
              </w:rPr>
            </w:pPr>
          </w:p>
        </w:tc>
        <w:tc>
          <w:tcPr>
            <w:tcW w:w="132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Retirement</w:t>
            </w:r>
          </w:p>
        </w:tc>
        <w:tc>
          <w:tcPr>
            <w:tcW w:w="1080" w:type="dxa"/>
            <w:vAlign w:val="bottom"/>
            <w:tcBorders>
              <w:right w:val="single" w:sz="8" w:color="auto"/>
            </w:tcBorders>
          </w:tcPr>
          <w:p>
            <w:pPr>
              <w:jc w:val="center"/>
              <w:ind w:left="105"/>
              <w:spacing w:after="0" w:line="156" w:lineRule="exact"/>
              <w:rPr>
                <w:sz w:val="20"/>
                <w:szCs w:val="20"/>
                <w:color w:val="auto"/>
              </w:rPr>
            </w:pPr>
            <w:r>
              <w:rPr>
                <w:rFonts w:ascii="Arial" w:cs="Arial" w:eastAsia="Arial" w:hAnsi="Arial"/>
                <w:sz w:val="14"/>
                <w:szCs w:val="14"/>
                <w:b w:val="1"/>
                <w:bCs w:val="1"/>
                <w:color w:val="auto"/>
                <w:w w:val="97"/>
              </w:rPr>
              <w:t>Without a</w:t>
            </w:r>
          </w:p>
        </w:tc>
        <w:tc>
          <w:tcPr>
            <w:tcW w:w="1100" w:type="dxa"/>
            <w:vAlign w:val="bottom"/>
            <w:tcBorders>
              <w:right w:val="single" w:sz="8" w:color="auto"/>
            </w:tcBorders>
          </w:tcPr>
          <w:p>
            <w:pPr>
              <w:jc w:val="center"/>
              <w:ind w:left="105"/>
              <w:spacing w:after="0" w:line="156" w:lineRule="exact"/>
              <w:rPr>
                <w:sz w:val="20"/>
                <w:szCs w:val="20"/>
                <w:color w:val="auto"/>
              </w:rPr>
            </w:pPr>
            <w:r>
              <w:rPr>
                <w:rFonts w:ascii="Arial" w:cs="Arial" w:eastAsia="Arial" w:hAnsi="Arial"/>
                <w:sz w:val="14"/>
                <w:szCs w:val="14"/>
                <w:b w:val="1"/>
                <w:bCs w:val="1"/>
                <w:color w:val="auto"/>
              </w:rPr>
              <w:t>Adverse</w:t>
            </w:r>
          </w:p>
        </w:tc>
        <w:tc>
          <w:tcPr>
            <w:tcW w:w="1080" w:type="dxa"/>
            <w:vAlign w:val="bottom"/>
          </w:tcPr>
          <w:p>
            <w:pPr>
              <w:jc w:val="center"/>
              <w:ind w:left="145"/>
              <w:spacing w:after="0" w:line="156" w:lineRule="exact"/>
              <w:rPr>
                <w:sz w:val="20"/>
                <w:szCs w:val="20"/>
                <w:color w:val="auto"/>
              </w:rPr>
            </w:pPr>
            <w:r>
              <w:rPr>
                <w:rFonts w:ascii="Arial" w:cs="Arial" w:eastAsia="Arial" w:hAnsi="Arial"/>
                <w:sz w:val="14"/>
                <w:szCs w:val="14"/>
                <w:b w:val="1"/>
                <w:bCs w:val="1"/>
                <w:color w:val="auto"/>
                <w:w w:val="97"/>
              </w:rPr>
              <w:t>Adverse</w:t>
            </w:r>
          </w:p>
        </w:tc>
      </w:tr>
      <w:tr>
        <w:trPr>
          <w:trHeight w:val="154"/>
        </w:trPr>
        <w:tc>
          <w:tcPr>
            <w:tcW w:w="260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ind w:left="107"/>
              <w:spacing w:after="0" w:line="154" w:lineRule="exact"/>
              <w:rPr>
                <w:sz w:val="20"/>
                <w:szCs w:val="20"/>
                <w:color w:val="auto"/>
              </w:rPr>
            </w:pPr>
            <w:r>
              <w:rPr>
                <w:rFonts w:ascii="Arial" w:cs="Arial" w:eastAsia="Arial" w:hAnsi="Arial"/>
                <w:sz w:val="14"/>
                <w:szCs w:val="14"/>
                <w:b w:val="1"/>
                <w:bCs w:val="1"/>
                <w:color w:val="auto"/>
                <w:w w:val="97"/>
              </w:rPr>
              <w:t>(no Change of</w:t>
            </w:r>
          </w:p>
        </w:tc>
        <w:tc>
          <w:tcPr>
            <w:tcW w:w="1100" w:type="dxa"/>
            <w:vAlign w:val="bottom"/>
            <w:tcBorders>
              <w:right w:val="single" w:sz="8" w:color="auto"/>
            </w:tcBorders>
            <w:gridSpan w:val="2"/>
          </w:tcPr>
          <w:p>
            <w:pPr>
              <w:jc w:val="center"/>
              <w:ind w:left="107"/>
              <w:spacing w:after="0" w:line="154" w:lineRule="exact"/>
              <w:rPr>
                <w:sz w:val="20"/>
                <w:szCs w:val="20"/>
                <w:color w:val="auto"/>
              </w:rPr>
            </w:pPr>
            <w:r>
              <w:rPr>
                <w:rFonts w:ascii="Arial" w:cs="Arial" w:eastAsia="Arial" w:hAnsi="Arial"/>
                <w:sz w:val="14"/>
                <w:szCs w:val="14"/>
                <w:b w:val="1"/>
                <w:bCs w:val="1"/>
                <w:color w:val="auto"/>
                <w:w w:val="99"/>
              </w:rPr>
              <w:t>Change of</w:t>
            </w:r>
          </w:p>
        </w:tc>
        <w:tc>
          <w:tcPr>
            <w:tcW w:w="160" w:type="dxa"/>
            <w:vAlign w:val="bottom"/>
          </w:tcPr>
          <w:p>
            <w:pPr>
              <w:spacing w:after="0"/>
              <w:rPr>
                <w:sz w:val="13"/>
                <w:szCs w:val="13"/>
                <w:color w:val="auto"/>
              </w:rPr>
            </w:pPr>
          </w:p>
        </w:tc>
        <w:tc>
          <w:tcPr>
            <w:tcW w:w="13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7"/>
              </w:rPr>
              <w:t>(no Change of</w:t>
            </w:r>
          </w:p>
        </w:tc>
        <w:tc>
          <w:tcPr>
            <w:tcW w:w="1080" w:type="dxa"/>
            <w:vAlign w:val="bottom"/>
            <w:tcBorders>
              <w:right w:val="single" w:sz="8" w:color="auto"/>
            </w:tcBorders>
          </w:tcPr>
          <w:p>
            <w:pPr>
              <w:jc w:val="center"/>
              <w:ind w:left="105"/>
              <w:spacing w:after="0" w:line="154" w:lineRule="exact"/>
              <w:rPr>
                <w:sz w:val="20"/>
                <w:szCs w:val="20"/>
                <w:color w:val="auto"/>
              </w:rPr>
            </w:pPr>
            <w:r>
              <w:rPr>
                <w:rFonts w:ascii="Arial" w:cs="Arial" w:eastAsia="Arial" w:hAnsi="Arial"/>
                <w:sz w:val="14"/>
                <w:szCs w:val="14"/>
                <w:b w:val="1"/>
                <w:bCs w:val="1"/>
                <w:color w:val="auto"/>
                <w:w w:val="96"/>
              </w:rPr>
              <w:t>Change of</w:t>
            </w:r>
          </w:p>
        </w:tc>
        <w:tc>
          <w:tcPr>
            <w:tcW w:w="1100" w:type="dxa"/>
            <w:vAlign w:val="bottom"/>
            <w:tcBorders>
              <w:right w:val="single" w:sz="8" w:color="auto"/>
            </w:tcBorders>
          </w:tcPr>
          <w:p>
            <w:pPr>
              <w:jc w:val="center"/>
              <w:ind w:left="105"/>
              <w:spacing w:after="0" w:line="154" w:lineRule="exact"/>
              <w:rPr>
                <w:sz w:val="20"/>
                <w:szCs w:val="20"/>
                <w:color w:val="auto"/>
              </w:rPr>
            </w:pPr>
            <w:r>
              <w:rPr>
                <w:rFonts w:ascii="Arial" w:cs="Arial" w:eastAsia="Arial" w:hAnsi="Arial"/>
                <w:sz w:val="14"/>
                <w:szCs w:val="14"/>
                <w:b w:val="1"/>
                <w:bCs w:val="1"/>
                <w:color w:val="auto"/>
                <w:w w:val="99"/>
              </w:rPr>
              <w:t>Employment</w:t>
            </w:r>
          </w:p>
        </w:tc>
        <w:tc>
          <w:tcPr>
            <w:tcW w:w="1080" w:type="dxa"/>
            <w:vAlign w:val="bottom"/>
          </w:tcPr>
          <w:p>
            <w:pPr>
              <w:jc w:val="center"/>
              <w:ind w:left="125"/>
              <w:spacing w:after="0" w:line="154" w:lineRule="exact"/>
              <w:rPr>
                <w:sz w:val="20"/>
                <w:szCs w:val="20"/>
                <w:color w:val="auto"/>
              </w:rPr>
            </w:pPr>
            <w:r>
              <w:rPr>
                <w:rFonts w:ascii="Arial" w:cs="Arial" w:eastAsia="Arial" w:hAnsi="Arial"/>
                <w:sz w:val="14"/>
                <w:szCs w:val="14"/>
                <w:b w:val="1"/>
                <w:bCs w:val="1"/>
                <w:color w:val="auto"/>
                <w:w w:val="99"/>
              </w:rPr>
              <w:t>Employment</w:t>
            </w:r>
          </w:p>
        </w:tc>
      </w:tr>
      <w:tr>
        <w:trPr>
          <w:trHeight w:val="180"/>
        </w:trPr>
        <w:tc>
          <w:tcPr>
            <w:tcW w:w="260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jc w:val="center"/>
              <w:ind w:left="87"/>
              <w:spacing w:after="0" w:line="180" w:lineRule="exact"/>
              <w:rPr>
                <w:sz w:val="20"/>
                <w:szCs w:val="20"/>
                <w:color w:val="auto"/>
              </w:rPr>
            </w:pPr>
            <w:r>
              <w:rPr>
                <w:rFonts w:ascii="Arial" w:cs="Arial" w:eastAsia="Arial" w:hAnsi="Arial"/>
                <w:sz w:val="14"/>
                <w:szCs w:val="14"/>
                <w:b w:val="1"/>
                <w:bCs w:val="1"/>
                <w:color w:val="auto"/>
                <w:w w:val="93"/>
              </w:rPr>
              <w:t xml:space="preserve">Control) </w:t>
            </w:r>
            <w:r>
              <w:rPr>
                <w:rFonts w:ascii="Arial" w:cs="Arial" w:eastAsia="Arial" w:hAnsi="Arial"/>
                <w:sz w:val="20"/>
                <w:szCs w:val="20"/>
                <w:b w:val="1"/>
                <w:bCs w:val="1"/>
                <w:i w:val="1"/>
                <w:iCs w:val="1"/>
                <w:color w:val="auto"/>
                <w:w w:val="93"/>
                <w:vertAlign w:val="superscript"/>
              </w:rPr>
              <w:t>(1)</w:t>
            </w:r>
          </w:p>
        </w:tc>
        <w:tc>
          <w:tcPr>
            <w:tcW w:w="1100" w:type="dxa"/>
            <w:vAlign w:val="bottom"/>
            <w:tcBorders>
              <w:bottom w:val="single" w:sz="8" w:color="auto"/>
              <w:right w:val="single" w:sz="8" w:color="auto"/>
            </w:tcBorders>
            <w:gridSpan w:val="2"/>
          </w:tcPr>
          <w:p>
            <w:pPr>
              <w:jc w:val="center"/>
              <w:ind w:left="107"/>
              <w:spacing w:after="0" w:line="180" w:lineRule="exact"/>
              <w:rPr>
                <w:sz w:val="20"/>
                <w:szCs w:val="20"/>
                <w:color w:val="auto"/>
              </w:rPr>
            </w:pPr>
            <w:r>
              <w:rPr>
                <w:rFonts w:ascii="Arial" w:cs="Arial" w:eastAsia="Arial" w:hAnsi="Arial"/>
                <w:sz w:val="14"/>
                <w:szCs w:val="14"/>
                <w:b w:val="1"/>
                <w:bCs w:val="1"/>
                <w:color w:val="auto"/>
                <w:w w:val="92"/>
              </w:rPr>
              <w:t xml:space="preserve">Control) </w:t>
            </w:r>
            <w:r>
              <w:rPr>
                <w:rFonts w:ascii="Arial" w:cs="Arial" w:eastAsia="Arial" w:hAnsi="Arial"/>
                <w:sz w:val="20"/>
                <w:szCs w:val="20"/>
                <w:b w:val="1"/>
                <w:bCs w:val="1"/>
                <w:i w:val="1"/>
                <w:iCs w:val="1"/>
                <w:color w:val="auto"/>
                <w:w w:val="92"/>
                <w:vertAlign w:val="superscript"/>
              </w:rPr>
              <w:t>(2)(3)</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4"/>
                <w:szCs w:val="14"/>
                <w:b w:val="1"/>
                <w:bCs w:val="1"/>
                <w:color w:val="auto"/>
                <w:w w:val="93"/>
              </w:rPr>
              <w:t xml:space="preserve">Control) </w:t>
            </w:r>
            <w:r>
              <w:rPr>
                <w:rFonts w:ascii="Arial" w:cs="Arial" w:eastAsia="Arial" w:hAnsi="Arial"/>
                <w:sz w:val="20"/>
                <w:szCs w:val="20"/>
                <w:b w:val="1"/>
                <w:bCs w:val="1"/>
                <w:i w:val="1"/>
                <w:iCs w:val="1"/>
                <w:color w:val="auto"/>
                <w:w w:val="93"/>
                <w:vertAlign w:val="superscript"/>
              </w:rPr>
              <w:t>(4)</w:t>
            </w:r>
          </w:p>
        </w:tc>
        <w:tc>
          <w:tcPr>
            <w:tcW w:w="1080" w:type="dxa"/>
            <w:vAlign w:val="bottom"/>
            <w:tcBorders>
              <w:bottom w:val="single" w:sz="8" w:color="auto"/>
              <w:right w:val="single" w:sz="8" w:color="auto"/>
            </w:tcBorders>
          </w:tcPr>
          <w:p>
            <w:pPr>
              <w:jc w:val="center"/>
              <w:ind w:left="105"/>
              <w:spacing w:after="0" w:line="180" w:lineRule="exact"/>
              <w:rPr>
                <w:sz w:val="20"/>
                <w:szCs w:val="20"/>
                <w:color w:val="auto"/>
              </w:rPr>
            </w:pPr>
            <w:r>
              <w:rPr>
                <w:rFonts w:ascii="Arial" w:cs="Arial" w:eastAsia="Arial" w:hAnsi="Arial"/>
                <w:sz w:val="14"/>
                <w:szCs w:val="14"/>
                <w:b w:val="1"/>
                <w:bCs w:val="1"/>
                <w:color w:val="auto"/>
                <w:w w:val="90"/>
              </w:rPr>
              <w:t xml:space="preserve">Control </w:t>
            </w:r>
            <w:r>
              <w:rPr>
                <w:rFonts w:ascii="Arial" w:cs="Arial" w:eastAsia="Arial" w:hAnsi="Arial"/>
                <w:sz w:val="20"/>
                <w:szCs w:val="20"/>
                <w:b w:val="1"/>
                <w:bCs w:val="1"/>
                <w:i w:val="1"/>
                <w:iCs w:val="1"/>
                <w:color w:val="auto"/>
                <w:w w:val="90"/>
                <w:vertAlign w:val="superscript"/>
              </w:rPr>
              <w:t>(2)(5)</w:t>
            </w:r>
          </w:p>
        </w:tc>
        <w:tc>
          <w:tcPr>
            <w:tcW w:w="1100" w:type="dxa"/>
            <w:vAlign w:val="bottom"/>
            <w:tcBorders>
              <w:bottom w:val="single" w:sz="8" w:color="auto"/>
              <w:right w:val="single" w:sz="8" w:color="auto"/>
            </w:tcBorders>
          </w:tcPr>
          <w:p>
            <w:pPr>
              <w:jc w:val="center"/>
              <w:ind w:left="105"/>
              <w:spacing w:after="0" w:line="180" w:lineRule="exact"/>
              <w:rPr>
                <w:sz w:val="20"/>
                <w:szCs w:val="20"/>
                <w:color w:val="auto"/>
              </w:rPr>
            </w:pPr>
            <w:r>
              <w:rPr>
                <w:rFonts w:ascii="Arial" w:cs="Arial" w:eastAsia="Arial" w:hAnsi="Arial"/>
                <w:sz w:val="14"/>
                <w:szCs w:val="14"/>
                <w:b w:val="1"/>
                <w:bCs w:val="1"/>
                <w:color w:val="auto"/>
                <w:w w:val="94"/>
              </w:rPr>
              <w:t xml:space="preserve">Action </w:t>
            </w:r>
            <w:r>
              <w:rPr>
                <w:rFonts w:ascii="Arial" w:cs="Arial" w:eastAsia="Arial" w:hAnsi="Arial"/>
                <w:sz w:val="20"/>
                <w:szCs w:val="20"/>
                <w:b w:val="1"/>
                <w:bCs w:val="1"/>
                <w:i w:val="1"/>
                <w:iCs w:val="1"/>
                <w:color w:val="auto"/>
                <w:w w:val="94"/>
                <w:vertAlign w:val="superscript"/>
              </w:rPr>
              <w:t>(2)</w:t>
            </w:r>
          </w:p>
        </w:tc>
        <w:tc>
          <w:tcPr>
            <w:tcW w:w="1080" w:type="dxa"/>
            <w:vAlign w:val="bottom"/>
            <w:tcBorders>
              <w:bottom w:val="single" w:sz="8" w:color="auto"/>
            </w:tcBorders>
          </w:tcPr>
          <w:p>
            <w:pPr>
              <w:jc w:val="center"/>
              <w:ind w:left="125"/>
              <w:spacing w:after="0" w:line="180" w:lineRule="exact"/>
              <w:rPr>
                <w:sz w:val="20"/>
                <w:szCs w:val="20"/>
                <w:color w:val="auto"/>
              </w:rPr>
            </w:pPr>
            <w:r>
              <w:rPr>
                <w:rFonts w:ascii="Arial" w:cs="Arial" w:eastAsia="Arial" w:hAnsi="Arial"/>
                <w:sz w:val="14"/>
                <w:szCs w:val="14"/>
                <w:b w:val="1"/>
                <w:bCs w:val="1"/>
                <w:color w:val="auto"/>
                <w:w w:val="94"/>
              </w:rPr>
              <w:t xml:space="preserve">Action </w:t>
            </w:r>
            <w:r>
              <w:rPr>
                <w:rFonts w:ascii="Arial" w:cs="Arial" w:eastAsia="Arial" w:hAnsi="Arial"/>
                <w:sz w:val="20"/>
                <w:szCs w:val="20"/>
                <w:b w:val="1"/>
                <w:bCs w:val="1"/>
                <w:i w:val="1"/>
                <w:iCs w:val="1"/>
                <w:color w:val="auto"/>
                <w:w w:val="94"/>
                <w:vertAlign w:val="superscript"/>
              </w:rPr>
              <w:t>(6)</w:t>
            </w:r>
          </w:p>
        </w:tc>
      </w:tr>
      <w:tr>
        <w:trPr>
          <w:trHeight w:val="219"/>
        </w:trPr>
        <w:tc>
          <w:tcPr>
            <w:tcW w:w="2600" w:type="dxa"/>
            <w:vAlign w:val="bottom"/>
            <w:tcBorders>
              <w:bottom w:val="single" w:sz="8" w:color="314A72"/>
              <w:right w:val="single" w:sz="8" w:color="314A72"/>
            </w:tcBorders>
            <w:shd w:val="clear" w:color="auto" w:fill="314A72"/>
          </w:tcPr>
          <w:p>
            <w:pPr>
              <w:ind w:left="1200"/>
              <w:spacing w:after="0"/>
              <w:rPr>
                <w:sz w:val="20"/>
                <w:szCs w:val="20"/>
                <w:color w:val="auto"/>
              </w:rPr>
            </w:pPr>
            <w:r>
              <w:rPr>
                <w:rFonts w:ascii="Arial" w:cs="Arial" w:eastAsia="Arial" w:hAnsi="Arial"/>
                <w:sz w:val="14"/>
                <w:szCs w:val="14"/>
                <w:b w:val="1"/>
                <w:bCs w:val="1"/>
                <w:color w:val="FFFFFF"/>
              </w:rPr>
              <w:t>(a)</w:t>
            </w:r>
          </w:p>
        </w:tc>
        <w:tc>
          <w:tcPr>
            <w:tcW w:w="1540" w:type="dxa"/>
            <w:vAlign w:val="bottom"/>
            <w:tcBorders>
              <w:bottom w:val="single" w:sz="8" w:color="314A72"/>
              <w:right w:val="single" w:sz="8" w:color="314A72"/>
            </w:tcBorders>
            <w:shd w:val="clear" w:color="auto" w:fill="314A72"/>
          </w:tcPr>
          <w:p>
            <w:pPr>
              <w:jc w:val="center"/>
              <w:ind w:left="87"/>
              <w:spacing w:after="0"/>
              <w:rPr>
                <w:sz w:val="20"/>
                <w:szCs w:val="20"/>
                <w:color w:val="auto"/>
              </w:rPr>
            </w:pPr>
            <w:r>
              <w:rPr>
                <w:rFonts w:ascii="Arial" w:cs="Arial" w:eastAsia="Arial" w:hAnsi="Arial"/>
                <w:sz w:val="14"/>
                <w:szCs w:val="14"/>
                <w:b w:val="1"/>
                <w:bCs w:val="1"/>
                <w:color w:val="FFFFFF"/>
              </w:rPr>
              <w:t>(b)</w:t>
            </w:r>
          </w:p>
        </w:tc>
        <w:tc>
          <w:tcPr>
            <w:tcW w:w="460" w:type="dxa"/>
            <w:vAlign w:val="bottom"/>
            <w:tcBorders>
              <w:bottom w:val="single" w:sz="8" w:color="314A72"/>
            </w:tcBorders>
            <w:shd w:val="clear" w:color="auto" w:fill="314A72"/>
          </w:tcPr>
          <w:p>
            <w:pPr>
              <w:spacing w:after="0"/>
              <w:rPr>
                <w:sz w:val="18"/>
                <w:szCs w:val="18"/>
                <w:color w:val="auto"/>
              </w:rPr>
            </w:pPr>
          </w:p>
        </w:tc>
        <w:tc>
          <w:tcPr>
            <w:tcW w:w="640" w:type="dxa"/>
            <w:vAlign w:val="bottom"/>
            <w:tcBorders>
              <w:bottom w:val="single" w:sz="8" w:color="314A72"/>
              <w:right w:val="single" w:sz="8" w:color="314A72"/>
            </w:tcBorders>
            <w:shd w:val="clear" w:color="auto" w:fill="314A72"/>
          </w:tcPr>
          <w:p>
            <w:pPr>
              <w:jc w:val="center"/>
              <w:ind w:right="204"/>
              <w:spacing w:after="0"/>
              <w:rPr>
                <w:sz w:val="20"/>
                <w:szCs w:val="20"/>
                <w:color w:val="auto"/>
              </w:rPr>
            </w:pPr>
            <w:r>
              <w:rPr>
                <w:rFonts w:ascii="Arial" w:cs="Arial" w:eastAsia="Arial" w:hAnsi="Arial"/>
                <w:sz w:val="14"/>
                <w:szCs w:val="14"/>
                <w:b w:val="1"/>
                <w:bCs w:val="1"/>
                <w:color w:val="FFFFFF"/>
                <w:w w:val="93"/>
              </w:rPr>
              <w:t>(c)</w:t>
            </w:r>
          </w:p>
        </w:tc>
        <w:tc>
          <w:tcPr>
            <w:tcW w:w="160" w:type="dxa"/>
            <w:vAlign w:val="bottom"/>
            <w:tcBorders>
              <w:bottom w:val="single" w:sz="8" w:color="314A72"/>
            </w:tcBorders>
            <w:shd w:val="clear" w:color="auto" w:fill="314A72"/>
          </w:tcPr>
          <w:p>
            <w:pPr>
              <w:spacing w:after="0"/>
              <w:rPr>
                <w:sz w:val="18"/>
                <w:szCs w:val="18"/>
                <w:color w:val="auto"/>
              </w:rPr>
            </w:pPr>
          </w:p>
        </w:tc>
        <w:tc>
          <w:tcPr>
            <w:tcW w:w="1320" w:type="dxa"/>
            <w:vAlign w:val="bottom"/>
            <w:tcBorders>
              <w:bottom w:val="single" w:sz="8" w:color="314A72"/>
              <w:right w:val="single" w:sz="8" w:color="314A72"/>
            </w:tcBorders>
            <w:shd w:val="clear" w:color="auto" w:fill="314A72"/>
          </w:tcPr>
          <w:p>
            <w:pPr>
              <w:jc w:val="center"/>
              <w:spacing w:after="0"/>
              <w:rPr>
                <w:sz w:val="20"/>
                <w:szCs w:val="20"/>
                <w:color w:val="auto"/>
              </w:rPr>
            </w:pPr>
            <w:r>
              <w:rPr>
                <w:rFonts w:ascii="Arial" w:cs="Arial" w:eastAsia="Arial" w:hAnsi="Arial"/>
                <w:sz w:val="14"/>
                <w:szCs w:val="14"/>
                <w:b w:val="1"/>
                <w:bCs w:val="1"/>
                <w:color w:val="FFFFFF"/>
              </w:rPr>
              <w:t>(d)</w:t>
            </w:r>
          </w:p>
        </w:tc>
        <w:tc>
          <w:tcPr>
            <w:tcW w:w="1080" w:type="dxa"/>
            <w:vAlign w:val="bottom"/>
            <w:tcBorders>
              <w:bottom w:val="single" w:sz="8" w:color="314A72"/>
              <w:right w:val="single" w:sz="8" w:color="314A72"/>
            </w:tcBorders>
            <w:shd w:val="clear" w:color="auto" w:fill="314A72"/>
          </w:tcPr>
          <w:p>
            <w:pPr>
              <w:jc w:val="center"/>
              <w:ind w:left="105"/>
              <w:spacing w:after="0"/>
              <w:rPr>
                <w:sz w:val="20"/>
                <w:szCs w:val="20"/>
                <w:color w:val="auto"/>
              </w:rPr>
            </w:pPr>
            <w:r>
              <w:rPr>
                <w:rFonts w:ascii="Arial" w:cs="Arial" w:eastAsia="Arial" w:hAnsi="Arial"/>
                <w:sz w:val="14"/>
                <w:szCs w:val="14"/>
                <w:b w:val="1"/>
                <w:bCs w:val="1"/>
                <w:color w:val="FFFFFF"/>
              </w:rPr>
              <w:t>(e)</w:t>
            </w:r>
          </w:p>
        </w:tc>
        <w:tc>
          <w:tcPr>
            <w:tcW w:w="1100" w:type="dxa"/>
            <w:vAlign w:val="bottom"/>
            <w:tcBorders>
              <w:bottom w:val="single" w:sz="8" w:color="314A72"/>
              <w:right w:val="single" w:sz="8" w:color="314A72"/>
            </w:tcBorders>
            <w:shd w:val="clear" w:color="auto" w:fill="314A72"/>
          </w:tcPr>
          <w:p>
            <w:pPr>
              <w:jc w:val="center"/>
              <w:ind w:left="105"/>
              <w:spacing w:after="0"/>
              <w:rPr>
                <w:sz w:val="20"/>
                <w:szCs w:val="20"/>
                <w:color w:val="auto"/>
              </w:rPr>
            </w:pPr>
            <w:r>
              <w:rPr>
                <w:rFonts w:ascii="Arial" w:cs="Arial" w:eastAsia="Arial" w:hAnsi="Arial"/>
                <w:sz w:val="14"/>
                <w:szCs w:val="14"/>
                <w:b w:val="1"/>
                <w:bCs w:val="1"/>
                <w:color w:val="FFFFFF"/>
                <w:w w:val="85"/>
              </w:rPr>
              <w:t>(f)</w:t>
            </w:r>
          </w:p>
        </w:tc>
        <w:tc>
          <w:tcPr>
            <w:tcW w:w="1080" w:type="dxa"/>
            <w:vAlign w:val="bottom"/>
            <w:tcBorders>
              <w:bottom w:val="single" w:sz="8" w:color="314A72"/>
            </w:tcBorders>
            <w:shd w:val="clear" w:color="auto" w:fill="314A72"/>
          </w:tcPr>
          <w:p>
            <w:pPr>
              <w:jc w:val="center"/>
              <w:ind w:left="145"/>
              <w:spacing w:after="0"/>
              <w:rPr>
                <w:sz w:val="20"/>
                <w:szCs w:val="20"/>
                <w:color w:val="auto"/>
              </w:rPr>
            </w:pPr>
            <w:r>
              <w:rPr>
                <w:rFonts w:ascii="Arial" w:cs="Arial" w:eastAsia="Arial" w:hAnsi="Arial"/>
                <w:sz w:val="14"/>
                <w:szCs w:val="14"/>
                <w:b w:val="1"/>
                <w:bCs w:val="1"/>
                <w:color w:val="FFFFFF"/>
              </w:rPr>
              <w:t>(g)</w:t>
            </w:r>
          </w:p>
        </w:tc>
      </w:tr>
      <w:tr>
        <w:trPr>
          <w:trHeight w:val="272"/>
        </w:trPr>
        <w:tc>
          <w:tcPr>
            <w:tcW w:w="2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  Thomas P. Meissner, Jr.</w:t>
            </w:r>
          </w:p>
        </w:tc>
        <w:tc>
          <w:tcPr>
            <w:tcW w:w="1540" w:type="dxa"/>
            <w:vAlign w:val="bottom"/>
            <w:tcBorders>
              <w:top w:val="single" w:sz="8" w:color="auto"/>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64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spacing w:after="0"/>
              <w:rPr>
                <w:sz w:val="23"/>
                <w:szCs w:val="23"/>
                <w:color w:val="auto"/>
              </w:rPr>
            </w:pPr>
          </w:p>
        </w:tc>
      </w:tr>
      <w:tr>
        <w:trPr>
          <w:trHeight w:val="170"/>
        </w:trPr>
        <w:tc>
          <w:tcPr>
            <w:tcW w:w="2600" w:type="dxa"/>
            <w:vAlign w:val="bottom"/>
            <w:tcBorders>
              <w:right w:val="single" w:sz="8" w:color="auto"/>
            </w:tcBorders>
            <w:shd w:val="clear" w:color="auto" w:fill="F7AB6C"/>
          </w:tcPr>
          <w:p>
            <w:pPr>
              <w:spacing w:after="0" w:line="170" w:lineRule="exact"/>
              <w:rPr>
                <w:sz w:val="20"/>
                <w:szCs w:val="20"/>
                <w:color w:val="auto"/>
              </w:rPr>
            </w:pPr>
            <w:r>
              <w:rPr>
                <w:rFonts w:ascii="Arial" w:cs="Arial" w:eastAsia="Arial" w:hAnsi="Arial"/>
                <w:sz w:val="16"/>
                <w:szCs w:val="16"/>
                <w:b w:val="1"/>
                <w:bCs w:val="1"/>
                <w:color w:val="auto"/>
              </w:rPr>
              <w:t>  Compensation:</w:t>
            </w:r>
          </w:p>
        </w:tc>
        <w:tc>
          <w:tcPr>
            <w:tcW w:w="154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r>
      <w:tr>
        <w:trPr>
          <w:trHeight w:val="205"/>
        </w:trPr>
        <w:tc>
          <w:tcPr>
            <w:tcW w:w="2600" w:type="dxa"/>
            <w:vAlign w:val="bottom"/>
            <w:tcBorders>
              <w:right w:val="single" w:sz="8" w:color="auto"/>
            </w:tcBorders>
            <w:shd w:val="clear" w:color="auto" w:fill="F7AB6C"/>
          </w:tcPr>
          <w:p>
            <w:pPr>
              <w:ind w:left="280"/>
              <w:spacing w:after="0"/>
              <w:rPr>
                <w:sz w:val="20"/>
                <w:szCs w:val="20"/>
                <w:color w:val="auto"/>
              </w:rPr>
            </w:pPr>
            <w:r>
              <w:rPr>
                <w:rFonts w:ascii="Arial" w:cs="Arial" w:eastAsia="Arial" w:hAnsi="Arial"/>
                <w:sz w:val="16"/>
                <w:szCs w:val="16"/>
                <w:color w:val="auto"/>
              </w:rPr>
              <w:t>Severance</w:t>
            </w:r>
          </w:p>
        </w:tc>
        <w:tc>
          <w:tcPr>
            <w:tcW w:w="1540" w:type="dxa"/>
            <w:vAlign w:val="bottom"/>
            <w:tcBorders>
              <w:right w:val="single" w:sz="8" w:color="auto"/>
            </w:tcBorders>
          </w:tcPr>
          <w:p>
            <w:pPr>
              <w:jc w:val="center"/>
              <w:ind w:left="167"/>
              <w:spacing w:after="0"/>
              <w:rPr>
                <w:sz w:val="20"/>
                <w:szCs w:val="20"/>
                <w:color w:val="auto"/>
              </w:rPr>
            </w:pPr>
            <w:r>
              <w:rPr>
                <w:rFonts w:ascii="Arial" w:cs="Arial" w:eastAsia="Arial" w:hAnsi="Arial"/>
                <w:sz w:val="16"/>
                <w:szCs w:val="16"/>
                <w:color w:val="auto"/>
                <w:w w:val="97"/>
              </w:rPr>
              <w:t>$2,522,195</w:t>
            </w:r>
          </w:p>
        </w:tc>
        <w:tc>
          <w:tcPr>
            <w:tcW w:w="460" w:type="dxa"/>
            <w:vAlign w:val="bottom"/>
          </w:tcPr>
          <w:p>
            <w:pPr>
              <w:spacing w:after="0"/>
              <w:rPr>
                <w:sz w:val="17"/>
                <w:szCs w:val="17"/>
                <w:color w:val="auto"/>
              </w:rPr>
            </w:pPr>
          </w:p>
        </w:tc>
        <w:tc>
          <w:tcPr>
            <w:tcW w:w="640" w:type="dxa"/>
            <w:vAlign w:val="bottom"/>
            <w:tcBorders>
              <w:right w:val="single" w:sz="8" w:color="auto"/>
            </w:tcBorders>
          </w:tcPr>
          <w:p>
            <w:pPr>
              <w:jc w:val="center"/>
              <w:ind w:right="144"/>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65"/>
              <w:spacing w:after="0"/>
              <w:rPr>
                <w:sz w:val="20"/>
                <w:szCs w:val="20"/>
                <w:color w:val="auto"/>
              </w:rPr>
            </w:pPr>
            <w:r>
              <w:rPr>
                <w:rFonts w:ascii="Arial" w:cs="Arial" w:eastAsia="Arial" w:hAnsi="Arial"/>
                <w:sz w:val="16"/>
                <w:szCs w:val="16"/>
                <w:color w:val="auto"/>
                <w:w w:val="99"/>
              </w:rPr>
              <w:t>—</w:t>
            </w:r>
          </w:p>
        </w:tc>
        <w:tc>
          <w:tcPr>
            <w:tcW w:w="1100" w:type="dxa"/>
            <w:vAlign w:val="bottom"/>
            <w:tcBorders>
              <w:right w:val="single" w:sz="8" w:color="auto"/>
            </w:tcBorders>
          </w:tcPr>
          <w:p>
            <w:pPr>
              <w:jc w:val="center"/>
              <w:ind w:left="185"/>
              <w:spacing w:after="0"/>
              <w:rPr>
                <w:sz w:val="20"/>
                <w:szCs w:val="20"/>
                <w:color w:val="auto"/>
              </w:rPr>
            </w:pPr>
            <w:r>
              <w:rPr>
                <w:rFonts w:ascii="Arial" w:cs="Arial" w:eastAsia="Arial" w:hAnsi="Arial"/>
                <w:sz w:val="16"/>
                <w:szCs w:val="16"/>
                <w:color w:val="auto"/>
                <w:w w:val="9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$2,522,195</w:t>
            </w:r>
          </w:p>
        </w:tc>
      </w:tr>
      <w:tr>
        <w:trPr>
          <w:trHeight w:val="288"/>
        </w:trPr>
        <w:tc>
          <w:tcPr>
            <w:tcW w:w="2600" w:type="dxa"/>
            <w:vAlign w:val="bottom"/>
            <w:tcBorders>
              <w:bottom w:val="single" w:sz="8" w:color="F7AB6C"/>
              <w:right w:val="single" w:sz="8" w:color="auto"/>
            </w:tcBorders>
            <w:shd w:val="clear" w:color="auto" w:fill="F7AB6C"/>
          </w:tcPr>
          <w:p>
            <w:pPr>
              <w:ind w:left="280"/>
              <w:spacing w:after="0"/>
              <w:rPr>
                <w:sz w:val="20"/>
                <w:szCs w:val="20"/>
                <w:color w:val="auto"/>
              </w:rPr>
            </w:pPr>
            <w:r>
              <w:rPr>
                <w:rFonts w:ascii="Arial" w:cs="Arial" w:eastAsia="Arial" w:hAnsi="Arial"/>
                <w:sz w:val="16"/>
                <w:szCs w:val="16"/>
                <w:color w:val="auto"/>
                <w:w w:val="98"/>
              </w:rPr>
              <w:t>2025 Cash Incentive Plan Award</w:t>
            </w:r>
          </w:p>
        </w:tc>
        <w:tc>
          <w:tcPr>
            <w:tcW w:w="1540" w:type="dxa"/>
            <w:vAlign w:val="bottom"/>
            <w:tcBorders>
              <w:right w:val="single" w:sz="8" w:color="auto"/>
            </w:tcBorders>
          </w:tcPr>
          <w:p>
            <w:pPr>
              <w:jc w:val="center"/>
              <w:ind w:left="147"/>
              <w:spacing w:after="0"/>
              <w:rPr>
                <w:sz w:val="20"/>
                <w:szCs w:val="20"/>
                <w:color w:val="auto"/>
              </w:rPr>
            </w:pPr>
            <w:r>
              <w:rPr>
                <w:rFonts w:ascii="Arial" w:cs="Arial" w:eastAsia="Arial" w:hAnsi="Arial"/>
                <w:sz w:val="16"/>
                <w:szCs w:val="16"/>
                <w:color w:val="auto"/>
                <w:w w:val="99"/>
              </w:rPr>
              <w:t>—</w:t>
            </w:r>
          </w:p>
        </w:tc>
        <w:tc>
          <w:tcPr>
            <w:tcW w:w="1100" w:type="dxa"/>
            <w:vAlign w:val="bottom"/>
            <w:tcBorders>
              <w:right w:val="single" w:sz="8" w:color="auto"/>
            </w:tcBorders>
            <w:gridSpan w:val="2"/>
          </w:tcPr>
          <w:p>
            <w:pPr>
              <w:jc w:val="center"/>
              <w:ind w:left="107"/>
              <w:spacing w:after="0"/>
              <w:rPr>
                <w:sz w:val="20"/>
                <w:szCs w:val="20"/>
                <w:color w:val="auto"/>
              </w:rPr>
            </w:pPr>
            <w:r>
              <w:rPr>
                <w:rFonts w:ascii="Arial" w:cs="Arial" w:eastAsia="Arial" w:hAnsi="Arial"/>
                <w:sz w:val="16"/>
                <w:szCs w:val="16"/>
                <w:color w:val="auto"/>
                <w:w w:val="94"/>
              </w:rPr>
              <w:t>    $662,591</w:t>
            </w:r>
          </w:p>
        </w:tc>
        <w:tc>
          <w:tcPr>
            <w:tcW w:w="160" w:type="dxa"/>
            <w:vAlign w:val="bottom"/>
          </w:tcPr>
          <w:p>
            <w:pPr>
              <w:spacing w:after="0"/>
              <w:rPr>
                <w:sz w:val="24"/>
                <w:szCs w:val="24"/>
                <w:color w:val="auto"/>
              </w:rPr>
            </w:pPr>
          </w:p>
        </w:tc>
        <w:tc>
          <w:tcPr>
            <w:tcW w:w="1320" w:type="dxa"/>
            <w:vAlign w:val="bottom"/>
            <w:tcBorders>
              <w:right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65"/>
              <w:spacing w:after="0"/>
              <w:rPr>
                <w:sz w:val="20"/>
                <w:szCs w:val="20"/>
                <w:color w:val="auto"/>
              </w:rPr>
            </w:pPr>
            <w:r>
              <w:rPr>
                <w:rFonts w:ascii="Arial" w:cs="Arial" w:eastAsia="Arial" w:hAnsi="Arial"/>
                <w:sz w:val="16"/>
                <w:szCs w:val="16"/>
                <w:color w:val="auto"/>
                <w:w w:val="95"/>
              </w:rPr>
              <w:t>$662,591</w:t>
            </w:r>
          </w:p>
        </w:tc>
        <w:tc>
          <w:tcPr>
            <w:tcW w:w="1100" w:type="dxa"/>
            <w:vAlign w:val="bottom"/>
            <w:tcBorders>
              <w:right w:val="single" w:sz="8" w:color="auto"/>
            </w:tcBorders>
          </w:tcPr>
          <w:p>
            <w:pPr>
              <w:jc w:val="center"/>
              <w:ind w:left="185"/>
              <w:spacing w:after="0"/>
              <w:rPr>
                <w:sz w:val="20"/>
                <w:szCs w:val="20"/>
                <w:color w:val="auto"/>
              </w:rPr>
            </w:pPr>
            <w:r>
              <w:rPr>
                <w:rFonts w:ascii="Arial" w:cs="Arial" w:eastAsia="Arial" w:hAnsi="Arial"/>
                <w:sz w:val="16"/>
                <w:szCs w:val="16"/>
                <w:color w:val="auto"/>
                <w:w w:val="99"/>
              </w:rPr>
              <w:t>—</w:t>
            </w:r>
          </w:p>
        </w:tc>
        <w:tc>
          <w:tcPr>
            <w:tcW w:w="1080" w:type="dxa"/>
            <w:vAlign w:val="bottom"/>
          </w:tcPr>
          <w:p>
            <w:pPr>
              <w:jc w:val="right"/>
              <w:ind w:right="245"/>
              <w:spacing w:after="0"/>
              <w:rPr>
                <w:sz w:val="20"/>
                <w:szCs w:val="20"/>
                <w:color w:val="auto"/>
              </w:rPr>
            </w:pPr>
            <w:r>
              <w:rPr>
                <w:rFonts w:ascii="Arial" w:cs="Arial" w:eastAsia="Arial" w:hAnsi="Arial"/>
                <w:sz w:val="16"/>
                <w:szCs w:val="16"/>
                <w:color w:val="auto"/>
              </w:rPr>
              <w:t>—</w:t>
            </w:r>
          </w:p>
        </w:tc>
      </w:tr>
      <w:tr>
        <w:trPr>
          <w:trHeight w:val="163"/>
        </w:trPr>
        <w:tc>
          <w:tcPr>
            <w:tcW w:w="2600" w:type="dxa"/>
            <w:vAlign w:val="bottom"/>
            <w:tcBorders>
              <w:top w:val="single" w:sz="8" w:color="auto"/>
              <w:right w:val="single" w:sz="8" w:color="auto"/>
            </w:tcBorders>
            <w:shd w:val="clear" w:color="auto" w:fill="F7AB6C"/>
          </w:tcPr>
          <w:p>
            <w:pPr>
              <w:spacing w:after="0" w:line="163" w:lineRule="exact"/>
              <w:rPr>
                <w:sz w:val="20"/>
                <w:szCs w:val="20"/>
                <w:color w:val="auto"/>
              </w:rPr>
            </w:pPr>
            <w:r>
              <w:rPr>
                <w:rFonts w:ascii="Arial" w:cs="Arial" w:eastAsia="Arial" w:hAnsi="Arial"/>
                <w:sz w:val="16"/>
                <w:szCs w:val="16"/>
                <w:b w:val="1"/>
                <w:bCs w:val="1"/>
                <w:color w:val="auto"/>
              </w:rPr>
              <w:t>  Benefits:</w:t>
            </w:r>
          </w:p>
        </w:tc>
        <w:tc>
          <w:tcPr>
            <w:tcW w:w="1540" w:type="dxa"/>
            <w:vAlign w:val="bottom"/>
            <w:tcBorders>
              <w:top w:val="single" w:sz="8" w:color="auto"/>
              <w:right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4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right w:val="single" w:sz="8" w:color="auto"/>
            </w:tcBorders>
          </w:tcPr>
          <w:p>
            <w:pPr>
              <w:spacing w:after="0"/>
              <w:rPr>
                <w:sz w:val="14"/>
                <w:szCs w:val="14"/>
                <w:color w:val="auto"/>
              </w:rPr>
            </w:pPr>
          </w:p>
        </w:tc>
        <w:tc>
          <w:tcPr>
            <w:tcW w:w="1080" w:type="dxa"/>
            <w:vAlign w:val="bottom"/>
            <w:tcBorders>
              <w:top w:val="single" w:sz="8" w:color="auto"/>
              <w:right w:val="single" w:sz="8" w:color="auto"/>
            </w:tcBorders>
          </w:tcPr>
          <w:p>
            <w:pPr>
              <w:spacing w:after="0"/>
              <w:rPr>
                <w:sz w:val="14"/>
                <w:szCs w:val="14"/>
                <w:color w:val="auto"/>
              </w:rPr>
            </w:pPr>
          </w:p>
        </w:tc>
        <w:tc>
          <w:tcPr>
            <w:tcW w:w="1100" w:type="dxa"/>
            <w:vAlign w:val="bottom"/>
            <w:tcBorders>
              <w:top w:val="single" w:sz="8" w:color="auto"/>
              <w:right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247"/>
        </w:trPr>
        <w:tc>
          <w:tcPr>
            <w:tcW w:w="2600" w:type="dxa"/>
            <w:vAlign w:val="bottom"/>
            <w:tcBorders>
              <w:right w:val="single" w:sz="8" w:color="auto"/>
            </w:tcBorders>
            <w:shd w:val="clear" w:color="auto" w:fill="F7AB6C"/>
          </w:tcPr>
          <w:p>
            <w:pPr>
              <w:ind w:left="280"/>
              <w:spacing w:after="0" w:line="247" w:lineRule="exact"/>
              <w:rPr>
                <w:sz w:val="20"/>
                <w:szCs w:val="20"/>
                <w:color w:val="auto"/>
              </w:rPr>
            </w:pPr>
            <w:r>
              <w:rPr>
                <w:rFonts w:ascii="Arial" w:cs="Arial" w:eastAsia="Arial" w:hAnsi="Arial"/>
                <w:sz w:val="16"/>
                <w:szCs w:val="16"/>
                <w:color w:val="auto"/>
              </w:rPr>
              <w:t xml:space="preserve">Additional Pension Benefit </w:t>
            </w:r>
            <w:r>
              <w:rPr>
                <w:rFonts w:ascii="Arial" w:cs="Arial" w:eastAsia="Arial" w:hAnsi="Arial"/>
                <w:sz w:val="23"/>
                <w:szCs w:val="23"/>
                <w:i w:val="1"/>
                <w:iCs w:val="1"/>
                <w:color w:val="auto"/>
                <w:vertAlign w:val="superscript"/>
              </w:rPr>
              <w:t>(7)</w:t>
            </w:r>
          </w:p>
        </w:tc>
        <w:tc>
          <w:tcPr>
            <w:tcW w:w="1540" w:type="dxa"/>
            <w:vAlign w:val="bottom"/>
            <w:tcBorders>
              <w:right w:val="single" w:sz="8" w:color="auto"/>
            </w:tcBorders>
          </w:tcPr>
          <w:p>
            <w:pPr>
              <w:jc w:val="center"/>
              <w:ind w:left="147"/>
              <w:spacing w:after="0"/>
              <w:rPr>
                <w:sz w:val="20"/>
                <w:szCs w:val="20"/>
                <w:color w:val="auto"/>
              </w:rPr>
            </w:pPr>
            <w:r>
              <w:rPr>
                <w:rFonts w:ascii="Arial" w:cs="Arial" w:eastAsia="Arial" w:hAnsi="Arial"/>
                <w:sz w:val="16"/>
                <w:szCs w:val="16"/>
                <w:color w:val="auto"/>
                <w:w w:val="99"/>
              </w:rPr>
              <w:t>—</w:t>
            </w:r>
          </w:p>
        </w:tc>
        <w:tc>
          <w:tcPr>
            <w:tcW w:w="460" w:type="dxa"/>
            <w:vAlign w:val="bottom"/>
          </w:tcPr>
          <w:p>
            <w:pPr>
              <w:spacing w:after="0"/>
              <w:rPr>
                <w:sz w:val="21"/>
                <w:szCs w:val="21"/>
                <w:color w:val="auto"/>
              </w:rPr>
            </w:pPr>
          </w:p>
        </w:tc>
        <w:tc>
          <w:tcPr>
            <w:tcW w:w="640" w:type="dxa"/>
            <w:vAlign w:val="bottom"/>
            <w:tcBorders>
              <w:right w:val="single" w:sz="8" w:color="auto"/>
            </w:tcBorders>
          </w:tcPr>
          <w:p>
            <w:pPr>
              <w:jc w:val="center"/>
              <w:ind w:right="144"/>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21"/>
                <w:szCs w:val="21"/>
                <w:color w:val="auto"/>
              </w:rPr>
            </w:pPr>
          </w:p>
        </w:tc>
        <w:tc>
          <w:tcPr>
            <w:tcW w:w="1320" w:type="dxa"/>
            <w:vAlign w:val="bottom"/>
            <w:tcBorders>
              <w:right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65"/>
              <w:spacing w:after="0"/>
              <w:rPr>
                <w:sz w:val="20"/>
                <w:szCs w:val="20"/>
                <w:color w:val="auto"/>
              </w:rPr>
            </w:pPr>
            <w:r>
              <w:rPr>
                <w:rFonts w:ascii="Arial" w:cs="Arial" w:eastAsia="Arial" w:hAnsi="Arial"/>
                <w:sz w:val="16"/>
                <w:szCs w:val="16"/>
                <w:color w:val="auto"/>
                <w:w w:val="99"/>
              </w:rPr>
              <w:t>—</w:t>
            </w:r>
          </w:p>
        </w:tc>
        <w:tc>
          <w:tcPr>
            <w:tcW w:w="1100" w:type="dxa"/>
            <w:vAlign w:val="bottom"/>
            <w:tcBorders>
              <w:right w:val="single" w:sz="8" w:color="auto"/>
            </w:tcBorders>
          </w:tcPr>
          <w:p>
            <w:pPr>
              <w:jc w:val="center"/>
              <w:ind w:left="185"/>
              <w:spacing w:after="0"/>
              <w:rPr>
                <w:sz w:val="20"/>
                <w:szCs w:val="20"/>
                <w:color w:val="auto"/>
              </w:rPr>
            </w:pPr>
            <w:r>
              <w:rPr>
                <w:rFonts w:ascii="Arial" w:cs="Arial" w:eastAsia="Arial" w:hAnsi="Arial"/>
                <w:sz w:val="16"/>
                <w:szCs w:val="16"/>
                <w:color w:val="auto"/>
                <w:w w:val="9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    $636,571</w:t>
            </w:r>
          </w:p>
        </w:tc>
      </w:tr>
      <w:tr>
        <w:trPr>
          <w:trHeight w:val="205"/>
        </w:trPr>
        <w:tc>
          <w:tcPr>
            <w:tcW w:w="2600" w:type="dxa"/>
            <w:vAlign w:val="bottom"/>
            <w:tcBorders>
              <w:right w:val="single" w:sz="8" w:color="auto"/>
            </w:tcBorders>
            <w:shd w:val="clear" w:color="auto" w:fill="F7AB6C"/>
          </w:tcPr>
          <w:p>
            <w:pPr>
              <w:ind w:left="280"/>
              <w:spacing w:after="0"/>
              <w:rPr>
                <w:sz w:val="20"/>
                <w:szCs w:val="20"/>
                <w:color w:val="auto"/>
              </w:rPr>
            </w:pPr>
            <w:r>
              <w:rPr>
                <w:rFonts w:ascii="Arial" w:cs="Arial" w:eastAsia="Arial" w:hAnsi="Arial"/>
                <w:sz w:val="16"/>
                <w:szCs w:val="16"/>
                <w:color w:val="auto"/>
              </w:rPr>
              <w:t>Additional 401(k) Match</w:t>
            </w:r>
          </w:p>
        </w:tc>
        <w:tc>
          <w:tcPr>
            <w:tcW w:w="1540" w:type="dxa"/>
            <w:vAlign w:val="bottom"/>
            <w:tcBorders>
              <w:right w:val="single" w:sz="8" w:color="auto"/>
            </w:tcBorders>
          </w:tcPr>
          <w:p>
            <w:pPr>
              <w:jc w:val="center"/>
              <w:ind w:left="147"/>
              <w:spacing w:after="0"/>
              <w:rPr>
                <w:sz w:val="20"/>
                <w:szCs w:val="20"/>
                <w:color w:val="auto"/>
              </w:rPr>
            </w:pPr>
            <w:r>
              <w:rPr>
                <w:rFonts w:ascii="Arial" w:cs="Arial" w:eastAsia="Arial" w:hAnsi="Arial"/>
                <w:sz w:val="16"/>
                <w:szCs w:val="16"/>
                <w:color w:val="auto"/>
                <w:w w:val="99"/>
              </w:rPr>
              <w:t>—</w:t>
            </w:r>
          </w:p>
        </w:tc>
        <w:tc>
          <w:tcPr>
            <w:tcW w:w="460" w:type="dxa"/>
            <w:vAlign w:val="bottom"/>
          </w:tcPr>
          <w:p>
            <w:pPr>
              <w:spacing w:after="0"/>
              <w:rPr>
                <w:sz w:val="17"/>
                <w:szCs w:val="17"/>
                <w:color w:val="auto"/>
              </w:rPr>
            </w:pPr>
          </w:p>
        </w:tc>
        <w:tc>
          <w:tcPr>
            <w:tcW w:w="640" w:type="dxa"/>
            <w:vAlign w:val="bottom"/>
            <w:tcBorders>
              <w:right w:val="single" w:sz="8" w:color="auto"/>
            </w:tcBorders>
          </w:tcPr>
          <w:p>
            <w:pPr>
              <w:jc w:val="center"/>
              <w:ind w:right="144"/>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65"/>
              <w:spacing w:after="0"/>
              <w:rPr>
                <w:sz w:val="20"/>
                <w:szCs w:val="20"/>
                <w:color w:val="auto"/>
              </w:rPr>
            </w:pPr>
            <w:r>
              <w:rPr>
                <w:rFonts w:ascii="Arial" w:cs="Arial" w:eastAsia="Arial" w:hAnsi="Arial"/>
                <w:sz w:val="16"/>
                <w:szCs w:val="16"/>
                <w:color w:val="auto"/>
                <w:w w:val="99"/>
              </w:rPr>
              <w:t>—</w:t>
            </w:r>
          </w:p>
        </w:tc>
        <w:tc>
          <w:tcPr>
            <w:tcW w:w="1100" w:type="dxa"/>
            <w:vAlign w:val="bottom"/>
            <w:tcBorders>
              <w:right w:val="single" w:sz="8" w:color="auto"/>
            </w:tcBorders>
          </w:tcPr>
          <w:p>
            <w:pPr>
              <w:jc w:val="center"/>
              <w:ind w:left="185"/>
              <w:spacing w:after="0"/>
              <w:rPr>
                <w:sz w:val="20"/>
                <w:szCs w:val="20"/>
                <w:color w:val="auto"/>
              </w:rPr>
            </w:pPr>
            <w:r>
              <w:rPr>
                <w:rFonts w:ascii="Arial" w:cs="Arial" w:eastAsia="Arial" w:hAnsi="Arial"/>
                <w:sz w:val="16"/>
                <w:szCs w:val="16"/>
                <w:color w:val="auto"/>
                <w:w w:val="9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      $20,484</w:t>
            </w:r>
          </w:p>
        </w:tc>
      </w:tr>
      <w:tr>
        <w:trPr>
          <w:trHeight w:val="289"/>
        </w:trPr>
        <w:tc>
          <w:tcPr>
            <w:tcW w:w="2600" w:type="dxa"/>
            <w:vAlign w:val="bottom"/>
            <w:tcBorders>
              <w:right w:val="single" w:sz="8" w:color="auto"/>
            </w:tcBorders>
            <w:shd w:val="clear" w:color="auto" w:fill="F7AB6C"/>
          </w:tcPr>
          <w:p>
            <w:pPr>
              <w:ind w:left="280"/>
              <w:spacing w:after="0"/>
              <w:rPr>
                <w:sz w:val="20"/>
                <w:szCs w:val="20"/>
                <w:color w:val="auto"/>
              </w:rPr>
            </w:pPr>
            <w:r>
              <w:rPr>
                <w:rFonts w:ascii="Arial" w:cs="Arial" w:eastAsia="Arial" w:hAnsi="Arial"/>
                <w:sz w:val="16"/>
                <w:szCs w:val="16"/>
                <w:color w:val="auto"/>
              </w:rPr>
              <w:t xml:space="preserve">Insurance Continuation </w:t>
            </w:r>
            <w:r>
              <w:rPr>
                <w:rFonts w:ascii="Arial" w:cs="Arial" w:eastAsia="Arial" w:hAnsi="Arial"/>
                <w:sz w:val="23"/>
                <w:szCs w:val="23"/>
                <w:i w:val="1"/>
                <w:iCs w:val="1"/>
                <w:color w:val="auto"/>
                <w:vertAlign w:val="superscript"/>
              </w:rPr>
              <w:t>(8)</w:t>
            </w:r>
          </w:p>
        </w:tc>
        <w:tc>
          <w:tcPr>
            <w:tcW w:w="1540" w:type="dxa"/>
            <w:vAlign w:val="bottom"/>
            <w:tcBorders>
              <w:right w:val="single" w:sz="8" w:color="auto"/>
            </w:tcBorders>
          </w:tcPr>
          <w:p>
            <w:pPr>
              <w:jc w:val="center"/>
              <w:ind w:left="87"/>
              <w:spacing w:after="0"/>
              <w:rPr>
                <w:sz w:val="20"/>
                <w:szCs w:val="20"/>
                <w:color w:val="auto"/>
              </w:rPr>
            </w:pPr>
            <w:r>
              <w:rPr>
                <w:rFonts w:ascii="Arial" w:cs="Arial" w:eastAsia="Arial" w:hAnsi="Arial"/>
                <w:sz w:val="16"/>
                <w:szCs w:val="16"/>
                <w:color w:val="auto"/>
                <w:w w:val="92"/>
              </w:rPr>
              <w:t>      $42,330</w:t>
            </w:r>
          </w:p>
        </w:tc>
        <w:tc>
          <w:tcPr>
            <w:tcW w:w="460" w:type="dxa"/>
            <w:vAlign w:val="bottom"/>
          </w:tcPr>
          <w:p>
            <w:pPr>
              <w:spacing w:after="0"/>
              <w:rPr>
                <w:sz w:val="24"/>
                <w:szCs w:val="24"/>
                <w:color w:val="auto"/>
              </w:rPr>
            </w:pPr>
          </w:p>
        </w:tc>
        <w:tc>
          <w:tcPr>
            <w:tcW w:w="640" w:type="dxa"/>
            <w:vAlign w:val="bottom"/>
            <w:tcBorders>
              <w:right w:val="single" w:sz="8" w:color="auto"/>
            </w:tcBorders>
          </w:tcPr>
          <w:p>
            <w:pPr>
              <w:jc w:val="center"/>
              <w:ind w:right="144"/>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24"/>
                <w:szCs w:val="24"/>
                <w:color w:val="auto"/>
              </w:rPr>
            </w:pPr>
          </w:p>
        </w:tc>
        <w:tc>
          <w:tcPr>
            <w:tcW w:w="1320" w:type="dxa"/>
            <w:vAlign w:val="bottom"/>
            <w:tcBorders>
              <w:right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65"/>
              <w:spacing w:after="0"/>
              <w:rPr>
                <w:sz w:val="20"/>
                <w:szCs w:val="20"/>
                <w:color w:val="auto"/>
              </w:rPr>
            </w:pPr>
            <w:r>
              <w:rPr>
                <w:rFonts w:ascii="Arial" w:cs="Arial" w:eastAsia="Arial" w:hAnsi="Arial"/>
                <w:sz w:val="16"/>
                <w:szCs w:val="16"/>
                <w:color w:val="auto"/>
                <w:w w:val="99"/>
              </w:rPr>
              <w:t>—</w:t>
            </w:r>
          </w:p>
        </w:tc>
        <w:tc>
          <w:tcPr>
            <w:tcW w:w="1100" w:type="dxa"/>
            <w:vAlign w:val="bottom"/>
            <w:tcBorders>
              <w:right w:val="single" w:sz="8" w:color="auto"/>
            </w:tcBorders>
          </w:tcPr>
          <w:p>
            <w:pPr>
              <w:jc w:val="center"/>
              <w:ind w:left="185"/>
              <w:spacing w:after="0"/>
              <w:rPr>
                <w:sz w:val="20"/>
                <w:szCs w:val="20"/>
                <w:color w:val="auto"/>
              </w:rPr>
            </w:pPr>
            <w:r>
              <w:rPr>
                <w:rFonts w:ascii="Arial" w:cs="Arial" w:eastAsia="Arial" w:hAnsi="Arial"/>
                <w:sz w:val="16"/>
                <w:szCs w:val="16"/>
                <w:color w:val="auto"/>
                <w:w w:val="9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      $65,481</w:t>
            </w:r>
          </w:p>
        </w:tc>
      </w:tr>
      <w:tr>
        <w:trPr>
          <w:trHeight w:val="182"/>
        </w:trPr>
        <w:tc>
          <w:tcPr>
            <w:tcW w:w="2600" w:type="dxa"/>
            <w:vAlign w:val="bottom"/>
            <w:tcBorders>
              <w:right w:val="single" w:sz="8" w:color="auto"/>
            </w:tcBorders>
            <w:shd w:val="clear" w:color="auto" w:fill="F7AB6C"/>
          </w:tcPr>
          <w:p>
            <w:pPr>
              <w:ind w:left="280"/>
              <w:spacing w:after="0" w:line="182" w:lineRule="exact"/>
              <w:rPr>
                <w:sz w:val="20"/>
                <w:szCs w:val="20"/>
                <w:color w:val="auto"/>
              </w:rPr>
            </w:pPr>
            <w:r>
              <w:rPr>
                <w:rFonts w:ascii="Arial" w:cs="Arial" w:eastAsia="Arial" w:hAnsi="Arial"/>
                <w:sz w:val="16"/>
                <w:szCs w:val="16"/>
                <w:color w:val="auto"/>
                <w:w w:val="99"/>
              </w:rPr>
              <w:t>Accelerated Vesting - Restricted</w:t>
            </w:r>
          </w:p>
        </w:tc>
        <w:tc>
          <w:tcPr>
            <w:tcW w:w="15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080" w:type="dxa"/>
            <w:vAlign w:val="bottom"/>
          </w:tcPr>
          <w:p>
            <w:pPr>
              <w:spacing w:after="0"/>
              <w:rPr>
                <w:sz w:val="15"/>
                <w:szCs w:val="15"/>
                <w:color w:val="auto"/>
              </w:rPr>
            </w:pPr>
          </w:p>
        </w:tc>
      </w:tr>
      <w:tr>
        <w:trPr>
          <w:trHeight w:val="246"/>
        </w:trPr>
        <w:tc>
          <w:tcPr>
            <w:tcW w:w="2600" w:type="dxa"/>
            <w:vAlign w:val="bottom"/>
            <w:tcBorders>
              <w:bottom w:val="single" w:sz="8" w:color="auto"/>
              <w:right w:val="single" w:sz="8" w:color="auto"/>
            </w:tcBorders>
            <w:shd w:val="clear" w:color="auto" w:fill="F7AB6C"/>
          </w:tcPr>
          <w:p>
            <w:pPr>
              <w:ind w:left="280"/>
              <w:spacing w:after="0" w:line="246" w:lineRule="exact"/>
              <w:rPr>
                <w:sz w:val="20"/>
                <w:szCs w:val="20"/>
                <w:color w:val="auto"/>
              </w:rPr>
            </w:pPr>
            <w:r>
              <w:rPr>
                <w:rFonts w:ascii="Arial" w:cs="Arial" w:eastAsia="Arial" w:hAnsi="Arial"/>
                <w:sz w:val="16"/>
                <w:szCs w:val="16"/>
                <w:color w:val="auto"/>
              </w:rPr>
              <w:t xml:space="preserve">Stock </w:t>
            </w:r>
            <w:r>
              <w:rPr>
                <w:rFonts w:ascii="Arial" w:cs="Arial" w:eastAsia="Arial" w:hAnsi="Arial"/>
                <w:sz w:val="23"/>
                <w:szCs w:val="23"/>
                <w:i w:val="1"/>
                <w:iCs w:val="1"/>
                <w:color w:val="auto"/>
                <w:vertAlign w:val="superscript"/>
              </w:rPr>
              <w:t>(9)</w:t>
            </w:r>
          </w:p>
        </w:tc>
        <w:tc>
          <w:tcPr>
            <w:tcW w:w="1540" w:type="dxa"/>
            <w:vAlign w:val="bottom"/>
            <w:tcBorders>
              <w:bottom w:val="single" w:sz="8" w:color="auto"/>
              <w:right w:val="single" w:sz="8" w:color="auto"/>
            </w:tcBorders>
          </w:tcPr>
          <w:p>
            <w:pPr>
              <w:jc w:val="center"/>
              <w:ind w:left="147"/>
              <w:spacing w:after="0"/>
              <w:rPr>
                <w:sz w:val="20"/>
                <w:szCs w:val="20"/>
                <w:color w:val="auto"/>
              </w:rPr>
            </w:pPr>
            <w:r>
              <w:rPr>
                <w:rFonts w:ascii="Arial" w:cs="Arial" w:eastAsia="Arial" w:hAnsi="Arial"/>
                <w:sz w:val="16"/>
                <w:szCs w:val="16"/>
                <w:color w:val="auto"/>
                <w:w w:val="99"/>
              </w:rPr>
              <w:t>—</w:t>
            </w:r>
          </w:p>
        </w:tc>
        <w:tc>
          <w:tcPr>
            <w:tcW w:w="1100" w:type="dxa"/>
            <w:vAlign w:val="bottom"/>
            <w:tcBorders>
              <w:bottom w:val="single" w:sz="8" w:color="auto"/>
              <w:right w:val="single" w:sz="8" w:color="auto"/>
            </w:tcBorders>
            <w:gridSpan w:val="2"/>
          </w:tcPr>
          <w:p>
            <w:pPr>
              <w:jc w:val="center"/>
              <w:ind w:left="167"/>
              <w:spacing w:after="0"/>
              <w:rPr>
                <w:sz w:val="20"/>
                <w:szCs w:val="20"/>
                <w:color w:val="auto"/>
              </w:rPr>
            </w:pPr>
            <w:r>
              <w:rPr>
                <w:rFonts w:ascii="Arial" w:cs="Arial" w:eastAsia="Arial" w:hAnsi="Arial"/>
                <w:sz w:val="16"/>
                <w:szCs w:val="16"/>
                <w:color w:val="auto"/>
                <w:w w:val="97"/>
              </w:rPr>
              <w:t>$1,952,568</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auto"/>
            </w:tcBorders>
          </w:tcPr>
          <w:p>
            <w:pPr>
              <w:jc w:val="center"/>
              <w:ind w:left="185"/>
              <w:spacing w:after="0"/>
              <w:rPr>
                <w:sz w:val="20"/>
                <w:szCs w:val="20"/>
                <w:color w:val="auto"/>
              </w:rPr>
            </w:pPr>
            <w:r>
              <w:rPr>
                <w:rFonts w:ascii="Arial" w:cs="Arial" w:eastAsia="Arial" w:hAnsi="Arial"/>
                <w:sz w:val="16"/>
                <w:szCs w:val="16"/>
                <w:color w:val="auto"/>
                <w:w w:val="97"/>
              </w:rPr>
              <w:t>$1,952,568</w:t>
            </w:r>
          </w:p>
        </w:tc>
        <w:tc>
          <w:tcPr>
            <w:tcW w:w="1100" w:type="dxa"/>
            <w:vAlign w:val="bottom"/>
            <w:tcBorders>
              <w:bottom w:val="single" w:sz="8" w:color="auto"/>
              <w:right w:val="single" w:sz="8" w:color="auto"/>
            </w:tcBorders>
          </w:tcPr>
          <w:p>
            <w:pPr>
              <w:jc w:val="center"/>
              <w:ind w:left="165"/>
              <w:spacing w:after="0"/>
              <w:rPr>
                <w:sz w:val="20"/>
                <w:szCs w:val="20"/>
                <w:color w:val="auto"/>
              </w:rPr>
            </w:pPr>
            <w:r>
              <w:rPr>
                <w:rFonts w:ascii="Arial" w:cs="Arial" w:eastAsia="Arial" w:hAnsi="Arial"/>
                <w:sz w:val="16"/>
                <w:szCs w:val="16"/>
                <w:color w:val="auto"/>
                <w:w w:val="97"/>
              </w:rPr>
              <w:t>$1,952,568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$1,952,568</w:t>
            </w:r>
          </w:p>
        </w:tc>
      </w:tr>
      <w:tr>
        <w:trPr>
          <w:trHeight w:val="266"/>
        </w:trPr>
        <w:tc>
          <w:tcPr>
            <w:tcW w:w="2600" w:type="dxa"/>
            <w:vAlign w:val="bottom"/>
            <w:tcBorders>
              <w:bottom w:val="single" w:sz="8" w:color="auto"/>
              <w:right w:val="single" w:sz="8" w:color="auto"/>
            </w:tcBorders>
            <w:shd w:val="clear" w:color="auto" w:fill="F7AB6C"/>
          </w:tcPr>
          <w:p>
            <w:pPr>
              <w:spacing w:after="0"/>
              <w:rPr>
                <w:sz w:val="20"/>
                <w:szCs w:val="20"/>
                <w:color w:val="auto"/>
              </w:rPr>
            </w:pPr>
            <w:r>
              <w:rPr>
                <w:rFonts w:ascii="Arial" w:cs="Arial" w:eastAsia="Arial" w:hAnsi="Arial"/>
                <w:sz w:val="16"/>
                <w:szCs w:val="16"/>
                <w:b w:val="1"/>
                <w:bCs w:val="1"/>
                <w:color w:val="auto"/>
              </w:rPr>
              <w:t>  Total</w:t>
            </w:r>
          </w:p>
        </w:tc>
        <w:tc>
          <w:tcPr>
            <w:tcW w:w="1540" w:type="dxa"/>
            <w:vAlign w:val="bottom"/>
            <w:tcBorders>
              <w:bottom w:val="single" w:sz="8" w:color="auto"/>
              <w:right w:val="single" w:sz="8" w:color="auto"/>
            </w:tcBorders>
          </w:tcPr>
          <w:p>
            <w:pPr>
              <w:jc w:val="center"/>
              <w:ind w:left="167"/>
              <w:spacing w:after="0"/>
              <w:rPr>
                <w:sz w:val="20"/>
                <w:szCs w:val="20"/>
                <w:color w:val="auto"/>
              </w:rPr>
            </w:pPr>
            <w:r>
              <w:rPr>
                <w:rFonts w:ascii="Arial" w:cs="Arial" w:eastAsia="Arial" w:hAnsi="Arial"/>
                <w:sz w:val="16"/>
                <w:szCs w:val="16"/>
                <w:color w:val="auto"/>
                <w:w w:val="97"/>
              </w:rPr>
              <w:t>$2,564,525</w:t>
            </w:r>
          </w:p>
        </w:tc>
        <w:tc>
          <w:tcPr>
            <w:tcW w:w="1100" w:type="dxa"/>
            <w:vAlign w:val="bottom"/>
            <w:tcBorders>
              <w:bottom w:val="single" w:sz="8" w:color="auto"/>
              <w:right w:val="single" w:sz="8" w:color="auto"/>
            </w:tcBorders>
            <w:gridSpan w:val="2"/>
          </w:tcPr>
          <w:p>
            <w:pPr>
              <w:jc w:val="center"/>
              <w:ind w:left="167"/>
              <w:spacing w:after="0"/>
              <w:rPr>
                <w:sz w:val="20"/>
                <w:szCs w:val="20"/>
                <w:color w:val="auto"/>
              </w:rPr>
            </w:pPr>
            <w:r>
              <w:rPr>
                <w:rFonts w:ascii="Arial" w:cs="Arial" w:eastAsia="Arial" w:hAnsi="Arial"/>
                <w:sz w:val="16"/>
                <w:szCs w:val="16"/>
                <w:color w:val="auto"/>
                <w:w w:val="97"/>
              </w:rPr>
              <w:t>$2,615,159</w:t>
            </w: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auto"/>
            </w:tcBorders>
          </w:tcPr>
          <w:p>
            <w:pPr>
              <w:jc w:val="center"/>
              <w:ind w:left="185"/>
              <w:spacing w:after="0"/>
              <w:rPr>
                <w:sz w:val="20"/>
                <w:szCs w:val="20"/>
                <w:color w:val="auto"/>
              </w:rPr>
            </w:pPr>
            <w:r>
              <w:rPr>
                <w:rFonts w:ascii="Arial" w:cs="Arial" w:eastAsia="Arial" w:hAnsi="Arial"/>
                <w:sz w:val="16"/>
                <w:szCs w:val="16"/>
                <w:color w:val="auto"/>
                <w:w w:val="97"/>
              </w:rPr>
              <w:t>$2,615,159</w:t>
            </w:r>
          </w:p>
        </w:tc>
        <w:tc>
          <w:tcPr>
            <w:tcW w:w="1100" w:type="dxa"/>
            <w:vAlign w:val="bottom"/>
            <w:tcBorders>
              <w:bottom w:val="single" w:sz="8" w:color="auto"/>
              <w:right w:val="single" w:sz="8" w:color="auto"/>
            </w:tcBorders>
          </w:tcPr>
          <w:p>
            <w:pPr>
              <w:jc w:val="center"/>
              <w:ind w:left="165"/>
              <w:spacing w:after="0"/>
              <w:rPr>
                <w:sz w:val="20"/>
                <w:szCs w:val="20"/>
                <w:color w:val="auto"/>
              </w:rPr>
            </w:pPr>
            <w:r>
              <w:rPr>
                <w:rFonts w:ascii="Arial" w:cs="Arial" w:eastAsia="Arial" w:hAnsi="Arial"/>
                <w:sz w:val="16"/>
                <w:szCs w:val="16"/>
                <w:color w:val="auto"/>
                <w:w w:val="97"/>
              </w:rPr>
              <w:t>$1,952,568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$5,434,096</w:t>
            </w:r>
          </w:p>
        </w:tc>
      </w:tr>
      <w:tr>
        <w:trPr>
          <w:trHeight w:val="331"/>
        </w:trPr>
        <w:tc>
          <w:tcPr>
            <w:tcW w:w="2600" w:type="dxa"/>
            <w:vAlign w:val="bottom"/>
            <w:tcBorders>
              <w:bottom w:val="single" w:sz="8" w:color="BFCCCC"/>
            </w:tcBorders>
          </w:tcPr>
          <w:p>
            <w:pPr>
              <w:spacing w:after="0"/>
              <w:rPr>
                <w:sz w:val="24"/>
                <w:szCs w:val="24"/>
                <w:color w:val="auto"/>
              </w:rPr>
            </w:pPr>
          </w:p>
        </w:tc>
        <w:tc>
          <w:tcPr>
            <w:tcW w:w="1540" w:type="dxa"/>
            <w:vAlign w:val="bottom"/>
            <w:tcBorders>
              <w:bottom w:val="single" w:sz="8" w:color="BFCCCC"/>
            </w:tcBorders>
          </w:tcPr>
          <w:p>
            <w:pPr>
              <w:spacing w:after="0"/>
              <w:rPr>
                <w:sz w:val="24"/>
                <w:szCs w:val="24"/>
                <w:color w:val="auto"/>
              </w:rPr>
            </w:pPr>
          </w:p>
        </w:tc>
        <w:tc>
          <w:tcPr>
            <w:tcW w:w="460" w:type="dxa"/>
            <w:vAlign w:val="bottom"/>
            <w:tcBorders>
              <w:bottom w:val="single" w:sz="8" w:color="BFCCCC"/>
            </w:tcBorders>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Borders>
              <w:bottom w:val="single" w:sz="8" w:color="BFCCCC"/>
            </w:tcBorders>
          </w:tcPr>
          <w:p>
            <w:pPr>
              <w:spacing w:after="0"/>
              <w:rPr>
                <w:sz w:val="24"/>
                <w:szCs w:val="24"/>
                <w:color w:val="auto"/>
              </w:rPr>
            </w:pPr>
          </w:p>
        </w:tc>
        <w:tc>
          <w:tcPr>
            <w:tcW w:w="1080" w:type="dxa"/>
            <w:vAlign w:val="bottom"/>
            <w:tcBorders>
              <w:bottom w:val="single" w:sz="8" w:color="BFCCCC"/>
            </w:tcBorders>
          </w:tcPr>
          <w:p>
            <w:pPr>
              <w:spacing w:after="0"/>
              <w:rPr>
                <w:sz w:val="24"/>
                <w:szCs w:val="24"/>
                <w:color w:val="auto"/>
              </w:rPr>
            </w:pPr>
          </w:p>
        </w:tc>
        <w:tc>
          <w:tcPr>
            <w:tcW w:w="1100" w:type="dxa"/>
            <w:vAlign w:val="bottom"/>
            <w:tcBorders>
              <w:bottom w:val="single" w:sz="8" w:color="BFCCCC"/>
            </w:tcBorders>
          </w:tcPr>
          <w:p>
            <w:pPr>
              <w:spacing w:after="0"/>
              <w:rPr>
                <w:sz w:val="24"/>
                <w:szCs w:val="24"/>
                <w:color w:val="auto"/>
              </w:rPr>
            </w:pPr>
          </w:p>
        </w:tc>
        <w:tc>
          <w:tcPr>
            <w:tcW w:w="1080" w:type="dxa"/>
            <w:vAlign w:val="bottom"/>
            <w:tcBorders>
              <w:bottom w:val="single" w:sz="8" w:color="BFCCCC"/>
            </w:tcBorders>
          </w:tcPr>
          <w:p>
            <w:pPr>
              <w:spacing w:after="0"/>
              <w:rPr>
                <w:sz w:val="24"/>
                <w:szCs w:val="24"/>
                <w:color w:val="auto"/>
              </w:rPr>
            </w:pPr>
          </w:p>
        </w:tc>
      </w:tr>
      <w:tr>
        <w:trPr>
          <w:trHeight w:val="335"/>
        </w:trPr>
        <w:tc>
          <w:tcPr>
            <w:tcW w:w="2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-903605</wp:posOffset>
            </wp:positionV>
            <wp:extent cx="6337300" cy="127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-1060450</wp:posOffset>
            </wp:positionV>
            <wp:extent cx="6337300" cy="127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-1217295</wp:posOffset>
            </wp:positionV>
            <wp:extent cx="6337300" cy="127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-1645920</wp:posOffset>
            </wp:positionV>
            <wp:extent cx="6337300" cy="127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-2254250</wp:posOffset>
            </wp:positionV>
            <wp:extent cx="8255" cy="156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5349240</wp:posOffset>
            </wp:positionH>
            <wp:positionV relativeFrom="paragraph">
              <wp:posOffset>-2254250</wp:posOffset>
            </wp:positionV>
            <wp:extent cx="8255" cy="156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-2254250</wp:posOffset>
            </wp:positionV>
            <wp:extent cx="8255" cy="156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-2254250</wp:posOffset>
            </wp:positionV>
            <wp:extent cx="8255" cy="156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-2254250</wp:posOffset>
            </wp:positionV>
            <wp:extent cx="8255" cy="156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-2254250</wp:posOffset>
            </wp:positionV>
            <wp:extent cx="8255" cy="156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-282575</wp:posOffset>
            </wp:positionV>
            <wp:extent cx="321945" cy="825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21945" cy="82550"/>
                    </a:xfrm>
                    <a:prstGeom prst="rect">
                      <a:avLst/>
                    </a:prstGeom>
                    <a:noFill/>
                  </pic:spPr>
                </pic:pic>
              </a:graphicData>
            </a:graphic>
          </wp:anchor>
        </w:drawing>
      </w:r>
    </w:p>
    <w:p>
      <w:pPr>
        <w:sectPr>
          <w:pgSz w:w="11900" w:h="16838" w:orient="portrait"/>
          <w:cols w:equalWidth="0" w:num="1">
            <w:col w:w="10620"/>
          </w:cols>
          <w:pgMar w:left="320" w:top="470" w:right="9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23939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337300" cy="239395"/>
                    </a:xfrm>
                    <a:prstGeom prst="rect">
                      <a:avLst/>
                    </a:prstGeom>
                    <a:noFill/>
                  </pic:spPr>
                </pic:pic>
              </a:graphicData>
            </a:graphic>
          </wp:anchor>
        </w:drawing>
      </w:r>
    </w:p>
    <w:p>
      <w:pPr>
        <w:spacing w:after="0" w:line="389"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FFFFFF"/>
        </w:rPr>
        <w:t>ESTIMATED PRESENT VALUE OF BENEFITS</w:t>
      </w:r>
    </w:p>
    <w:p>
      <w:pPr>
        <w:spacing w:after="0" w:line="43" w:lineRule="exact"/>
        <w:rPr>
          <w:sz w:val="20"/>
          <w:szCs w:val="20"/>
          <w:color w:val="auto"/>
        </w:rPr>
      </w:pPr>
    </w:p>
    <w:tbl>
      <w:tblPr>
        <w:tblLayout w:type="fixed"/>
        <w:tblInd w:w="640" w:type="dxa"/>
        <w:tblCellMar>
          <w:top w:w="0" w:type="dxa"/>
          <w:left w:w="0" w:type="dxa"/>
          <w:bottom w:w="0" w:type="dxa"/>
          <w:right w:w="0" w:type="dxa"/>
        </w:tblCellMar>
      </w:tblPr>
      <w:tr>
        <w:trPr>
          <w:trHeight w:val="242"/>
        </w:trPr>
        <w:tc>
          <w:tcPr>
            <w:tcW w:w="160" w:type="dxa"/>
            <w:vAlign w:val="bottom"/>
            <w:tcBorders>
              <w:top w:val="single" w:sz="8" w:color="auto"/>
            </w:tcBorders>
          </w:tcPr>
          <w:p>
            <w:pPr>
              <w:spacing w:after="0"/>
              <w:rPr>
                <w:sz w:val="21"/>
                <w:szCs w:val="21"/>
                <w:color w:val="auto"/>
              </w:rPr>
            </w:pPr>
          </w:p>
        </w:tc>
        <w:tc>
          <w:tcPr>
            <w:tcW w:w="2600" w:type="dxa"/>
            <w:vAlign w:val="bottom"/>
            <w:tcBorders>
              <w:top w:val="single" w:sz="8" w:color="auto"/>
              <w:right w:val="single" w:sz="8" w:color="auto"/>
            </w:tcBorders>
          </w:tcPr>
          <w:p>
            <w:pPr>
              <w:spacing w:after="0"/>
              <w:rPr>
                <w:sz w:val="21"/>
                <w:szCs w:val="21"/>
                <w:color w:val="auto"/>
              </w:rPr>
            </w:pPr>
          </w:p>
        </w:tc>
        <w:tc>
          <w:tcPr>
            <w:tcW w:w="1400" w:type="dxa"/>
            <w:vAlign w:val="bottom"/>
            <w:tcBorders>
              <w:top w:val="single" w:sz="8" w:color="auto"/>
              <w:bottom w:val="single" w:sz="8" w:color="auto"/>
              <w:right w:val="single" w:sz="8" w:color="F7AB6C"/>
            </w:tcBorders>
            <w:shd w:val="clear" w:color="auto" w:fill="F7AB6C"/>
          </w:tcPr>
          <w:p>
            <w:pPr>
              <w:spacing w:after="0"/>
              <w:rPr>
                <w:sz w:val="21"/>
                <w:szCs w:val="21"/>
                <w:color w:val="auto"/>
              </w:rPr>
            </w:pPr>
          </w:p>
        </w:tc>
        <w:tc>
          <w:tcPr>
            <w:tcW w:w="1220" w:type="dxa"/>
            <w:vAlign w:val="bottom"/>
            <w:tcBorders>
              <w:top w:val="single" w:sz="8" w:color="auto"/>
              <w:bottom w:val="single" w:sz="8" w:color="auto"/>
              <w:right w:val="single" w:sz="8" w:color="F7AB6C"/>
            </w:tcBorders>
            <w:gridSpan w:val="2"/>
            <w:shd w:val="clear" w:color="auto" w:fill="F7AB6C"/>
          </w:tcPr>
          <w:p>
            <w:pPr>
              <w:jc w:val="center"/>
              <w:ind w:left="65"/>
              <w:spacing w:after="0"/>
              <w:rPr>
                <w:sz w:val="20"/>
                <w:szCs w:val="20"/>
                <w:color w:val="auto"/>
              </w:rPr>
            </w:pPr>
            <w:r>
              <w:rPr>
                <w:rFonts w:ascii="Arial" w:cs="Arial" w:eastAsia="Arial" w:hAnsi="Arial"/>
                <w:sz w:val="16"/>
                <w:szCs w:val="16"/>
                <w:b w:val="1"/>
                <w:bCs w:val="1"/>
                <w:color w:val="auto"/>
                <w:w w:val="96"/>
              </w:rPr>
              <w:t>Termination</w:t>
            </w:r>
          </w:p>
        </w:tc>
        <w:tc>
          <w:tcPr>
            <w:tcW w:w="20" w:type="dxa"/>
            <w:vAlign w:val="bottom"/>
            <w:tcBorders>
              <w:top w:val="single" w:sz="8" w:color="auto"/>
              <w:bottom w:val="single" w:sz="8" w:color="auto"/>
            </w:tcBorders>
            <w:shd w:val="clear" w:color="auto" w:fill="F7AB6C"/>
          </w:tcPr>
          <w:p>
            <w:pPr>
              <w:spacing w:after="0"/>
              <w:rPr>
                <w:sz w:val="21"/>
                <w:szCs w:val="21"/>
                <w:color w:val="auto"/>
              </w:rPr>
            </w:pPr>
          </w:p>
        </w:tc>
        <w:tc>
          <w:tcPr>
            <w:tcW w:w="1360" w:type="dxa"/>
            <w:vAlign w:val="bottom"/>
            <w:tcBorders>
              <w:top w:val="single" w:sz="8" w:color="auto"/>
              <w:bottom w:val="single" w:sz="8" w:color="auto"/>
              <w:right w:val="single" w:sz="8" w:color="auto"/>
            </w:tcBorders>
            <w:shd w:val="clear" w:color="auto" w:fill="F7AB6C"/>
          </w:tcPr>
          <w:p>
            <w:pPr>
              <w:spacing w:after="0"/>
              <w:rPr>
                <w:sz w:val="21"/>
                <w:szCs w:val="21"/>
                <w:color w:val="auto"/>
              </w:rPr>
            </w:pPr>
          </w:p>
        </w:tc>
        <w:tc>
          <w:tcPr>
            <w:tcW w:w="1080" w:type="dxa"/>
            <w:vAlign w:val="bottom"/>
            <w:tcBorders>
              <w:top w:val="single" w:sz="8" w:color="auto"/>
              <w:bottom w:val="single" w:sz="8" w:color="auto"/>
              <w:right w:val="single" w:sz="8" w:color="auto"/>
            </w:tcBorders>
            <w:shd w:val="clear" w:color="auto" w:fill="F7AB6C"/>
          </w:tcPr>
          <w:p>
            <w:pPr>
              <w:jc w:val="center"/>
              <w:ind w:left="44"/>
              <w:spacing w:after="0"/>
              <w:rPr>
                <w:sz w:val="20"/>
                <w:szCs w:val="20"/>
                <w:color w:val="auto"/>
              </w:rPr>
            </w:pPr>
            <w:r>
              <w:rPr>
                <w:rFonts w:ascii="Arial" w:cs="Arial" w:eastAsia="Arial" w:hAnsi="Arial"/>
                <w:sz w:val="16"/>
                <w:szCs w:val="16"/>
                <w:b w:val="1"/>
                <w:bCs w:val="1"/>
                <w:color w:val="auto"/>
                <w:w w:val="95"/>
              </w:rPr>
              <w:t>Retirement</w:t>
            </w:r>
          </w:p>
        </w:tc>
        <w:tc>
          <w:tcPr>
            <w:tcW w:w="2140" w:type="dxa"/>
            <w:vAlign w:val="bottom"/>
            <w:tcBorders>
              <w:top w:val="single" w:sz="8" w:color="auto"/>
              <w:bottom w:val="single" w:sz="8" w:color="auto"/>
            </w:tcBorders>
            <w:gridSpan w:val="2"/>
            <w:shd w:val="clear" w:color="auto" w:fill="F7AB6C"/>
          </w:tcPr>
          <w:p>
            <w:pPr>
              <w:jc w:val="right"/>
              <w:ind w:right="223"/>
              <w:spacing w:after="0"/>
              <w:rPr>
                <w:sz w:val="20"/>
                <w:szCs w:val="20"/>
                <w:color w:val="auto"/>
              </w:rPr>
            </w:pPr>
            <w:r>
              <w:rPr>
                <w:rFonts w:ascii="Arial" w:cs="Arial" w:eastAsia="Arial" w:hAnsi="Arial"/>
                <w:sz w:val="16"/>
                <w:szCs w:val="16"/>
                <w:b w:val="1"/>
                <w:bCs w:val="1"/>
                <w:color w:val="auto"/>
              </w:rPr>
              <w:t>Change in Control</w:t>
            </w:r>
          </w:p>
        </w:tc>
      </w:tr>
      <w:tr>
        <w:trPr>
          <w:trHeight w:val="140"/>
        </w:trPr>
        <w:tc>
          <w:tcPr>
            <w:tcW w:w="160" w:type="dxa"/>
            <w:vAlign w:val="bottom"/>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center"/>
              <w:ind w:left="105"/>
              <w:spacing w:after="0" w:line="139" w:lineRule="exact"/>
              <w:rPr>
                <w:sz w:val="20"/>
                <w:szCs w:val="20"/>
                <w:color w:val="auto"/>
              </w:rPr>
            </w:pPr>
            <w:r>
              <w:rPr>
                <w:rFonts w:ascii="Arial" w:cs="Arial" w:eastAsia="Arial" w:hAnsi="Arial"/>
                <w:sz w:val="14"/>
                <w:szCs w:val="14"/>
                <w:b w:val="1"/>
                <w:bCs w:val="1"/>
                <w:color w:val="auto"/>
                <w:w w:val="99"/>
              </w:rPr>
              <w:t>By the Company</w:t>
            </w:r>
          </w:p>
        </w:tc>
        <w:tc>
          <w:tcPr>
            <w:tcW w:w="4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right w:val="single" w:sz="8" w:color="auto"/>
            </w:tcBorders>
          </w:tcPr>
          <w:p>
            <w:pPr>
              <w:jc w:val="center"/>
              <w:ind w:left="45"/>
              <w:spacing w:after="0" w:line="139" w:lineRule="exact"/>
              <w:rPr>
                <w:sz w:val="20"/>
                <w:szCs w:val="20"/>
                <w:color w:val="auto"/>
              </w:rPr>
            </w:pPr>
            <w:r>
              <w:rPr>
                <w:rFonts w:ascii="Arial" w:cs="Arial" w:eastAsia="Arial" w:hAnsi="Arial"/>
                <w:sz w:val="14"/>
                <w:szCs w:val="14"/>
                <w:b w:val="1"/>
                <w:bCs w:val="1"/>
                <w:color w:val="auto"/>
                <w:w w:val="98"/>
              </w:rPr>
              <w:t> By the Company</w:t>
            </w:r>
          </w:p>
        </w:tc>
        <w:tc>
          <w:tcPr>
            <w:tcW w:w="10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r>
      <w:tr>
        <w:trPr>
          <w:trHeight w:val="156"/>
        </w:trPr>
        <w:tc>
          <w:tcPr>
            <w:tcW w:w="160" w:type="dxa"/>
            <w:vAlign w:val="bottom"/>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jc w:val="center"/>
              <w:ind w:left="105"/>
              <w:spacing w:after="0" w:line="156" w:lineRule="exact"/>
              <w:rPr>
                <w:sz w:val="20"/>
                <w:szCs w:val="20"/>
                <w:color w:val="auto"/>
              </w:rPr>
            </w:pPr>
            <w:r>
              <w:rPr>
                <w:rFonts w:ascii="Arial" w:cs="Arial" w:eastAsia="Arial" w:hAnsi="Arial"/>
                <w:sz w:val="14"/>
                <w:szCs w:val="14"/>
                <w:b w:val="1"/>
                <w:bCs w:val="1"/>
                <w:color w:val="auto"/>
              </w:rPr>
              <w:t>(not for</w:t>
            </w:r>
          </w:p>
        </w:tc>
        <w:tc>
          <w:tcPr>
            <w:tcW w:w="44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right w:val="single" w:sz="8" w:color="auto"/>
            </w:tcBorders>
          </w:tcPr>
          <w:p>
            <w:pPr>
              <w:jc w:val="center"/>
              <w:ind w:left="65"/>
              <w:spacing w:after="0" w:line="156" w:lineRule="exact"/>
              <w:rPr>
                <w:sz w:val="20"/>
                <w:szCs w:val="20"/>
                <w:color w:val="auto"/>
              </w:rPr>
            </w:pPr>
            <w:r>
              <w:rPr>
                <w:rFonts w:ascii="Arial" w:cs="Arial" w:eastAsia="Arial" w:hAnsi="Arial"/>
                <w:sz w:val="14"/>
                <w:szCs w:val="14"/>
                <w:b w:val="1"/>
                <w:bCs w:val="1"/>
                <w:color w:val="auto"/>
                <w:w w:val="98"/>
              </w:rPr>
              <w:t>for Cause; or</w:t>
            </w:r>
          </w:p>
        </w:tc>
        <w:tc>
          <w:tcPr>
            <w:tcW w:w="1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r>
      <w:tr>
        <w:trPr>
          <w:trHeight w:val="156"/>
        </w:trPr>
        <w:tc>
          <w:tcPr>
            <w:tcW w:w="160" w:type="dxa"/>
            <w:vAlign w:val="bottom"/>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jc w:val="center"/>
              <w:ind w:left="105"/>
              <w:spacing w:after="0" w:line="156" w:lineRule="exact"/>
              <w:rPr>
                <w:sz w:val="20"/>
                <w:szCs w:val="20"/>
                <w:color w:val="auto"/>
              </w:rPr>
            </w:pPr>
            <w:r>
              <w:rPr>
                <w:rFonts w:ascii="Arial" w:cs="Arial" w:eastAsia="Arial" w:hAnsi="Arial"/>
                <w:sz w:val="14"/>
                <w:szCs w:val="14"/>
                <w:b w:val="1"/>
                <w:bCs w:val="1"/>
                <w:color w:val="auto"/>
                <w:w w:val="97"/>
              </w:rPr>
              <w:t>Death, Disability,</w:t>
            </w:r>
          </w:p>
        </w:tc>
        <w:tc>
          <w:tcPr>
            <w:tcW w:w="44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right w:val="single" w:sz="8" w:color="auto"/>
            </w:tcBorders>
          </w:tcPr>
          <w:p>
            <w:pPr>
              <w:jc w:val="center"/>
              <w:ind w:left="65"/>
              <w:spacing w:after="0" w:line="156" w:lineRule="exact"/>
              <w:rPr>
                <w:sz w:val="20"/>
                <w:szCs w:val="20"/>
                <w:color w:val="auto"/>
              </w:rPr>
            </w:pPr>
            <w:r>
              <w:rPr>
                <w:rFonts w:ascii="Arial" w:cs="Arial" w:eastAsia="Arial" w:hAnsi="Arial"/>
                <w:sz w:val="14"/>
                <w:szCs w:val="14"/>
                <w:b w:val="1"/>
                <w:bCs w:val="1"/>
                <w:color w:val="auto"/>
                <w:w w:val="95"/>
              </w:rPr>
              <w:t>Voluntary</w:t>
            </w:r>
          </w:p>
        </w:tc>
        <w:tc>
          <w:tcPr>
            <w:tcW w:w="1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r>
      <w:tr>
        <w:trPr>
          <w:trHeight w:val="156"/>
        </w:trPr>
        <w:tc>
          <w:tcPr>
            <w:tcW w:w="160" w:type="dxa"/>
            <w:vAlign w:val="bottom"/>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jc w:val="center"/>
              <w:ind w:left="105"/>
              <w:spacing w:after="0" w:line="156" w:lineRule="exact"/>
              <w:rPr>
                <w:sz w:val="20"/>
                <w:szCs w:val="20"/>
                <w:color w:val="auto"/>
              </w:rPr>
            </w:pPr>
            <w:r>
              <w:rPr>
                <w:rFonts w:ascii="Arial" w:cs="Arial" w:eastAsia="Arial" w:hAnsi="Arial"/>
                <w:sz w:val="14"/>
                <w:szCs w:val="14"/>
                <w:b w:val="1"/>
                <w:bCs w:val="1"/>
                <w:color w:val="auto"/>
                <w:w w:val="98"/>
              </w:rPr>
              <w:t>or Cause); or</w:t>
            </w:r>
          </w:p>
        </w:tc>
        <w:tc>
          <w:tcPr>
            <w:tcW w:w="1220" w:type="dxa"/>
            <w:vAlign w:val="bottom"/>
            <w:tcBorders>
              <w:right w:val="single" w:sz="8" w:color="auto"/>
            </w:tcBorders>
            <w:gridSpan w:val="2"/>
          </w:tcPr>
          <w:p>
            <w:pPr>
              <w:jc w:val="center"/>
              <w:ind w:left="85"/>
              <w:spacing w:after="0" w:line="156" w:lineRule="exact"/>
              <w:rPr>
                <w:sz w:val="20"/>
                <w:szCs w:val="20"/>
                <w:color w:val="auto"/>
              </w:rPr>
            </w:pPr>
            <w:r>
              <w:rPr>
                <w:rFonts w:ascii="Arial" w:cs="Arial" w:eastAsia="Arial" w:hAnsi="Arial"/>
                <w:sz w:val="14"/>
                <w:szCs w:val="14"/>
                <w:b w:val="1"/>
                <w:bCs w:val="1"/>
                <w:color w:val="auto"/>
                <w:w w:val="99"/>
              </w:rPr>
              <w:t>Due to Death</w:t>
            </w:r>
          </w:p>
        </w:tc>
        <w:tc>
          <w:tcPr>
            <w:tcW w:w="20" w:type="dxa"/>
            <w:vAlign w:val="bottom"/>
          </w:tcPr>
          <w:p>
            <w:pPr>
              <w:spacing w:after="0"/>
              <w:rPr>
                <w:sz w:val="13"/>
                <w:szCs w:val="13"/>
                <w:color w:val="auto"/>
              </w:rPr>
            </w:pPr>
          </w:p>
        </w:tc>
        <w:tc>
          <w:tcPr>
            <w:tcW w:w="1360" w:type="dxa"/>
            <w:vAlign w:val="bottom"/>
            <w:tcBorders>
              <w:right w:val="single" w:sz="8" w:color="auto"/>
            </w:tcBorders>
          </w:tcPr>
          <w:p>
            <w:pPr>
              <w:jc w:val="center"/>
              <w:ind w:left="65"/>
              <w:spacing w:after="0" w:line="156" w:lineRule="exact"/>
              <w:rPr>
                <w:sz w:val="20"/>
                <w:szCs w:val="20"/>
                <w:color w:val="auto"/>
              </w:rPr>
            </w:pPr>
            <w:r>
              <w:rPr>
                <w:rFonts w:ascii="Arial" w:cs="Arial" w:eastAsia="Arial" w:hAnsi="Arial"/>
                <w:sz w:val="14"/>
                <w:szCs w:val="14"/>
                <w:b w:val="1"/>
                <w:bCs w:val="1"/>
                <w:color w:val="auto"/>
                <w:w w:val="97"/>
              </w:rPr>
              <w:t>Termination</w:t>
            </w:r>
          </w:p>
        </w:tc>
        <w:tc>
          <w:tcPr>
            <w:tcW w:w="1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r>
      <w:tr>
        <w:trPr>
          <w:trHeight w:val="156"/>
        </w:trPr>
        <w:tc>
          <w:tcPr>
            <w:tcW w:w="160" w:type="dxa"/>
            <w:vAlign w:val="bottom"/>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jc w:val="center"/>
              <w:ind w:left="105"/>
              <w:spacing w:after="0" w:line="156" w:lineRule="exact"/>
              <w:rPr>
                <w:sz w:val="20"/>
                <w:szCs w:val="20"/>
                <w:color w:val="auto"/>
              </w:rPr>
            </w:pPr>
            <w:r>
              <w:rPr>
                <w:rFonts w:ascii="Arial" w:cs="Arial" w:eastAsia="Arial" w:hAnsi="Arial"/>
                <w:sz w:val="14"/>
                <w:szCs w:val="14"/>
                <w:b w:val="1"/>
                <w:bCs w:val="1"/>
                <w:color w:val="auto"/>
                <w:w w:val="95"/>
              </w:rPr>
              <w:t>Voluntary</w:t>
            </w:r>
          </w:p>
        </w:tc>
        <w:tc>
          <w:tcPr>
            <w:tcW w:w="1220" w:type="dxa"/>
            <w:vAlign w:val="bottom"/>
            <w:tcBorders>
              <w:right w:val="single" w:sz="8" w:color="auto"/>
            </w:tcBorders>
            <w:gridSpan w:val="2"/>
          </w:tcPr>
          <w:p>
            <w:pPr>
              <w:jc w:val="center"/>
              <w:ind w:left="105"/>
              <w:spacing w:after="0" w:line="156" w:lineRule="exact"/>
              <w:rPr>
                <w:sz w:val="20"/>
                <w:szCs w:val="20"/>
                <w:color w:val="auto"/>
              </w:rPr>
            </w:pPr>
            <w:r>
              <w:rPr>
                <w:rFonts w:ascii="Arial" w:cs="Arial" w:eastAsia="Arial" w:hAnsi="Arial"/>
                <w:sz w:val="14"/>
                <w:szCs w:val="14"/>
                <w:b w:val="1"/>
                <w:bCs w:val="1"/>
                <w:color w:val="auto"/>
                <w:w w:val="99"/>
              </w:rPr>
              <w:t>or Disability</w:t>
            </w:r>
          </w:p>
        </w:tc>
        <w:tc>
          <w:tcPr>
            <w:tcW w:w="20" w:type="dxa"/>
            <w:vAlign w:val="bottom"/>
          </w:tcPr>
          <w:p>
            <w:pPr>
              <w:spacing w:after="0"/>
              <w:rPr>
                <w:sz w:val="13"/>
                <w:szCs w:val="13"/>
                <w:color w:val="auto"/>
              </w:rPr>
            </w:pPr>
          </w:p>
        </w:tc>
        <w:tc>
          <w:tcPr>
            <w:tcW w:w="1360" w:type="dxa"/>
            <w:vAlign w:val="bottom"/>
            <w:tcBorders>
              <w:right w:val="single" w:sz="8" w:color="auto"/>
            </w:tcBorders>
          </w:tcPr>
          <w:p>
            <w:pPr>
              <w:jc w:val="center"/>
              <w:ind w:left="65"/>
              <w:spacing w:after="0" w:line="156" w:lineRule="exact"/>
              <w:rPr>
                <w:sz w:val="20"/>
                <w:szCs w:val="20"/>
                <w:color w:val="auto"/>
              </w:rPr>
            </w:pPr>
            <w:r>
              <w:rPr>
                <w:rFonts w:ascii="Arial" w:cs="Arial" w:eastAsia="Arial" w:hAnsi="Arial"/>
                <w:sz w:val="14"/>
                <w:szCs w:val="14"/>
                <w:b w:val="1"/>
                <w:bCs w:val="1"/>
                <w:color w:val="auto"/>
                <w:w w:val="98"/>
              </w:rPr>
              <w:t>other than for</w:t>
            </w:r>
          </w:p>
        </w:tc>
        <w:tc>
          <w:tcPr>
            <w:tcW w:w="1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r>
      <w:tr>
        <w:trPr>
          <w:trHeight w:val="156"/>
        </w:trPr>
        <w:tc>
          <w:tcPr>
            <w:tcW w:w="160" w:type="dxa"/>
            <w:vAlign w:val="bottom"/>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jc w:val="center"/>
              <w:ind w:left="105"/>
              <w:spacing w:after="0" w:line="156" w:lineRule="exact"/>
              <w:rPr>
                <w:sz w:val="20"/>
                <w:szCs w:val="20"/>
                <w:color w:val="auto"/>
              </w:rPr>
            </w:pPr>
            <w:r>
              <w:rPr>
                <w:rFonts w:ascii="Arial" w:cs="Arial" w:eastAsia="Arial" w:hAnsi="Arial"/>
                <w:sz w:val="14"/>
                <w:szCs w:val="14"/>
                <w:b w:val="1"/>
                <w:bCs w:val="1"/>
                <w:color w:val="auto"/>
                <w:w w:val="97"/>
              </w:rPr>
              <w:t>Termination</w:t>
            </w:r>
          </w:p>
        </w:tc>
        <w:tc>
          <w:tcPr>
            <w:tcW w:w="440" w:type="dxa"/>
            <w:vAlign w:val="bottom"/>
          </w:tcPr>
          <w:p>
            <w:pPr>
              <w:spacing w:after="0"/>
              <w:rPr>
                <w:sz w:val="13"/>
                <w:szCs w:val="13"/>
                <w:color w:val="auto"/>
              </w:rPr>
            </w:pPr>
          </w:p>
        </w:tc>
        <w:tc>
          <w:tcPr>
            <w:tcW w:w="780" w:type="dxa"/>
            <w:vAlign w:val="bottom"/>
            <w:tcBorders>
              <w:right w:val="single" w:sz="8" w:color="auto"/>
            </w:tcBorders>
          </w:tcPr>
          <w:p>
            <w:pPr>
              <w:jc w:val="center"/>
              <w:ind w:right="203"/>
              <w:spacing w:after="0" w:line="156" w:lineRule="exact"/>
              <w:rPr>
                <w:sz w:val="20"/>
                <w:szCs w:val="20"/>
                <w:color w:val="auto"/>
              </w:rPr>
            </w:pPr>
            <w:r>
              <w:rPr>
                <w:rFonts w:ascii="Arial" w:cs="Arial" w:eastAsia="Arial" w:hAnsi="Arial"/>
                <w:sz w:val="14"/>
                <w:szCs w:val="14"/>
                <w:b w:val="1"/>
                <w:bCs w:val="1"/>
                <w:color w:val="auto"/>
                <w:w w:val="98"/>
              </w:rPr>
              <w:t>(with or</w:t>
            </w:r>
          </w:p>
        </w:tc>
        <w:tc>
          <w:tcPr>
            <w:tcW w:w="20" w:type="dxa"/>
            <w:vAlign w:val="bottom"/>
          </w:tcPr>
          <w:p>
            <w:pPr>
              <w:spacing w:after="0"/>
              <w:rPr>
                <w:sz w:val="13"/>
                <w:szCs w:val="13"/>
                <w:color w:val="auto"/>
              </w:rPr>
            </w:pPr>
          </w:p>
        </w:tc>
        <w:tc>
          <w:tcPr>
            <w:tcW w:w="1360" w:type="dxa"/>
            <w:vAlign w:val="bottom"/>
            <w:tcBorders>
              <w:right w:val="single" w:sz="8" w:color="auto"/>
            </w:tcBorders>
          </w:tcPr>
          <w:p>
            <w:pPr>
              <w:jc w:val="center"/>
              <w:ind w:left="45"/>
              <w:spacing w:after="0" w:line="156" w:lineRule="exact"/>
              <w:rPr>
                <w:sz w:val="20"/>
                <w:szCs w:val="20"/>
                <w:color w:val="auto"/>
              </w:rPr>
            </w:pPr>
            <w:r>
              <w:rPr>
                <w:rFonts w:ascii="Arial" w:cs="Arial" w:eastAsia="Arial" w:hAnsi="Arial"/>
                <w:sz w:val="14"/>
                <w:szCs w:val="14"/>
                <w:b w:val="1"/>
                <w:bCs w:val="1"/>
                <w:color w:val="auto"/>
                <w:w w:val="99"/>
              </w:rPr>
              <w:t>Good Reason or</w:t>
            </w:r>
          </w:p>
        </w:tc>
        <w:tc>
          <w:tcPr>
            <w:tcW w:w="1080" w:type="dxa"/>
            <w:vAlign w:val="bottom"/>
            <w:tcBorders>
              <w:right w:val="single" w:sz="8" w:color="auto"/>
            </w:tcBorders>
          </w:tcPr>
          <w:p>
            <w:pPr>
              <w:jc w:val="center"/>
              <w:ind w:left="84"/>
              <w:spacing w:after="0" w:line="156" w:lineRule="exact"/>
              <w:rPr>
                <w:sz w:val="20"/>
                <w:szCs w:val="20"/>
                <w:color w:val="auto"/>
              </w:rPr>
            </w:pPr>
            <w:r>
              <w:rPr>
                <w:rFonts w:ascii="Arial" w:cs="Arial" w:eastAsia="Arial" w:hAnsi="Arial"/>
                <w:sz w:val="14"/>
                <w:szCs w:val="14"/>
                <w:b w:val="1"/>
                <w:bCs w:val="1"/>
                <w:color w:val="auto"/>
                <w:w w:val="99"/>
              </w:rPr>
              <w:t>With or</w:t>
            </w:r>
          </w:p>
        </w:tc>
        <w:tc>
          <w:tcPr>
            <w:tcW w:w="1080" w:type="dxa"/>
            <w:vAlign w:val="bottom"/>
            <w:tcBorders>
              <w:right w:val="single" w:sz="8" w:color="auto"/>
            </w:tcBorders>
          </w:tcPr>
          <w:p>
            <w:pPr>
              <w:jc w:val="center"/>
              <w:ind w:left="84"/>
              <w:spacing w:after="0" w:line="156" w:lineRule="exact"/>
              <w:rPr>
                <w:sz w:val="20"/>
                <w:szCs w:val="20"/>
                <w:color w:val="auto"/>
              </w:rPr>
            </w:pPr>
            <w:r>
              <w:rPr>
                <w:rFonts w:ascii="Arial" w:cs="Arial" w:eastAsia="Arial" w:hAnsi="Arial"/>
                <w:sz w:val="14"/>
                <w:szCs w:val="14"/>
                <w:b w:val="1"/>
                <w:bCs w:val="1"/>
                <w:color w:val="auto"/>
                <w:w w:val="99"/>
              </w:rPr>
              <w:t>Without</w:t>
            </w:r>
          </w:p>
        </w:tc>
        <w:tc>
          <w:tcPr>
            <w:tcW w:w="1060" w:type="dxa"/>
            <w:vAlign w:val="bottom"/>
          </w:tcPr>
          <w:p>
            <w:pPr>
              <w:jc w:val="center"/>
              <w:ind w:left="123"/>
              <w:spacing w:after="0" w:line="156" w:lineRule="exact"/>
              <w:rPr>
                <w:sz w:val="20"/>
                <w:szCs w:val="20"/>
                <w:color w:val="auto"/>
              </w:rPr>
            </w:pPr>
            <w:r>
              <w:rPr>
                <w:rFonts w:ascii="Arial" w:cs="Arial" w:eastAsia="Arial" w:hAnsi="Arial"/>
                <w:sz w:val="14"/>
                <w:szCs w:val="14"/>
                <w:b w:val="1"/>
                <w:bCs w:val="1"/>
                <w:color w:val="auto"/>
                <w:w w:val="98"/>
              </w:rPr>
              <w:t>With</w:t>
            </w:r>
          </w:p>
        </w:tc>
      </w:tr>
      <w:tr>
        <w:trPr>
          <w:trHeight w:val="156"/>
        </w:trPr>
        <w:tc>
          <w:tcPr>
            <w:tcW w:w="160" w:type="dxa"/>
            <w:vAlign w:val="bottom"/>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jc w:val="center"/>
              <w:ind w:left="65"/>
              <w:spacing w:after="0" w:line="156" w:lineRule="exact"/>
              <w:rPr>
                <w:sz w:val="20"/>
                <w:szCs w:val="20"/>
                <w:color w:val="auto"/>
              </w:rPr>
            </w:pPr>
            <w:r>
              <w:rPr>
                <w:rFonts w:ascii="Arial" w:cs="Arial" w:eastAsia="Arial" w:hAnsi="Arial"/>
                <w:sz w:val="14"/>
                <w:szCs w:val="14"/>
                <w:b w:val="1"/>
                <w:bCs w:val="1"/>
                <w:color w:val="auto"/>
                <w:w w:val="97"/>
              </w:rPr>
              <w:t> for Good Reason</w:t>
            </w:r>
          </w:p>
        </w:tc>
        <w:tc>
          <w:tcPr>
            <w:tcW w:w="1220" w:type="dxa"/>
            <w:vAlign w:val="bottom"/>
            <w:tcBorders>
              <w:right w:val="single" w:sz="8" w:color="auto"/>
            </w:tcBorders>
            <w:gridSpan w:val="2"/>
          </w:tcPr>
          <w:p>
            <w:pPr>
              <w:jc w:val="center"/>
              <w:ind w:left="105"/>
              <w:spacing w:after="0" w:line="156" w:lineRule="exact"/>
              <w:rPr>
                <w:sz w:val="20"/>
                <w:szCs w:val="20"/>
                <w:color w:val="auto"/>
              </w:rPr>
            </w:pPr>
            <w:r>
              <w:rPr>
                <w:rFonts w:ascii="Arial" w:cs="Arial" w:eastAsia="Arial" w:hAnsi="Arial"/>
                <w:sz w:val="14"/>
                <w:szCs w:val="14"/>
                <w:b w:val="1"/>
                <w:bCs w:val="1"/>
                <w:color w:val="auto"/>
                <w:w w:val="97"/>
              </w:rPr>
              <w:t>without a</w:t>
            </w:r>
          </w:p>
        </w:tc>
        <w:tc>
          <w:tcPr>
            <w:tcW w:w="20" w:type="dxa"/>
            <w:vAlign w:val="bottom"/>
          </w:tcPr>
          <w:p>
            <w:pPr>
              <w:spacing w:after="0"/>
              <w:rPr>
                <w:sz w:val="13"/>
                <w:szCs w:val="13"/>
                <w:color w:val="auto"/>
              </w:rPr>
            </w:pPr>
          </w:p>
        </w:tc>
        <w:tc>
          <w:tcPr>
            <w:tcW w:w="1360" w:type="dxa"/>
            <w:vAlign w:val="bottom"/>
            <w:tcBorders>
              <w:right w:val="single" w:sz="8" w:color="auto"/>
            </w:tcBorders>
          </w:tcPr>
          <w:p>
            <w:pPr>
              <w:jc w:val="center"/>
              <w:ind w:left="45"/>
              <w:spacing w:after="0" w:line="156" w:lineRule="exact"/>
              <w:rPr>
                <w:sz w:val="20"/>
                <w:szCs w:val="20"/>
                <w:color w:val="auto"/>
              </w:rPr>
            </w:pPr>
            <w:r>
              <w:rPr>
                <w:rFonts w:ascii="Arial" w:cs="Arial" w:eastAsia="Arial" w:hAnsi="Arial"/>
                <w:sz w:val="14"/>
                <w:szCs w:val="14"/>
                <w:b w:val="1"/>
                <w:bCs w:val="1"/>
                <w:color w:val="auto"/>
                <w:w w:val="98"/>
              </w:rPr>
              <w:t>Retirement</w:t>
            </w:r>
          </w:p>
        </w:tc>
        <w:tc>
          <w:tcPr>
            <w:tcW w:w="1080" w:type="dxa"/>
            <w:vAlign w:val="bottom"/>
            <w:tcBorders>
              <w:right w:val="single" w:sz="8" w:color="auto"/>
            </w:tcBorders>
          </w:tcPr>
          <w:p>
            <w:pPr>
              <w:jc w:val="center"/>
              <w:ind w:left="64"/>
              <w:spacing w:after="0" w:line="156" w:lineRule="exact"/>
              <w:rPr>
                <w:sz w:val="20"/>
                <w:szCs w:val="20"/>
                <w:color w:val="auto"/>
              </w:rPr>
            </w:pPr>
            <w:r>
              <w:rPr>
                <w:rFonts w:ascii="Arial" w:cs="Arial" w:eastAsia="Arial" w:hAnsi="Arial"/>
                <w:sz w:val="14"/>
                <w:szCs w:val="14"/>
                <w:b w:val="1"/>
                <w:bCs w:val="1"/>
                <w:color w:val="auto"/>
                <w:w w:val="97"/>
              </w:rPr>
              <w:t>Without a</w:t>
            </w:r>
          </w:p>
        </w:tc>
        <w:tc>
          <w:tcPr>
            <w:tcW w:w="1080" w:type="dxa"/>
            <w:vAlign w:val="bottom"/>
            <w:tcBorders>
              <w:right w:val="single" w:sz="8" w:color="auto"/>
            </w:tcBorders>
          </w:tcPr>
          <w:p>
            <w:pPr>
              <w:jc w:val="center"/>
              <w:ind w:left="84"/>
              <w:spacing w:after="0" w:line="156" w:lineRule="exact"/>
              <w:rPr>
                <w:sz w:val="20"/>
                <w:szCs w:val="20"/>
                <w:color w:val="auto"/>
              </w:rPr>
            </w:pPr>
            <w:r>
              <w:rPr>
                <w:rFonts w:ascii="Arial" w:cs="Arial" w:eastAsia="Arial" w:hAnsi="Arial"/>
                <w:sz w:val="14"/>
                <w:szCs w:val="14"/>
                <w:b w:val="1"/>
                <w:bCs w:val="1"/>
                <w:color w:val="auto"/>
              </w:rPr>
              <w:t>Adverse</w:t>
            </w:r>
          </w:p>
        </w:tc>
        <w:tc>
          <w:tcPr>
            <w:tcW w:w="1060" w:type="dxa"/>
            <w:vAlign w:val="bottom"/>
          </w:tcPr>
          <w:p>
            <w:pPr>
              <w:jc w:val="center"/>
              <w:ind w:left="123"/>
              <w:spacing w:after="0" w:line="156" w:lineRule="exact"/>
              <w:rPr>
                <w:sz w:val="20"/>
                <w:szCs w:val="20"/>
                <w:color w:val="auto"/>
              </w:rPr>
            </w:pPr>
            <w:r>
              <w:rPr>
                <w:rFonts w:ascii="Arial" w:cs="Arial" w:eastAsia="Arial" w:hAnsi="Arial"/>
                <w:sz w:val="14"/>
                <w:szCs w:val="14"/>
                <w:b w:val="1"/>
                <w:bCs w:val="1"/>
                <w:color w:val="auto"/>
                <w:w w:val="97"/>
              </w:rPr>
              <w:t>Adverse</w:t>
            </w:r>
          </w:p>
        </w:tc>
      </w:tr>
      <w:tr>
        <w:trPr>
          <w:trHeight w:val="154"/>
        </w:trPr>
        <w:tc>
          <w:tcPr>
            <w:tcW w:w="160" w:type="dxa"/>
            <w:vAlign w:val="bottom"/>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jc w:val="center"/>
              <w:ind w:left="105"/>
              <w:spacing w:after="0" w:line="154" w:lineRule="exact"/>
              <w:rPr>
                <w:sz w:val="20"/>
                <w:szCs w:val="20"/>
                <w:color w:val="auto"/>
              </w:rPr>
            </w:pPr>
            <w:r>
              <w:rPr>
                <w:rFonts w:ascii="Arial" w:cs="Arial" w:eastAsia="Arial" w:hAnsi="Arial"/>
                <w:sz w:val="14"/>
                <w:szCs w:val="14"/>
                <w:b w:val="1"/>
                <w:bCs w:val="1"/>
                <w:color w:val="auto"/>
                <w:w w:val="99"/>
              </w:rPr>
              <w:t>(no Change of</w:t>
            </w:r>
          </w:p>
        </w:tc>
        <w:tc>
          <w:tcPr>
            <w:tcW w:w="1220" w:type="dxa"/>
            <w:vAlign w:val="bottom"/>
            <w:tcBorders>
              <w:right w:val="single" w:sz="8" w:color="auto"/>
            </w:tcBorders>
            <w:gridSpan w:val="2"/>
          </w:tcPr>
          <w:p>
            <w:pPr>
              <w:jc w:val="center"/>
              <w:ind w:left="105"/>
              <w:spacing w:after="0" w:line="154" w:lineRule="exact"/>
              <w:rPr>
                <w:sz w:val="20"/>
                <w:szCs w:val="20"/>
                <w:color w:val="auto"/>
              </w:rPr>
            </w:pPr>
            <w:r>
              <w:rPr>
                <w:rFonts w:ascii="Arial" w:cs="Arial" w:eastAsia="Arial" w:hAnsi="Arial"/>
                <w:sz w:val="14"/>
                <w:szCs w:val="14"/>
                <w:b w:val="1"/>
                <w:bCs w:val="1"/>
                <w:color w:val="auto"/>
                <w:w w:val="99"/>
              </w:rPr>
              <w:t>Change of</w:t>
            </w:r>
          </w:p>
        </w:tc>
        <w:tc>
          <w:tcPr>
            <w:tcW w:w="20" w:type="dxa"/>
            <w:vAlign w:val="bottom"/>
          </w:tcPr>
          <w:p>
            <w:pPr>
              <w:spacing w:after="0"/>
              <w:rPr>
                <w:sz w:val="13"/>
                <w:szCs w:val="13"/>
                <w:color w:val="auto"/>
              </w:rPr>
            </w:pPr>
          </w:p>
        </w:tc>
        <w:tc>
          <w:tcPr>
            <w:tcW w:w="1360" w:type="dxa"/>
            <w:vAlign w:val="bottom"/>
            <w:tcBorders>
              <w:right w:val="single" w:sz="8" w:color="auto"/>
            </w:tcBorders>
          </w:tcPr>
          <w:p>
            <w:pPr>
              <w:jc w:val="center"/>
              <w:ind w:left="65"/>
              <w:spacing w:after="0" w:line="154" w:lineRule="exact"/>
              <w:rPr>
                <w:sz w:val="20"/>
                <w:szCs w:val="20"/>
                <w:color w:val="auto"/>
              </w:rPr>
            </w:pPr>
            <w:r>
              <w:rPr>
                <w:rFonts w:ascii="Arial" w:cs="Arial" w:eastAsia="Arial" w:hAnsi="Arial"/>
                <w:sz w:val="14"/>
                <w:szCs w:val="14"/>
                <w:b w:val="1"/>
                <w:bCs w:val="1"/>
                <w:color w:val="auto"/>
                <w:w w:val="99"/>
              </w:rPr>
              <w:t>(no Change of</w:t>
            </w:r>
          </w:p>
        </w:tc>
        <w:tc>
          <w:tcPr>
            <w:tcW w:w="1080" w:type="dxa"/>
            <w:vAlign w:val="bottom"/>
            <w:tcBorders>
              <w:right w:val="single" w:sz="8" w:color="auto"/>
            </w:tcBorders>
          </w:tcPr>
          <w:p>
            <w:pPr>
              <w:jc w:val="center"/>
              <w:ind w:left="84"/>
              <w:spacing w:after="0" w:line="154" w:lineRule="exact"/>
              <w:rPr>
                <w:sz w:val="20"/>
                <w:szCs w:val="20"/>
                <w:color w:val="auto"/>
              </w:rPr>
            </w:pPr>
            <w:r>
              <w:rPr>
                <w:rFonts w:ascii="Arial" w:cs="Arial" w:eastAsia="Arial" w:hAnsi="Arial"/>
                <w:sz w:val="14"/>
                <w:szCs w:val="14"/>
                <w:b w:val="1"/>
                <w:bCs w:val="1"/>
                <w:color w:val="auto"/>
                <w:w w:val="99"/>
              </w:rPr>
              <w:t>Change of</w:t>
            </w:r>
          </w:p>
        </w:tc>
        <w:tc>
          <w:tcPr>
            <w:tcW w:w="1080" w:type="dxa"/>
            <w:vAlign w:val="bottom"/>
            <w:tcBorders>
              <w:right w:val="single" w:sz="8" w:color="auto"/>
            </w:tcBorders>
          </w:tcPr>
          <w:p>
            <w:pPr>
              <w:jc w:val="center"/>
              <w:ind w:left="84"/>
              <w:spacing w:after="0" w:line="154" w:lineRule="exact"/>
              <w:rPr>
                <w:sz w:val="20"/>
                <w:szCs w:val="20"/>
                <w:color w:val="auto"/>
              </w:rPr>
            </w:pPr>
            <w:r>
              <w:rPr>
                <w:rFonts w:ascii="Arial" w:cs="Arial" w:eastAsia="Arial" w:hAnsi="Arial"/>
                <w:sz w:val="14"/>
                <w:szCs w:val="14"/>
                <w:b w:val="1"/>
                <w:bCs w:val="1"/>
                <w:color w:val="auto"/>
                <w:w w:val="99"/>
              </w:rPr>
              <w:t>Employment</w:t>
            </w:r>
          </w:p>
        </w:tc>
        <w:tc>
          <w:tcPr>
            <w:tcW w:w="1060" w:type="dxa"/>
            <w:vAlign w:val="bottom"/>
          </w:tcPr>
          <w:p>
            <w:pPr>
              <w:jc w:val="center"/>
              <w:ind w:left="103"/>
              <w:spacing w:after="0" w:line="154" w:lineRule="exact"/>
              <w:rPr>
                <w:sz w:val="20"/>
                <w:szCs w:val="20"/>
                <w:color w:val="auto"/>
              </w:rPr>
            </w:pPr>
            <w:r>
              <w:rPr>
                <w:rFonts w:ascii="Arial" w:cs="Arial" w:eastAsia="Arial" w:hAnsi="Arial"/>
                <w:sz w:val="14"/>
                <w:szCs w:val="14"/>
                <w:b w:val="1"/>
                <w:bCs w:val="1"/>
                <w:color w:val="auto"/>
                <w:w w:val="99"/>
              </w:rPr>
              <w:t>Employment</w:t>
            </w:r>
          </w:p>
        </w:tc>
      </w:tr>
      <w:tr>
        <w:trPr>
          <w:trHeight w:val="180"/>
        </w:trPr>
        <w:tc>
          <w:tcPr>
            <w:tcW w:w="160" w:type="dxa"/>
            <w:vAlign w:val="bottom"/>
            <w:tcBorders>
              <w:bottom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jc w:val="center"/>
              <w:ind w:left="105"/>
              <w:spacing w:after="0" w:line="180" w:lineRule="exact"/>
              <w:rPr>
                <w:sz w:val="20"/>
                <w:szCs w:val="20"/>
                <w:color w:val="auto"/>
              </w:rPr>
            </w:pPr>
            <w:r>
              <w:rPr>
                <w:rFonts w:ascii="Arial" w:cs="Arial" w:eastAsia="Arial" w:hAnsi="Arial"/>
                <w:sz w:val="14"/>
                <w:szCs w:val="14"/>
                <w:b w:val="1"/>
                <w:bCs w:val="1"/>
                <w:color w:val="auto"/>
                <w:w w:val="93"/>
              </w:rPr>
              <w:t xml:space="preserve">Control) </w:t>
            </w:r>
            <w:r>
              <w:rPr>
                <w:rFonts w:ascii="Arial" w:cs="Arial" w:eastAsia="Arial" w:hAnsi="Arial"/>
                <w:sz w:val="20"/>
                <w:szCs w:val="20"/>
                <w:b w:val="1"/>
                <w:bCs w:val="1"/>
                <w:i w:val="1"/>
                <w:iCs w:val="1"/>
                <w:color w:val="auto"/>
                <w:w w:val="93"/>
                <w:vertAlign w:val="superscript"/>
              </w:rPr>
              <w:t>(1)</w:t>
            </w:r>
          </w:p>
        </w:tc>
        <w:tc>
          <w:tcPr>
            <w:tcW w:w="1220" w:type="dxa"/>
            <w:vAlign w:val="bottom"/>
            <w:tcBorders>
              <w:bottom w:val="single" w:sz="8" w:color="auto"/>
              <w:right w:val="single" w:sz="8" w:color="auto"/>
            </w:tcBorders>
            <w:gridSpan w:val="2"/>
          </w:tcPr>
          <w:p>
            <w:pPr>
              <w:jc w:val="center"/>
              <w:ind w:left="85"/>
              <w:spacing w:after="0" w:line="180" w:lineRule="exact"/>
              <w:rPr>
                <w:sz w:val="20"/>
                <w:szCs w:val="20"/>
                <w:color w:val="auto"/>
              </w:rPr>
            </w:pPr>
            <w:r>
              <w:rPr>
                <w:rFonts w:ascii="Arial" w:cs="Arial" w:eastAsia="Arial" w:hAnsi="Arial"/>
                <w:sz w:val="14"/>
                <w:szCs w:val="14"/>
                <w:b w:val="1"/>
                <w:bCs w:val="1"/>
                <w:color w:val="auto"/>
                <w:w w:val="90"/>
              </w:rPr>
              <w:t xml:space="preserve">Control) </w:t>
            </w:r>
            <w:r>
              <w:rPr>
                <w:rFonts w:ascii="Arial" w:cs="Arial" w:eastAsia="Arial" w:hAnsi="Arial"/>
                <w:sz w:val="20"/>
                <w:szCs w:val="20"/>
                <w:b w:val="1"/>
                <w:bCs w:val="1"/>
                <w:i w:val="1"/>
                <w:iCs w:val="1"/>
                <w:color w:val="auto"/>
                <w:w w:val="90"/>
                <w:vertAlign w:val="superscript"/>
              </w:rPr>
              <w:t>(2)(3)</w:t>
            </w: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left="65"/>
              <w:spacing w:after="0" w:line="180" w:lineRule="exact"/>
              <w:rPr>
                <w:sz w:val="20"/>
                <w:szCs w:val="20"/>
                <w:color w:val="auto"/>
              </w:rPr>
            </w:pPr>
            <w:r>
              <w:rPr>
                <w:rFonts w:ascii="Arial" w:cs="Arial" w:eastAsia="Arial" w:hAnsi="Arial"/>
                <w:sz w:val="14"/>
                <w:szCs w:val="14"/>
                <w:b w:val="1"/>
                <w:bCs w:val="1"/>
                <w:color w:val="auto"/>
                <w:w w:val="93"/>
              </w:rPr>
              <w:t xml:space="preserve">Control) </w:t>
            </w:r>
            <w:r>
              <w:rPr>
                <w:rFonts w:ascii="Arial" w:cs="Arial" w:eastAsia="Arial" w:hAnsi="Arial"/>
                <w:sz w:val="20"/>
                <w:szCs w:val="20"/>
                <w:b w:val="1"/>
                <w:bCs w:val="1"/>
                <w:i w:val="1"/>
                <w:iCs w:val="1"/>
                <w:color w:val="auto"/>
                <w:w w:val="93"/>
                <w:vertAlign w:val="superscript"/>
              </w:rPr>
              <w:t>(4)</w:t>
            </w:r>
          </w:p>
        </w:tc>
        <w:tc>
          <w:tcPr>
            <w:tcW w:w="1080" w:type="dxa"/>
            <w:vAlign w:val="bottom"/>
            <w:tcBorders>
              <w:bottom w:val="single" w:sz="8" w:color="auto"/>
              <w:right w:val="single" w:sz="8" w:color="auto"/>
            </w:tcBorders>
          </w:tcPr>
          <w:p>
            <w:pPr>
              <w:jc w:val="center"/>
              <w:ind w:left="64"/>
              <w:spacing w:after="0" w:line="180" w:lineRule="exact"/>
              <w:rPr>
                <w:sz w:val="20"/>
                <w:szCs w:val="20"/>
                <w:color w:val="auto"/>
              </w:rPr>
            </w:pPr>
            <w:r>
              <w:rPr>
                <w:rFonts w:ascii="Arial" w:cs="Arial" w:eastAsia="Arial" w:hAnsi="Arial"/>
                <w:sz w:val="14"/>
                <w:szCs w:val="14"/>
                <w:b w:val="1"/>
                <w:bCs w:val="1"/>
                <w:color w:val="auto"/>
                <w:w w:val="90"/>
              </w:rPr>
              <w:t xml:space="preserve">Control </w:t>
            </w:r>
            <w:r>
              <w:rPr>
                <w:rFonts w:ascii="Arial" w:cs="Arial" w:eastAsia="Arial" w:hAnsi="Arial"/>
                <w:sz w:val="20"/>
                <w:szCs w:val="20"/>
                <w:b w:val="1"/>
                <w:bCs w:val="1"/>
                <w:i w:val="1"/>
                <w:iCs w:val="1"/>
                <w:color w:val="auto"/>
                <w:w w:val="90"/>
                <w:vertAlign w:val="superscript"/>
              </w:rPr>
              <w:t>(2)(5)</w:t>
            </w:r>
          </w:p>
        </w:tc>
        <w:tc>
          <w:tcPr>
            <w:tcW w:w="1080" w:type="dxa"/>
            <w:vAlign w:val="bottom"/>
            <w:tcBorders>
              <w:bottom w:val="single" w:sz="8" w:color="auto"/>
              <w:right w:val="single" w:sz="8" w:color="auto"/>
            </w:tcBorders>
          </w:tcPr>
          <w:p>
            <w:pPr>
              <w:jc w:val="center"/>
              <w:ind w:left="84"/>
              <w:spacing w:after="0" w:line="180" w:lineRule="exact"/>
              <w:rPr>
                <w:sz w:val="20"/>
                <w:szCs w:val="20"/>
                <w:color w:val="auto"/>
              </w:rPr>
            </w:pPr>
            <w:r>
              <w:rPr>
                <w:rFonts w:ascii="Arial" w:cs="Arial" w:eastAsia="Arial" w:hAnsi="Arial"/>
                <w:sz w:val="14"/>
                <w:szCs w:val="14"/>
                <w:b w:val="1"/>
                <w:bCs w:val="1"/>
                <w:color w:val="auto"/>
                <w:w w:val="94"/>
              </w:rPr>
              <w:t xml:space="preserve">Action </w:t>
            </w:r>
            <w:r>
              <w:rPr>
                <w:rFonts w:ascii="Arial" w:cs="Arial" w:eastAsia="Arial" w:hAnsi="Arial"/>
                <w:sz w:val="20"/>
                <w:szCs w:val="20"/>
                <w:b w:val="1"/>
                <w:bCs w:val="1"/>
                <w:i w:val="1"/>
                <w:iCs w:val="1"/>
                <w:color w:val="auto"/>
                <w:w w:val="94"/>
                <w:vertAlign w:val="superscript"/>
              </w:rPr>
              <w:t>(2)</w:t>
            </w:r>
          </w:p>
        </w:tc>
        <w:tc>
          <w:tcPr>
            <w:tcW w:w="1060" w:type="dxa"/>
            <w:vAlign w:val="bottom"/>
            <w:tcBorders>
              <w:bottom w:val="single" w:sz="8" w:color="auto"/>
            </w:tcBorders>
          </w:tcPr>
          <w:p>
            <w:pPr>
              <w:jc w:val="center"/>
              <w:ind w:left="103"/>
              <w:spacing w:after="0" w:line="180" w:lineRule="exact"/>
              <w:rPr>
                <w:sz w:val="20"/>
                <w:szCs w:val="20"/>
                <w:color w:val="auto"/>
              </w:rPr>
            </w:pPr>
            <w:r>
              <w:rPr>
                <w:rFonts w:ascii="Arial" w:cs="Arial" w:eastAsia="Arial" w:hAnsi="Arial"/>
                <w:sz w:val="14"/>
                <w:szCs w:val="14"/>
                <w:b w:val="1"/>
                <w:bCs w:val="1"/>
                <w:color w:val="auto"/>
                <w:w w:val="94"/>
              </w:rPr>
              <w:t xml:space="preserve">Action </w:t>
            </w:r>
            <w:r>
              <w:rPr>
                <w:rFonts w:ascii="Arial" w:cs="Arial" w:eastAsia="Arial" w:hAnsi="Arial"/>
                <w:sz w:val="20"/>
                <w:szCs w:val="20"/>
                <w:b w:val="1"/>
                <w:bCs w:val="1"/>
                <w:i w:val="1"/>
                <w:iCs w:val="1"/>
                <w:color w:val="auto"/>
                <w:w w:val="94"/>
                <w:vertAlign w:val="superscript"/>
              </w:rPr>
              <w:t>(6)</w:t>
            </w:r>
          </w:p>
        </w:tc>
      </w:tr>
      <w:tr>
        <w:trPr>
          <w:trHeight w:val="219"/>
        </w:trPr>
        <w:tc>
          <w:tcPr>
            <w:tcW w:w="160" w:type="dxa"/>
            <w:vAlign w:val="bottom"/>
            <w:tcBorders>
              <w:bottom w:val="single" w:sz="8" w:color="314A72"/>
            </w:tcBorders>
            <w:shd w:val="clear" w:color="auto" w:fill="314A72"/>
          </w:tcPr>
          <w:p>
            <w:pPr>
              <w:spacing w:after="0"/>
              <w:rPr>
                <w:sz w:val="18"/>
                <w:szCs w:val="18"/>
                <w:color w:val="auto"/>
              </w:rPr>
            </w:pPr>
          </w:p>
        </w:tc>
        <w:tc>
          <w:tcPr>
            <w:tcW w:w="2600" w:type="dxa"/>
            <w:vAlign w:val="bottom"/>
            <w:tcBorders>
              <w:bottom w:val="single" w:sz="8" w:color="314A72"/>
              <w:right w:val="single" w:sz="8" w:color="314A72"/>
            </w:tcBorders>
            <w:shd w:val="clear" w:color="auto" w:fill="314A72"/>
          </w:tcPr>
          <w:p>
            <w:pPr>
              <w:ind w:left="1120"/>
              <w:spacing w:after="0"/>
              <w:rPr>
                <w:sz w:val="20"/>
                <w:szCs w:val="20"/>
                <w:color w:val="auto"/>
              </w:rPr>
            </w:pPr>
            <w:r>
              <w:rPr>
                <w:rFonts w:ascii="Arial" w:cs="Arial" w:eastAsia="Arial" w:hAnsi="Arial"/>
                <w:sz w:val="14"/>
                <w:szCs w:val="14"/>
                <w:b w:val="1"/>
                <w:bCs w:val="1"/>
                <w:color w:val="FFFFFF"/>
              </w:rPr>
              <w:t>(a)</w:t>
            </w:r>
          </w:p>
        </w:tc>
        <w:tc>
          <w:tcPr>
            <w:tcW w:w="1400" w:type="dxa"/>
            <w:vAlign w:val="bottom"/>
            <w:tcBorders>
              <w:bottom w:val="single" w:sz="8" w:color="314A72"/>
              <w:right w:val="single" w:sz="8" w:color="314A72"/>
            </w:tcBorders>
            <w:shd w:val="clear" w:color="auto" w:fill="314A72"/>
          </w:tcPr>
          <w:p>
            <w:pPr>
              <w:jc w:val="center"/>
              <w:ind w:left="105"/>
              <w:spacing w:after="0"/>
              <w:rPr>
                <w:sz w:val="20"/>
                <w:szCs w:val="20"/>
                <w:color w:val="auto"/>
              </w:rPr>
            </w:pPr>
            <w:r>
              <w:rPr>
                <w:rFonts w:ascii="Arial" w:cs="Arial" w:eastAsia="Arial" w:hAnsi="Arial"/>
                <w:sz w:val="14"/>
                <w:szCs w:val="14"/>
                <w:b w:val="1"/>
                <w:bCs w:val="1"/>
                <w:color w:val="FFFFFF"/>
              </w:rPr>
              <w:t>(b)</w:t>
            </w:r>
          </w:p>
        </w:tc>
        <w:tc>
          <w:tcPr>
            <w:tcW w:w="440" w:type="dxa"/>
            <w:vAlign w:val="bottom"/>
            <w:tcBorders>
              <w:bottom w:val="single" w:sz="8" w:color="314A72"/>
            </w:tcBorders>
            <w:shd w:val="clear" w:color="auto" w:fill="314A72"/>
          </w:tcPr>
          <w:p>
            <w:pPr>
              <w:spacing w:after="0"/>
              <w:rPr>
                <w:sz w:val="18"/>
                <w:szCs w:val="18"/>
                <w:color w:val="auto"/>
              </w:rPr>
            </w:pPr>
          </w:p>
        </w:tc>
        <w:tc>
          <w:tcPr>
            <w:tcW w:w="780" w:type="dxa"/>
            <w:vAlign w:val="bottom"/>
            <w:tcBorders>
              <w:bottom w:val="single" w:sz="8" w:color="314A72"/>
              <w:right w:val="single" w:sz="8" w:color="314A72"/>
            </w:tcBorders>
            <w:shd w:val="clear" w:color="auto" w:fill="314A72"/>
          </w:tcPr>
          <w:p>
            <w:pPr>
              <w:jc w:val="center"/>
              <w:ind w:right="203"/>
              <w:spacing w:after="0"/>
              <w:rPr>
                <w:sz w:val="20"/>
                <w:szCs w:val="20"/>
                <w:color w:val="auto"/>
              </w:rPr>
            </w:pPr>
            <w:r>
              <w:rPr>
                <w:rFonts w:ascii="Arial" w:cs="Arial" w:eastAsia="Arial" w:hAnsi="Arial"/>
                <w:sz w:val="14"/>
                <w:szCs w:val="14"/>
                <w:b w:val="1"/>
                <w:bCs w:val="1"/>
                <w:color w:val="FFFFFF"/>
              </w:rPr>
              <w:t>(c)</w:t>
            </w:r>
          </w:p>
        </w:tc>
        <w:tc>
          <w:tcPr>
            <w:tcW w:w="20" w:type="dxa"/>
            <w:vAlign w:val="bottom"/>
            <w:tcBorders>
              <w:bottom w:val="single" w:sz="8" w:color="314A72"/>
            </w:tcBorders>
            <w:shd w:val="clear" w:color="auto" w:fill="314A72"/>
          </w:tcPr>
          <w:p>
            <w:pPr>
              <w:spacing w:after="0"/>
              <w:rPr>
                <w:sz w:val="18"/>
                <w:szCs w:val="18"/>
                <w:color w:val="auto"/>
              </w:rPr>
            </w:pPr>
          </w:p>
        </w:tc>
        <w:tc>
          <w:tcPr>
            <w:tcW w:w="1360" w:type="dxa"/>
            <w:vAlign w:val="bottom"/>
            <w:tcBorders>
              <w:bottom w:val="single" w:sz="8" w:color="314A72"/>
              <w:right w:val="single" w:sz="8" w:color="314A72"/>
            </w:tcBorders>
            <w:shd w:val="clear" w:color="auto" w:fill="314A72"/>
          </w:tcPr>
          <w:p>
            <w:pPr>
              <w:jc w:val="center"/>
              <w:ind w:left="65"/>
              <w:spacing w:after="0"/>
              <w:rPr>
                <w:sz w:val="20"/>
                <w:szCs w:val="20"/>
                <w:color w:val="auto"/>
              </w:rPr>
            </w:pPr>
            <w:r>
              <w:rPr>
                <w:rFonts w:ascii="Arial" w:cs="Arial" w:eastAsia="Arial" w:hAnsi="Arial"/>
                <w:sz w:val="14"/>
                <w:szCs w:val="14"/>
                <w:b w:val="1"/>
                <w:bCs w:val="1"/>
                <w:color w:val="FFFFFF"/>
              </w:rPr>
              <w:t>(d)</w:t>
            </w:r>
          </w:p>
        </w:tc>
        <w:tc>
          <w:tcPr>
            <w:tcW w:w="1080" w:type="dxa"/>
            <w:vAlign w:val="bottom"/>
            <w:tcBorders>
              <w:bottom w:val="single" w:sz="8" w:color="314A72"/>
              <w:right w:val="single" w:sz="8" w:color="314A72"/>
            </w:tcBorders>
            <w:shd w:val="clear" w:color="auto" w:fill="314A72"/>
          </w:tcPr>
          <w:p>
            <w:pPr>
              <w:jc w:val="center"/>
              <w:ind w:left="84"/>
              <w:spacing w:after="0"/>
              <w:rPr>
                <w:sz w:val="20"/>
                <w:szCs w:val="20"/>
                <w:color w:val="auto"/>
              </w:rPr>
            </w:pPr>
            <w:r>
              <w:rPr>
                <w:rFonts w:ascii="Arial" w:cs="Arial" w:eastAsia="Arial" w:hAnsi="Arial"/>
                <w:sz w:val="14"/>
                <w:szCs w:val="14"/>
                <w:b w:val="1"/>
                <w:bCs w:val="1"/>
                <w:color w:val="FFFFFF"/>
                <w:w w:val="93"/>
              </w:rPr>
              <w:t>(e)</w:t>
            </w:r>
          </w:p>
        </w:tc>
        <w:tc>
          <w:tcPr>
            <w:tcW w:w="1080" w:type="dxa"/>
            <w:vAlign w:val="bottom"/>
            <w:tcBorders>
              <w:bottom w:val="single" w:sz="8" w:color="314A72"/>
              <w:right w:val="single" w:sz="8" w:color="314A72"/>
            </w:tcBorders>
            <w:shd w:val="clear" w:color="auto" w:fill="314A72"/>
          </w:tcPr>
          <w:p>
            <w:pPr>
              <w:jc w:val="center"/>
              <w:ind w:left="84"/>
              <w:spacing w:after="0"/>
              <w:rPr>
                <w:sz w:val="20"/>
                <w:szCs w:val="20"/>
                <w:color w:val="auto"/>
              </w:rPr>
            </w:pPr>
            <w:r>
              <w:rPr>
                <w:rFonts w:ascii="Arial" w:cs="Arial" w:eastAsia="Arial" w:hAnsi="Arial"/>
                <w:sz w:val="14"/>
                <w:szCs w:val="14"/>
                <w:b w:val="1"/>
                <w:bCs w:val="1"/>
                <w:color w:val="FFFFFF"/>
                <w:w w:val="85"/>
              </w:rPr>
              <w:t>(f)</w:t>
            </w:r>
          </w:p>
        </w:tc>
        <w:tc>
          <w:tcPr>
            <w:tcW w:w="1060" w:type="dxa"/>
            <w:vAlign w:val="bottom"/>
            <w:tcBorders>
              <w:bottom w:val="single" w:sz="8" w:color="314A72"/>
            </w:tcBorders>
            <w:shd w:val="clear" w:color="auto" w:fill="314A72"/>
          </w:tcPr>
          <w:p>
            <w:pPr>
              <w:jc w:val="center"/>
              <w:ind w:left="123"/>
              <w:spacing w:after="0"/>
              <w:rPr>
                <w:sz w:val="20"/>
                <w:szCs w:val="20"/>
                <w:color w:val="auto"/>
              </w:rPr>
            </w:pPr>
            <w:r>
              <w:rPr>
                <w:rFonts w:ascii="Arial" w:cs="Arial" w:eastAsia="Arial" w:hAnsi="Arial"/>
                <w:sz w:val="14"/>
                <w:szCs w:val="14"/>
                <w:b w:val="1"/>
                <w:bCs w:val="1"/>
                <w:color w:val="FFFFFF"/>
              </w:rPr>
              <w:t>(g)</w:t>
            </w:r>
          </w:p>
        </w:tc>
      </w:tr>
      <w:tr>
        <w:trPr>
          <w:trHeight w:val="272"/>
        </w:trPr>
        <w:tc>
          <w:tcPr>
            <w:tcW w:w="27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  Robert B. Hevert</w:t>
            </w:r>
          </w:p>
        </w:tc>
        <w:tc>
          <w:tcPr>
            <w:tcW w:w="1400" w:type="dxa"/>
            <w:vAlign w:val="bottom"/>
            <w:tcBorders>
              <w:top w:val="single" w:sz="8" w:color="auto"/>
              <w:bottom w:val="single" w:sz="8" w:color="auto"/>
            </w:tcBorders>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78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36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spacing w:after="0"/>
              <w:rPr>
                <w:sz w:val="23"/>
                <w:szCs w:val="23"/>
                <w:color w:val="auto"/>
              </w:rPr>
            </w:pPr>
          </w:p>
        </w:tc>
      </w:tr>
      <w:tr>
        <w:trPr>
          <w:trHeight w:val="170"/>
        </w:trPr>
        <w:tc>
          <w:tcPr>
            <w:tcW w:w="2760" w:type="dxa"/>
            <w:vAlign w:val="bottom"/>
            <w:tcBorders>
              <w:right w:val="single" w:sz="8" w:color="auto"/>
            </w:tcBorders>
            <w:gridSpan w:val="2"/>
            <w:shd w:val="clear" w:color="auto" w:fill="F7AB6C"/>
          </w:tcPr>
          <w:p>
            <w:pPr>
              <w:spacing w:after="0" w:line="170" w:lineRule="exact"/>
              <w:rPr>
                <w:sz w:val="20"/>
                <w:szCs w:val="20"/>
                <w:color w:val="auto"/>
              </w:rPr>
            </w:pPr>
            <w:r>
              <w:rPr>
                <w:rFonts w:ascii="Arial" w:cs="Arial" w:eastAsia="Arial" w:hAnsi="Arial"/>
                <w:sz w:val="16"/>
                <w:szCs w:val="16"/>
                <w:b w:val="1"/>
                <w:bCs w:val="1"/>
                <w:color w:val="auto"/>
              </w:rPr>
              <w:t>  Compensation:</w:t>
            </w:r>
          </w:p>
        </w:tc>
        <w:tc>
          <w:tcPr>
            <w:tcW w:w="140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r>
      <w:tr>
        <w:trPr>
          <w:trHeight w:val="205"/>
        </w:trPr>
        <w:tc>
          <w:tcPr>
            <w:tcW w:w="160" w:type="dxa"/>
            <w:vAlign w:val="bottom"/>
            <w:shd w:val="clear" w:color="auto" w:fill="F7AB6C"/>
          </w:tcPr>
          <w:p>
            <w:pPr>
              <w:spacing w:after="0"/>
              <w:rPr>
                <w:sz w:val="17"/>
                <w:szCs w:val="17"/>
                <w:color w:val="auto"/>
              </w:rPr>
            </w:pPr>
          </w:p>
        </w:tc>
        <w:tc>
          <w:tcPr>
            <w:tcW w:w="2600" w:type="dxa"/>
            <w:vAlign w:val="bottom"/>
            <w:tcBorders>
              <w:right w:val="single" w:sz="8" w:color="auto"/>
            </w:tcBorders>
            <w:shd w:val="clear" w:color="auto" w:fill="F7AB6C"/>
          </w:tcPr>
          <w:p>
            <w:pPr>
              <w:ind w:left="120"/>
              <w:spacing w:after="0"/>
              <w:rPr>
                <w:sz w:val="20"/>
                <w:szCs w:val="20"/>
                <w:color w:val="auto"/>
              </w:rPr>
            </w:pPr>
            <w:r>
              <w:rPr>
                <w:rFonts w:ascii="Arial" w:cs="Arial" w:eastAsia="Arial" w:hAnsi="Arial"/>
                <w:sz w:val="16"/>
                <w:szCs w:val="16"/>
                <w:color w:val="auto"/>
              </w:rPr>
              <w:t>Severance</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780" w:type="dxa"/>
            <w:vAlign w:val="bottom"/>
            <w:tcBorders>
              <w:right w:val="single" w:sz="8" w:color="auto"/>
            </w:tcBorders>
          </w:tcPr>
          <w:p>
            <w:pPr>
              <w:jc w:val="center"/>
              <w:ind w:right="143"/>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7"/>
                <w:szCs w:val="17"/>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ind w:left="163"/>
              <w:spacing w:after="0"/>
              <w:rPr>
                <w:sz w:val="20"/>
                <w:szCs w:val="20"/>
                <w:color w:val="auto"/>
              </w:rPr>
            </w:pPr>
            <w:r>
              <w:rPr>
                <w:rFonts w:ascii="Arial" w:cs="Arial" w:eastAsia="Arial" w:hAnsi="Arial"/>
                <w:sz w:val="16"/>
                <w:szCs w:val="16"/>
                <w:color w:val="auto"/>
                <w:w w:val="97"/>
              </w:rPr>
              <w:t>$1,605,209</w:t>
            </w:r>
          </w:p>
        </w:tc>
      </w:tr>
      <w:tr>
        <w:trPr>
          <w:trHeight w:val="288"/>
        </w:trPr>
        <w:tc>
          <w:tcPr>
            <w:tcW w:w="160" w:type="dxa"/>
            <w:vAlign w:val="bottom"/>
            <w:tcBorders>
              <w:bottom w:val="single" w:sz="8" w:color="F7AB6C"/>
            </w:tcBorders>
            <w:shd w:val="clear" w:color="auto" w:fill="F7AB6C"/>
          </w:tcPr>
          <w:p>
            <w:pPr>
              <w:spacing w:after="0"/>
              <w:rPr>
                <w:sz w:val="24"/>
                <w:szCs w:val="24"/>
                <w:color w:val="auto"/>
              </w:rPr>
            </w:pPr>
          </w:p>
        </w:tc>
        <w:tc>
          <w:tcPr>
            <w:tcW w:w="2600" w:type="dxa"/>
            <w:vAlign w:val="bottom"/>
            <w:tcBorders>
              <w:bottom w:val="single" w:sz="8" w:color="F7AB6C"/>
              <w:right w:val="single" w:sz="8" w:color="auto"/>
            </w:tcBorders>
            <w:shd w:val="clear" w:color="auto" w:fill="F7AB6C"/>
          </w:tcPr>
          <w:p>
            <w:pPr>
              <w:ind w:left="120"/>
              <w:spacing w:after="0"/>
              <w:rPr>
                <w:sz w:val="20"/>
                <w:szCs w:val="20"/>
                <w:color w:val="auto"/>
              </w:rPr>
            </w:pPr>
            <w:r>
              <w:rPr>
                <w:rFonts w:ascii="Arial" w:cs="Arial" w:eastAsia="Arial" w:hAnsi="Arial"/>
                <w:sz w:val="16"/>
                <w:szCs w:val="16"/>
                <w:color w:val="auto"/>
              </w:rPr>
              <w:t>2025 Cash Incentive Plan Award</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gridSpan w:val="2"/>
          </w:tcPr>
          <w:p>
            <w:pPr>
              <w:jc w:val="center"/>
              <w:ind w:left="145"/>
              <w:spacing w:after="0"/>
              <w:rPr>
                <w:sz w:val="20"/>
                <w:szCs w:val="20"/>
                <w:color w:val="auto"/>
              </w:rPr>
            </w:pPr>
            <w:r>
              <w:rPr>
                <w:rFonts w:ascii="Arial" w:cs="Arial" w:eastAsia="Arial" w:hAnsi="Arial"/>
                <w:sz w:val="16"/>
                <w:szCs w:val="16"/>
                <w:color w:val="auto"/>
                <w:w w:val="95"/>
              </w:rPr>
              <w:t>$332,910</w:t>
            </w:r>
          </w:p>
        </w:tc>
        <w:tc>
          <w:tcPr>
            <w:tcW w:w="20" w:type="dxa"/>
            <w:vAlign w:val="bottom"/>
          </w:tcPr>
          <w:p>
            <w:pPr>
              <w:spacing w:after="0"/>
              <w:rPr>
                <w:sz w:val="24"/>
                <w:szCs w:val="24"/>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44"/>
              <w:spacing w:after="0"/>
              <w:rPr>
                <w:sz w:val="20"/>
                <w:szCs w:val="20"/>
                <w:color w:val="auto"/>
              </w:rPr>
            </w:pPr>
            <w:r>
              <w:rPr>
                <w:rFonts w:ascii="Arial" w:cs="Arial" w:eastAsia="Arial" w:hAnsi="Arial"/>
                <w:sz w:val="16"/>
                <w:szCs w:val="16"/>
                <w:color w:val="auto"/>
                <w:w w:val="98"/>
              </w:rPr>
              <w:t>$332,910</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ind w:left="183"/>
              <w:spacing w:after="0"/>
              <w:rPr>
                <w:sz w:val="20"/>
                <w:szCs w:val="20"/>
                <w:color w:val="auto"/>
              </w:rPr>
            </w:pPr>
            <w:r>
              <w:rPr>
                <w:rFonts w:ascii="Arial" w:cs="Arial" w:eastAsia="Arial" w:hAnsi="Arial"/>
                <w:sz w:val="16"/>
                <w:szCs w:val="16"/>
                <w:color w:val="auto"/>
                <w:w w:val="99"/>
              </w:rPr>
              <w:t>—</w:t>
            </w:r>
          </w:p>
        </w:tc>
      </w:tr>
      <w:tr>
        <w:trPr>
          <w:trHeight w:val="163"/>
        </w:trPr>
        <w:tc>
          <w:tcPr>
            <w:tcW w:w="2760" w:type="dxa"/>
            <w:vAlign w:val="bottom"/>
            <w:tcBorders>
              <w:top w:val="single" w:sz="8" w:color="auto"/>
              <w:right w:val="single" w:sz="8" w:color="auto"/>
            </w:tcBorders>
            <w:gridSpan w:val="2"/>
            <w:shd w:val="clear" w:color="auto" w:fill="F7AB6C"/>
          </w:tcPr>
          <w:p>
            <w:pPr>
              <w:spacing w:after="0" w:line="163" w:lineRule="exact"/>
              <w:rPr>
                <w:sz w:val="20"/>
                <w:szCs w:val="20"/>
                <w:color w:val="auto"/>
              </w:rPr>
            </w:pPr>
            <w:r>
              <w:rPr>
                <w:rFonts w:ascii="Arial" w:cs="Arial" w:eastAsia="Arial" w:hAnsi="Arial"/>
                <w:sz w:val="16"/>
                <w:szCs w:val="16"/>
                <w:b w:val="1"/>
                <w:bCs w:val="1"/>
                <w:color w:val="auto"/>
              </w:rPr>
              <w:t>  Benefits:</w:t>
            </w:r>
          </w:p>
        </w:tc>
        <w:tc>
          <w:tcPr>
            <w:tcW w:w="1400" w:type="dxa"/>
            <w:vAlign w:val="bottom"/>
            <w:tcBorders>
              <w:top w:val="single" w:sz="8" w:color="auto"/>
              <w:right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360" w:type="dxa"/>
            <w:vAlign w:val="bottom"/>
            <w:tcBorders>
              <w:top w:val="single" w:sz="8" w:color="auto"/>
              <w:right w:val="single" w:sz="8" w:color="auto"/>
            </w:tcBorders>
          </w:tcPr>
          <w:p>
            <w:pPr>
              <w:spacing w:after="0"/>
              <w:rPr>
                <w:sz w:val="14"/>
                <w:szCs w:val="14"/>
                <w:color w:val="auto"/>
              </w:rPr>
            </w:pPr>
          </w:p>
        </w:tc>
        <w:tc>
          <w:tcPr>
            <w:tcW w:w="1080" w:type="dxa"/>
            <w:vAlign w:val="bottom"/>
            <w:tcBorders>
              <w:top w:val="single" w:sz="8" w:color="auto"/>
              <w:right w:val="single" w:sz="8" w:color="auto"/>
            </w:tcBorders>
          </w:tcPr>
          <w:p>
            <w:pPr>
              <w:spacing w:after="0"/>
              <w:rPr>
                <w:sz w:val="14"/>
                <w:szCs w:val="14"/>
                <w:color w:val="auto"/>
              </w:rPr>
            </w:pPr>
          </w:p>
        </w:tc>
        <w:tc>
          <w:tcPr>
            <w:tcW w:w="1080" w:type="dxa"/>
            <w:vAlign w:val="bottom"/>
            <w:tcBorders>
              <w:top w:val="single" w:sz="8" w:color="auto"/>
              <w:right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247"/>
        </w:trPr>
        <w:tc>
          <w:tcPr>
            <w:tcW w:w="160" w:type="dxa"/>
            <w:vAlign w:val="bottom"/>
            <w:shd w:val="clear" w:color="auto" w:fill="F7AB6C"/>
          </w:tcPr>
          <w:p>
            <w:pPr>
              <w:spacing w:after="0"/>
              <w:rPr>
                <w:sz w:val="21"/>
                <w:szCs w:val="21"/>
                <w:color w:val="auto"/>
              </w:rPr>
            </w:pPr>
          </w:p>
        </w:tc>
        <w:tc>
          <w:tcPr>
            <w:tcW w:w="2600" w:type="dxa"/>
            <w:vAlign w:val="bottom"/>
            <w:tcBorders>
              <w:right w:val="single" w:sz="8" w:color="auto"/>
            </w:tcBorders>
            <w:shd w:val="clear" w:color="auto" w:fill="F7AB6C"/>
          </w:tcPr>
          <w:p>
            <w:pPr>
              <w:ind w:left="120"/>
              <w:spacing w:after="0" w:line="247" w:lineRule="exact"/>
              <w:rPr>
                <w:sz w:val="20"/>
                <w:szCs w:val="20"/>
                <w:color w:val="auto"/>
              </w:rPr>
            </w:pPr>
            <w:r>
              <w:rPr>
                <w:rFonts w:ascii="Arial" w:cs="Arial" w:eastAsia="Arial" w:hAnsi="Arial"/>
                <w:sz w:val="16"/>
                <w:szCs w:val="16"/>
                <w:color w:val="auto"/>
              </w:rPr>
              <w:t xml:space="preserve">Additional Pension Benefit </w:t>
            </w:r>
            <w:r>
              <w:rPr>
                <w:rFonts w:ascii="Arial" w:cs="Arial" w:eastAsia="Arial" w:hAnsi="Arial"/>
                <w:sz w:val="23"/>
                <w:szCs w:val="23"/>
                <w:i w:val="1"/>
                <w:iCs w:val="1"/>
                <w:color w:val="auto"/>
                <w:vertAlign w:val="superscript"/>
              </w:rPr>
              <w:t>(7)</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780" w:type="dxa"/>
            <w:vAlign w:val="bottom"/>
            <w:tcBorders>
              <w:right w:val="single" w:sz="8" w:color="auto"/>
            </w:tcBorders>
          </w:tcPr>
          <w:p>
            <w:pPr>
              <w:jc w:val="center"/>
              <w:ind w:right="143"/>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21"/>
                <w:szCs w:val="21"/>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ind w:left="183"/>
              <w:spacing w:after="0"/>
              <w:rPr>
                <w:sz w:val="20"/>
                <w:szCs w:val="20"/>
                <w:color w:val="auto"/>
              </w:rPr>
            </w:pPr>
            <w:r>
              <w:rPr>
                <w:rFonts w:ascii="Arial" w:cs="Arial" w:eastAsia="Arial" w:hAnsi="Arial"/>
                <w:sz w:val="16"/>
                <w:szCs w:val="16"/>
                <w:color w:val="auto"/>
                <w:w w:val="99"/>
              </w:rPr>
              <w:t>—</w:t>
            </w:r>
          </w:p>
        </w:tc>
      </w:tr>
      <w:tr>
        <w:trPr>
          <w:trHeight w:val="205"/>
        </w:trPr>
        <w:tc>
          <w:tcPr>
            <w:tcW w:w="160" w:type="dxa"/>
            <w:vAlign w:val="bottom"/>
            <w:shd w:val="clear" w:color="auto" w:fill="F7AB6C"/>
          </w:tcPr>
          <w:p>
            <w:pPr>
              <w:spacing w:after="0"/>
              <w:rPr>
                <w:sz w:val="17"/>
                <w:szCs w:val="17"/>
                <w:color w:val="auto"/>
              </w:rPr>
            </w:pPr>
          </w:p>
        </w:tc>
        <w:tc>
          <w:tcPr>
            <w:tcW w:w="2600" w:type="dxa"/>
            <w:vAlign w:val="bottom"/>
            <w:tcBorders>
              <w:right w:val="single" w:sz="8" w:color="auto"/>
            </w:tcBorders>
            <w:shd w:val="clear" w:color="auto" w:fill="F7AB6C"/>
          </w:tcPr>
          <w:p>
            <w:pPr>
              <w:ind w:left="120"/>
              <w:spacing w:after="0"/>
              <w:rPr>
                <w:sz w:val="20"/>
                <w:szCs w:val="20"/>
                <w:color w:val="auto"/>
              </w:rPr>
            </w:pPr>
            <w:r>
              <w:rPr>
                <w:rFonts w:ascii="Arial" w:cs="Arial" w:eastAsia="Arial" w:hAnsi="Arial"/>
                <w:sz w:val="16"/>
                <w:szCs w:val="16"/>
                <w:color w:val="auto"/>
              </w:rPr>
              <w:t>Additional 401(k) Match</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780" w:type="dxa"/>
            <w:vAlign w:val="bottom"/>
            <w:tcBorders>
              <w:right w:val="single" w:sz="8" w:color="auto"/>
            </w:tcBorders>
          </w:tcPr>
          <w:p>
            <w:pPr>
              <w:jc w:val="center"/>
              <w:ind w:right="143"/>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7"/>
                <w:szCs w:val="17"/>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      $68,279</w:t>
            </w:r>
          </w:p>
        </w:tc>
      </w:tr>
      <w:tr>
        <w:trPr>
          <w:trHeight w:val="289"/>
        </w:trPr>
        <w:tc>
          <w:tcPr>
            <w:tcW w:w="160" w:type="dxa"/>
            <w:vAlign w:val="bottom"/>
            <w:shd w:val="clear" w:color="auto" w:fill="F7AB6C"/>
          </w:tcPr>
          <w:p>
            <w:pPr>
              <w:spacing w:after="0"/>
              <w:rPr>
                <w:sz w:val="24"/>
                <w:szCs w:val="24"/>
                <w:color w:val="auto"/>
              </w:rPr>
            </w:pPr>
          </w:p>
        </w:tc>
        <w:tc>
          <w:tcPr>
            <w:tcW w:w="2600" w:type="dxa"/>
            <w:vAlign w:val="bottom"/>
            <w:tcBorders>
              <w:right w:val="single" w:sz="8" w:color="auto"/>
            </w:tcBorders>
            <w:shd w:val="clear" w:color="auto" w:fill="F7AB6C"/>
          </w:tcPr>
          <w:p>
            <w:pPr>
              <w:ind w:left="120"/>
              <w:spacing w:after="0"/>
              <w:rPr>
                <w:sz w:val="20"/>
                <w:szCs w:val="20"/>
                <w:color w:val="auto"/>
              </w:rPr>
            </w:pPr>
            <w:r>
              <w:rPr>
                <w:rFonts w:ascii="Arial" w:cs="Arial" w:eastAsia="Arial" w:hAnsi="Arial"/>
                <w:sz w:val="16"/>
                <w:szCs w:val="16"/>
                <w:color w:val="auto"/>
              </w:rPr>
              <w:t xml:space="preserve">Insurance Continuation </w:t>
            </w:r>
            <w:r>
              <w:rPr>
                <w:rFonts w:ascii="Arial" w:cs="Arial" w:eastAsia="Arial" w:hAnsi="Arial"/>
                <w:sz w:val="23"/>
                <w:szCs w:val="23"/>
                <w:i w:val="1"/>
                <w:iCs w:val="1"/>
                <w:color w:val="auto"/>
                <w:vertAlign w:val="superscript"/>
              </w:rPr>
              <w:t>(8)</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780" w:type="dxa"/>
            <w:vAlign w:val="bottom"/>
            <w:tcBorders>
              <w:right w:val="single" w:sz="8" w:color="auto"/>
            </w:tcBorders>
          </w:tcPr>
          <w:p>
            <w:pPr>
              <w:jc w:val="center"/>
              <w:ind w:right="143"/>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24"/>
                <w:szCs w:val="24"/>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        $3,659</w:t>
            </w:r>
          </w:p>
        </w:tc>
      </w:tr>
      <w:tr>
        <w:trPr>
          <w:trHeight w:val="182"/>
        </w:trPr>
        <w:tc>
          <w:tcPr>
            <w:tcW w:w="160" w:type="dxa"/>
            <w:vAlign w:val="bottom"/>
            <w:shd w:val="clear" w:color="auto" w:fill="F7AB6C"/>
          </w:tcPr>
          <w:p>
            <w:pPr>
              <w:spacing w:after="0"/>
              <w:rPr>
                <w:sz w:val="15"/>
                <w:szCs w:val="15"/>
                <w:color w:val="auto"/>
              </w:rPr>
            </w:pPr>
          </w:p>
        </w:tc>
        <w:tc>
          <w:tcPr>
            <w:tcW w:w="2600" w:type="dxa"/>
            <w:vAlign w:val="bottom"/>
            <w:tcBorders>
              <w:right w:val="single" w:sz="8" w:color="auto"/>
            </w:tcBorders>
            <w:shd w:val="clear" w:color="auto" w:fill="F7AB6C"/>
          </w:tcPr>
          <w:p>
            <w:pPr>
              <w:ind w:left="120"/>
              <w:spacing w:after="0" w:line="182" w:lineRule="exact"/>
              <w:rPr>
                <w:sz w:val="20"/>
                <w:szCs w:val="20"/>
                <w:color w:val="auto"/>
              </w:rPr>
            </w:pPr>
            <w:r>
              <w:rPr>
                <w:rFonts w:ascii="Arial" w:cs="Arial" w:eastAsia="Arial" w:hAnsi="Arial"/>
                <w:sz w:val="16"/>
                <w:szCs w:val="16"/>
                <w:color w:val="auto"/>
              </w:rPr>
              <w:t>Accelerated Vesting - Restricted</w:t>
            </w:r>
          </w:p>
        </w:tc>
        <w:tc>
          <w:tcPr>
            <w:tcW w:w="140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r>
      <w:tr>
        <w:trPr>
          <w:trHeight w:val="246"/>
        </w:trPr>
        <w:tc>
          <w:tcPr>
            <w:tcW w:w="160" w:type="dxa"/>
            <w:vAlign w:val="bottom"/>
            <w:tcBorders>
              <w:bottom w:val="single" w:sz="8" w:color="auto"/>
            </w:tcBorders>
            <w:shd w:val="clear" w:color="auto" w:fill="F7AB6C"/>
          </w:tcPr>
          <w:p>
            <w:pPr>
              <w:spacing w:after="0"/>
              <w:rPr>
                <w:sz w:val="21"/>
                <w:szCs w:val="21"/>
                <w:color w:val="auto"/>
              </w:rPr>
            </w:pPr>
          </w:p>
        </w:tc>
        <w:tc>
          <w:tcPr>
            <w:tcW w:w="2600" w:type="dxa"/>
            <w:vAlign w:val="bottom"/>
            <w:tcBorders>
              <w:bottom w:val="single" w:sz="8" w:color="auto"/>
              <w:right w:val="single" w:sz="8" w:color="auto"/>
            </w:tcBorders>
            <w:shd w:val="clear" w:color="auto" w:fill="F7AB6C"/>
          </w:tcPr>
          <w:p>
            <w:pPr>
              <w:ind w:left="120"/>
              <w:spacing w:after="0" w:line="246" w:lineRule="exact"/>
              <w:rPr>
                <w:sz w:val="20"/>
                <w:szCs w:val="20"/>
                <w:color w:val="auto"/>
              </w:rPr>
            </w:pPr>
            <w:r>
              <w:rPr>
                <w:rFonts w:ascii="Arial" w:cs="Arial" w:eastAsia="Arial" w:hAnsi="Arial"/>
                <w:sz w:val="16"/>
                <w:szCs w:val="16"/>
                <w:color w:val="auto"/>
              </w:rPr>
              <w:t xml:space="preserve">Stock </w:t>
            </w:r>
            <w:r>
              <w:rPr>
                <w:rFonts w:ascii="Arial" w:cs="Arial" w:eastAsia="Arial" w:hAnsi="Arial"/>
                <w:sz w:val="23"/>
                <w:szCs w:val="23"/>
                <w:i w:val="1"/>
                <w:iCs w:val="1"/>
                <w:color w:val="auto"/>
                <w:vertAlign w:val="superscript"/>
              </w:rPr>
              <w:t>(9)</w:t>
            </w:r>
          </w:p>
        </w:tc>
        <w:tc>
          <w:tcPr>
            <w:tcW w:w="140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gridSpan w:val="2"/>
          </w:tcPr>
          <w:p>
            <w:pPr>
              <w:jc w:val="center"/>
              <w:ind w:left="85"/>
              <w:spacing w:after="0"/>
              <w:rPr>
                <w:sz w:val="20"/>
                <w:szCs w:val="20"/>
                <w:color w:val="auto"/>
              </w:rPr>
            </w:pPr>
            <w:r>
              <w:rPr>
                <w:rFonts w:ascii="Arial" w:cs="Arial" w:eastAsia="Arial" w:hAnsi="Arial"/>
                <w:sz w:val="16"/>
                <w:szCs w:val="16"/>
                <w:color w:val="auto"/>
                <w:w w:val="92"/>
              </w:rPr>
              <w:t>    $776,203</w:t>
            </w:r>
          </w:p>
        </w:tc>
        <w:tc>
          <w:tcPr>
            <w:tcW w:w="2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6"/>
                <w:szCs w:val="16"/>
                <w:color w:val="auto"/>
                <w:w w:val="94"/>
              </w:rPr>
              <w:t>    $776,203</w:t>
            </w:r>
          </w:p>
        </w:tc>
        <w:tc>
          <w:tcPr>
            <w:tcW w:w="1080" w:type="dxa"/>
            <w:vAlign w:val="bottom"/>
            <w:tcBorders>
              <w:bottom w:val="single" w:sz="8" w:color="auto"/>
              <w:right w:val="single" w:sz="8" w:color="auto"/>
            </w:tcBorders>
          </w:tcPr>
          <w:p>
            <w:pPr>
              <w:jc w:val="center"/>
              <w:ind w:left="144"/>
              <w:spacing w:after="0"/>
              <w:rPr>
                <w:sz w:val="20"/>
                <w:szCs w:val="20"/>
                <w:color w:val="auto"/>
              </w:rPr>
            </w:pPr>
            <w:r>
              <w:rPr>
                <w:rFonts w:ascii="Arial" w:cs="Arial" w:eastAsia="Arial" w:hAnsi="Arial"/>
                <w:sz w:val="16"/>
                <w:szCs w:val="16"/>
                <w:color w:val="auto"/>
                <w:w w:val="98"/>
              </w:rPr>
              <w:t>$776,203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$776,203</w:t>
            </w:r>
          </w:p>
        </w:tc>
      </w:tr>
      <w:tr>
        <w:trPr>
          <w:trHeight w:val="357"/>
        </w:trPr>
        <w:tc>
          <w:tcPr>
            <w:tcW w:w="2760" w:type="dxa"/>
            <w:vAlign w:val="bottom"/>
            <w:tcBorders>
              <w:bottom w:val="single" w:sz="8" w:color="F7AB6C"/>
              <w:right w:val="single" w:sz="8" w:color="auto"/>
            </w:tcBorders>
            <w:gridSpan w:val="2"/>
            <w:shd w:val="clear" w:color="auto" w:fill="F7AB6C"/>
          </w:tcPr>
          <w:p>
            <w:pPr>
              <w:spacing w:after="0"/>
              <w:rPr>
                <w:sz w:val="20"/>
                <w:szCs w:val="20"/>
                <w:color w:val="auto"/>
              </w:rPr>
            </w:pPr>
            <w:r>
              <w:rPr>
                <w:rFonts w:ascii="Arial" w:cs="Arial" w:eastAsia="Arial" w:hAnsi="Arial"/>
                <w:sz w:val="16"/>
                <w:szCs w:val="16"/>
                <w:b w:val="1"/>
                <w:bCs w:val="1"/>
                <w:color w:val="auto"/>
              </w:rPr>
              <w:t>  Total</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gridSpan w:val="2"/>
          </w:tcPr>
          <w:p>
            <w:pPr>
              <w:jc w:val="center"/>
              <w:ind w:left="145"/>
              <w:spacing w:after="0"/>
              <w:rPr>
                <w:sz w:val="20"/>
                <w:szCs w:val="20"/>
                <w:color w:val="auto"/>
              </w:rPr>
            </w:pPr>
            <w:r>
              <w:rPr>
                <w:rFonts w:ascii="Arial" w:cs="Arial" w:eastAsia="Arial" w:hAnsi="Arial"/>
                <w:sz w:val="16"/>
                <w:szCs w:val="16"/>
                <w:color w:val="auto"/>
                <w:w w:val="94"/>
              </w:rPr>
              <w:t>$1,109,113</w:t>
            </w:r>
          </w:p>
        </w:tc>
        <w:tc>
          <w:tcPr>
            <w:tcW w:w="20" w:type="dxa"/>
            <w:vAlign w:val="bottom"/>
          </w:tcPr>
          <w:p>
            <w:pPr>
              <w:spacing w:after="0"/>
              <w:rPr>
                <w:sz w:val="24"/>
                <w:szCs w:val="24"/>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44"/>
              <w:spacing w:after="0"/>
              <w:rPr>
                <w:sz w:val="20"/>
                <w:szCs w:val="20"/>
                <w:color w:val="auto"/>
              </w:rPr>
            </w:pPr>
            <w:r>
              <w:rPr>
                <w:rFonts w:ascii="Arial" w:cs="Arial" w:eastAsia="Arial" w:hAnsi="Arial"/>
                <w:sz w:val="16"/>
                <w:szCs w:val="16"/>
                <w:color w:val="auto"/>
                <w:w w:val="97"/>
              </w:rPr>
              <w:t>$1,109,113</w:t>
            </w:r>
          </w:p>
        </w:tc>
        <w:tc>
          <w:tcPr>
            <w:tcW w:w="1080" w:type="dxa"/>
            <w:vAlign w:val="bottom"/>
            <w:tcBorders>
              <w:right w:val="single" w:sz="8" w:color="auto"/>
            </w:tcBorders>
          </w:tcPr>
          <w:p>
            <w:pPr>
              <w:jc w:val="center"/>
              <w:ind w:left="144"/>
              <w:spacing w:after="0"/>
              <w:rPr>
                <w:sz w:val="20"/>
                <w:szCs w:val="20"/>
                <w:color w:val="auto"/>
              </w:rPr>
            </w:pPr>
            <w:r>
              <w:rPr>
                <w:rFonts w:ascii="Arial" w:cs="Arial" w:eastAsia="Arial" w:hAnsi="Arial"/>
                <w:sz w:val="16"/>
                <w:szCs w:val="16"/>
                <w:color w:val="auto"/>
                <w:w w:val="98"/>
              </w:rPr>
              <w:t>$776,203</w:t>
            </w:r>
          </w:p>
        </w:tc>
        <w:tc>
          <w:tcPr>
            <w:tcW w:w="1060" w:type="dxa"/>
            <w:vAlign w:val="bottom"/>
          </w:tcPr>
          <w:p>
            <w:pPr>
              <w:jc w:val="center"/>
              <w:ind w:left="163"/>
              <w:spacing w:after="0"/>
              <w:rPr>
                <w:sz w:val="20"/>
                <w:szCs w:val="20"/>
                <w:color w:val="auto"/>
              </w:rPr>
            </w:pPr>
            <w:r>
              <w:rPr>
                <w:rFonts w:ascii="Arial" w:cs="Arial" w:eastAsia="Arial" w:hAnsi="Arial"/>
                <w:sz w:val="16"/>
                <w:szCs w:val="16"/>
                <w:color w:val="auto"/>
                <w:w w:val="97"/>
              </w:rPr>
              <w:t>$2,453,350</w:t>
            </w:r>
          </w:p>
        </w:tc>
      </w:tr>
      <w:tr>
        <w:trPr>
          <w:trHeight w:val="201"/>
        </w:trPr>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71"/>
              </w:rPr>
              <w:t> </w:t>
            </w:r>
          </w:p>
        </w:tc>
        <w:tc>
          <w:tcPr>
            <w:tcW w:w="2600" w:type="dxa"/>
            <w:vAlign w:val="bottom"/>
            <w:tcBorders>
              <w:top w:val="single" w:sz="8" w:color="auto"/>
              <w:bottom w:val="single" w:sz="8" w:color="auto"/>
            </w:tcBorders>
          </w:tcPr>
          <w:p>
            <w:pPr>
              <w:ind w:left="60"/>
              <w:spacing w:after="0" w:line="201" w:lineRule="exact"/>
              <w:rPr>
                <w:sz w:val="20"/>
                <w:szCs w:val="20"/>
                <w:color w:val="auto"/>
              </w:rPr>
            </w:pPr>
            <w:r>
              <w:rPr>
                <w:rFonts w:ascii="Arial" w:cs="Arial" w:eastAsia="Arial" w:hAnsi="Arial"/>
                <w:sz w:val="19"/>
                <w:szCs w:val="19"/>
                <w:color w:val="auto"/>
              </w:rPr>
              <w:t> </w:t>
            </w:r>
          </w:p>
        </w:tc>
        <w:tc>
          <w:tcPr>
            <w:tcW w:w="14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r>
      <w:tr>
        <w:trPr>
          <w:trHeight w:val="272"/>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  Daniel J. Hurstak</w:t>
            </w:r>
          </w:p>
        </w:tc>
        <w:tc>
          <w:tcPr>
            <w:tcW w:w="14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170"/>
        </w:trPr>
        <w:tc>
          <w:tcPr>
            <w:tcW w:w="2760" w:type="dxa"/>
            <w:vAlign w:val="bottom"/>
            <w:tcBorders>
              <w:right w:val="single" w:sz="8" w:color="auto"/>
            </w:tcBorders>
            <w:gridSpan w:val="2"/>
            <w:shd w:val="clear" w:color="auto" w:fill="F7AB6C"/>
          </w:tcPr>
          <w:p>
            <w:pPr>
              <w:spacing w:after="0" w:line="170" w:lineRule="exact"/>
              <w:rPr>
                <w:sz w:val="20"/>
                <w:szCs w:val="20"/>
                <w:color w:val="auto"/>
              </w:rPr>
            </w:pPr>
            <w:r>
              <w:rPr>
                <w:rFonts w:ascii="Arial" w:cs="Arial" w:eastAsia="Arial" w:hAnsi="Arial"/>
                <w:sz w:val="16"/>
                <w:szCs w:val="16"/>
                <w:b w:val="1"/>
                <w:bCs w:val="1"/>
                <w:color w:val="auto"/>
              </w:rPr>
              <w:t>  Compensation:</w:t>
            </w:r>
          </w:p>
        </w:tc>
        <w:tc>
          <w:tcPr>
            <w:tcW w:w="140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r>
      <w:tr>
        <w:trPr>
          <w:trHeight w:val="205"/>
        </w:trPr>
        <w:tc>
          <w:tcPr>
            <w:tcW w:w="160" w:type="dxa"/>
            <w:vAlign w:val="bottom"/>
            <w:shd w:val="clear" w:color="auto" w:fill="F7AB6C"/>
          </w:tcPr>
          <w:p>
            <w:pPr>
              <w:spacing w:after="0"/>
              <w:rPr>
                <w:sz w:val="17"/>
                <w:szCs w:val="17"/>
                <w:color w:val="auto"/>
              </w:rPr>
            </w:pPr>
          </w:p>
        </w:tc>
        <w:tc>
          <w:tcPr>
            <w:tcW w:w="2600" w:type="dxa"/>
            <w:vAlign w:val="bottom"/>
            <w:tcBorders>
              <w:right w:val="single" w:sz="8" w:color="auto"/>
            </w:tcBorders>
            <w:shd w:val="clear" w:color="auto" w:fill="F7AB6C"/>
          </w:tcPr>
          <w:p>
            <w:pPr>
              <w:ind w:left="120"/>
              <w:spacing w:after="0"/>
              <w:rPr>
                <w:sz w:val="20"/>
                <w:szCs w:val="20"/>
                <w:color w:val="auto"/>
              </w:rPr>
            </w:pPr>
            <w:r>
              <w:rPr>
                <w:rFonts w:ascii="Arial" w:cs="Arial" w:eastAsia="Arial" w:hAnsi="Arial"/>
                <w:sz w:val="16"/>
                <w:szCs w:val="16"/>
                <w:color w:val="auto"/>
              </w:rPr>
              <w:t>Severance</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780" w:type="dxa"/>
            <w:vAlign w:val="bottom"/>
            <w:tcBorders>
              <w:right w:val="single" w:sz="8" w:color="auto"/>
            </w:tcBorders>
          </w:tcPr>
          <w:p>
            <w:pPr>
              <w:jc w:val="center"/>
              <w:ind w:right="143"/>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7"/>
                <w:szCs w:val="17"/>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ind w:left="163"/>
              <w:spacing w:after="0"/>
              <w:rPr>
                <w:sz w:val="20"/>
                <w:szCs w:val="20"/>
                <w:color w:val="auto"/>
              </w:rPr>
            </w:pPr>
            <w:r>
              <w:rPr>
                <w:rFonts w:ascii="Arial" w:cs="Arial" w:eastAsia="Arial" w:hAnsi="Arial"/>
                <w:sz w:val="16"/>
                <w:szCs w:val="16"/>
                <w:color w:val="auto"/>
                <w:w w:val="97"/>
              </w:rPr>
              <w:t>$1,124,452</w:t>
            </w:r>
          </w:p>
        </w:tc>
      </w:tr>
      <w:tr>
        <w:trPr>
          <w:trHeight w:val="288"/>
        </w:trPr>
        <w:tc>
          <w:tcPr>
            <w:tcW w:w="160" w:type="dxa"/>
            <w:vAlign w:val="bottom"/>
            <w:tcBorders>
              <w:bottom w:val="single" w:sz="8" w:color="F7AB6C"/>
            </w:tcBorders>
            <w:shd w:val="clear" w:color="auto" w:fill="F7AB6C"/>
          </w:tcPr>
          <w:p>
            <w:pPr>
              <w:spacing w:after="0"/>
              <w:rPr>
                <w:sz w:val="24"/>
                <w:szCs w:val="24"/>
                <w:color w:val="auto"/>
              </w:rPr>
            </w:pPr>
          </w:p>
        </w:tc>
        <w:tc>
          <w:tcPr>
            <w:tcW w:w="2600" w:type="dxa"/>
            <w:vAlign w:val="bottom"/>
            <w:tcBorders>
              <w:bottom w:val="single" w:sz="8" w:color="F7AB6C"/>
              <w:right w:val="single" w:sz="8" w:color="auto"/>
            </w:tcBorders>
            <w:shd w:val="clear" w:color="auto" w:fill="F7AB6C"/>
          </w:tcPr>
          <w:p>
            <w:pPr>
              <w:ind w:left="120"/>
              <w:spacing w:after="0"/>
              <w:rPr>
                <w:sz w:val="20"/>
                <w:szCs w:val="20"/>
                <w:color w:val="auto"/>
              </w:rPr>
            </w:pPr>
            <w:r>
              <w:rPr>
                <w:rFonts w:ascii="Arial" w:cs="Arial" w:eastAsia="Arial" w:hAnsi="Arial"/>
                <w:sz w:val="16"/>
                <w:szCs w:val="16"/>
                <w:color w:val="auto"/>
              </w:rPr>
              <w:t>2025 Cash Incentive Plan Award</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gridSpan w:val="2"/>
          </w:tcPr>
          <w:p>
            <w:pPr>
              <w:jc w:val="center"/>
              <w:ind w:left="145"/>
              <w:spacing w:after="0"/>
              <w:rPr>
                <w:sz w:val="20"/>
                <w:szCs w:val="20"/>
                <w:color w:val="auto"/>
              </w:rPr>
            </w:pPr>
            <w:r>
              <w:rPr>
                <w:rFonts w:ascii="Arial" w:cs="Arial" w:eastAsia="Arial" w:hAnsi="Arial"/>
                <w:sz w:val="16"/>
                <w:szCs w:val="16"/>
                <w:color w:val="auto"/>
                <w:w w:val="95"/>
              </w:rPr>
              <w:t>$217,558</w:t>
            </w:r>
          </w:p>
        </w:tc>
        <w:tc>
          <w:tcPr>
            <w:tcW w:w="20" w:type="dxa"/>
            <w:vAlign w:val="bottom"/>
          </w:tcPr>
          <w:p>
            <w:pPr>
              <w:spacing w:after="0"/>
              <w:rPr>
                <w:sz w:val="24"/>
                <w:szCs w:val="24"/>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ind w:left="183"/>
              <w:spacing w:after="0"/>
              <w:rPr>
                <w:sz w:val="20"/>
                <w:szCs w:val="20"/>
                <w:color w:val="auto"/>
              </w:rPr>
            </w:pPr>
            <w:r>
              <w:rPr>
                <w:rFonts w:ascii="Arial" w:cs="Arial" w:eastAsia="Arial" w:hAnsi="Arial"/>
                <w:sz w:val="16"/>
                <w:szCs w:val="16"/>
                <w:color w:val="auto"/>
                <w:w w:val="99"/>
              </w:rPr>
              <w:t>—</w:t>
            </w:r>
          </w:p>
        </w:tc>
      </w:tr>
      <w:tr>
        <w:trPr>
          <w:trHeight w:val="163"/>
        </w:trPr>
        <w:tc>
          <w:tcPr>
            <w:tcW w:w="2760" w:type="dxa"/>
            <w:vAlign w:val="bottom"/>
            <w:tcBorders>
              <w:top w:val="single" w:sz="8" w:color="auto"/>
              <w:right w:val="single" w:sz="8" w:color="auto"/>
            </w:tcBorders>
            <w:gridSpan w:val="2"/>
            <w:shd w:val="clear" w:color="auto" w:fill="F7AB6C"/>
          </w:tcPr>
          <w:p>
            <w:pPr>
              <w:spacing w:after="0" w:line="163" w:lineRule="exact"/>
              <w:rPr>
                <w:sz w:val="20"/>
                <w:szCs w:val="20"/>
                <w:color w:val="auto"/>
              </w:rPr>
            </w:pPr>
            <w:r>
              <w:rPr>
                <w:rFonts w:ascii="Arial" w:cs="Arial" w:eastAsia="Arial" w:hAnsi="Arial"/>
                <w:sz w:val="16"/>
                <w:szCs w:val="16"/>
                <w:b w:val="1"/>
                <w:bCs w:val="1"/>
                <w:color w:val="auto"/>
              </w:rPr>
              <w:t>  Benefits:</w:t>
            </w:r>
          </w:p>
        </w:tc>
        <w:tc>
          <w:tcPr>
            <w:tcW w:w="1400" w:type="dxa"/>
            <w:vAlign w:val="bottom"/>
            <w:tcBorders>
              <w:top w:val="single" w:sz="8" w:color="auto"/>
              <w:right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360" w:type="dxa"/>
            <w:vAlign w:val="bottom"/>
            <w:tcBorders>
              <w:top w:val="single" w:sz="8" w:color="auto"/>
              <w:right w:val="single" w:sz="8" w:color="auto"/>
            </w:tcBorders>
          </w:tcPr>
          <w:p>
            <w:pPr>
              <w:spacing w:after="0"/>
              <w:rPr>
                <w:sz w:val="14"/>
                <w:szCs w:val="14"/>
                <w:color w:val="auto"/>
              </w:rPr>
            </w:pPr>
          </w:p>
        </w:tc>
        <w:tc>
          <w:tcPr>
            <w:tcW w:w="1080" w:type="dxa"/>
            <w:vAlign w:val="bottom"/>
            <w:tcBorders>
              <w:top w:val="single" w:sz="8" w:color="auto"/>
              <w:right w:val="single" w:sz="8" w:color="auto"/>
            </w:tcBorders>
          </w:tcPr>
          <w:p>
            <w:pPr>
              <w:jc w:val="center"/>
              <w:ind w:left="124"/>
              <w:spacing w:after="0" w:line="163" w:lineRule="exact"/>
              <w:rPr>
                <w:sz w:val="20"/>
                <w:szCs w:val="20"/>
                <w:color w:val="auto"/>
              </w:rPr>
            </w:pPr>
            <w:r>
              <w:rPr>
                <w:rFonts w:ascii="Arial" w:cs="Arial" w:eastAsia="Arial" w:hAnsi="Arial"/>
                <w:sz w:val="16"/>
                <w:szCs w:val="16"/>
                <w:b w:val="1"/>
                <w:bCs w:val="1"/>
                <w:color w:val="auto"/>
                <w:w w:val="99"/>
              </w:rPr>
              <w:t>—</w:t>
            </w:r>
          </w:p>
        </w:tc>
        <w:tc>
          <w:tcPr>
            <w:tcW w:w="1080" w:type="dxa"/>
            <w:vAlign w:val="bottom"/>
            <w:tcBorders>
              <w:top w:val="single" w:sz="8" w:color="auto"/>
              <w:right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247"/>
        </w:trPr>
        <w:tc>
          <w:tcPr>
            <w:tcW w:w="160" w:type="dxa"/>
            <w:vAlign w:val="bottom"/>
            <w:shd w:val="clear" w:color="auto" w:fill="F7AB6C"/>
          </w:tcPr>
          <w:p>
            <w:pPr>
              <w:spacing w:after="0"/>
              <w:rPr>
                <w:sz w:val="21"/>
                <w:szCs w:val="21"/>
                <w:color w:val="auto"/>
              </w:rPr>
            </w:pPr>
          </w:p>
        </w:tc>
        <w:tc>
          <w:tcPr>
            <w:tcW w:w="2600" w:type="dxa"/>
            <w:vAlign w:val="bottom"/>
            <w:tcBorders>
              <w:right w:val="single" w:sz="8" w:color="auto"/>
            </w:tcBorders>
            <w:shd w:val="clear" w:color="auto" w:fill="F7AB6C"/>
          </w:tcPr>
          <w:p>
            <w:pPr>
              <w:ind w:left="120"/>
              <w:spacing w:after="0" w:line="247" w:lineRule="exact"/>
              <w:rPr>
                <w:sz w:val="20"/>
                <w:szCs w:val="20"/>
                <w:color w:val="auto"/>
              </w:rPr>
            </w:pPr>
            <w:r>
              <w:rPr>
                <w:rFonts w:ascii="Arial" w:cs="Arial" w:eastAsia="Arial" w:hAnsi="Arial"/>
                <w:sz w:val="16"/>
                <w:szCs w:val="16"/>
                <w:color w:val="auto"/>
              </w:rPr>
              <w:t xml:space="preserve">Additional Pension Benefit </w:t>
            </w:r>
            <w:r>
              <w:rPr>
                <w:rFonts w:ascii="Arial" w:cs="Arial" w:eastAsia="Arial" w:hAnsi="Arial"/>
                <w:sz w:val="23"/>
                <w:szCs w:val="23"/>
                <w:i w:val="1"/>
                <w:iCs w:val="1"/>
                <w:color w:val="auto"/>
                <w:vertAlign w:val="superscript"/>
              </w:rPr>
              <w:t>(7)</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780" w:type="dxa"/>
            <w:vAlign w:val="bottom"/>
            <w:tcBorders>
              <w:right w:val="single" w:sz="8" w:color="auto"/>
            </w:tcBorders>
          </w:tcPr>
          <w:p>
            <w:pPr>
              <w:jc w:val="center"/>
              <w:ind w:right="143"/>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21"/>
                <w:szCs w:val="21"/>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ind w:left="183"/>
              <w:spacing w:after="0"/>
              <w:rPr>
                <w:sz w:val="20"/>
                <w:szCs w:val="20"/>
                <w:color w:val="auto"/>
              </w:rPr>
            </w:pPr>
            <w:r>
              <w:rPr>
                <w:rFonts w:ascii="Arial" w:cs="Arial" w:eastAsia="Arial" w:hAnsi="Arial"/>
                <w:sz w:val="16"/>
                <w:szCs w:val="16"/>
                <w:color w:val="auto"/>
                <w:w w:val="99"/>
              </w:rPr>
              <w:t>—</w:t>
            </w:r>
          </w:p>
        </w:tc>
      </w:tr>
      <w:tr>
        <w:trPr>
          <w:trHeight w:val="205"/>
        </w:trPr>
        <w:tc>
          <w:tcPr>
            <w:tcW w:w="160" w:type="dxa"/>
            <w:vAlign w:val="bottom"/>
            <w:shd w:val="clear" w:color="auto" w:fill="F7AB6C"/>
          </w:tcPr>
          <w:p>
            <w:pPr>
              <w:spacing w:after="0"/>
              <w:rPr>
                <w:sz w:val="17"/>
                <w:szCs w:val="17"/>
                <w:color w:val="auto"/>
              </w:rPr>
            </w:pPr>
          </w:p>
        </w:tc>
        <w:tc>
          <w:tcPr>
            <w:tcW w:w="2600" w:type="dxa"/>
            <w:vAlign w:val="bottom"/>
            <w:tcBorders>
              <w:right w:val="single" w:sz="8" w:color="auto"/>
            </w:tcBorders>
            <w:shd w:val="clear" w:color="auto" w:fill="F7AB6C"/>
          </w:tcPr>
          <w:p>
            <w:pPr>
              <w:ind w:left="120"/>
              <w:spacing w:after="0"/>
              <w:rPr>
                <w:sz w:val="20"/>
                <w:szCs w:val="20"/>
                <w:color w:val="auto"/>
              </w:rPr>
            </w:pPr>
            <w:r>
              <w:rPr>
                <w:rFonts w:ascii="Arial" w:cs="Arial" w:eastAsia="Arial" w:hAnsi="Arial"/>
                <w:sz w:val="16"/>
                <w:szCs w:val="16"/>
                <w:color w:val="auto"/>
              </w:rPr>
              <w:t>Additional 401(k) Match</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780" w:type="dxa"/>
            <w:vAlign w:val="bottom"/>
            <w:tcBorders>
              <w:right w:val="single" w:sz="8" w:color="auto"/>
            </w:tcBorders>
          </w:tcPr>
          <w:p>
            <w:pPr>
              <w:jc w:val="center"/>
              <w:ind w:right="143"/>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7"/>
                <w:szCs w:val="17"/>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      $68,279</w:t>
            </w:r>
          </w:p>
        </w:tc>
      </w:tr>
      <w:tr>
        <w:trPr>
          <w:trHeight w:val="289"/>
        </w:trPr>
        <w:tc>
          <w:tcPr>
            <w:tcW w:w="160" w:type="dxa"/>
            <w:vAlign w:val="bottom"/>
            <w:shd w:val="clear" w:color="auto" w:fill="F7AB6C"/>
          </w:tcPr>
          <w:p>
            <w:pPr>
              <w:spacing w:after="0"/>
              <w:rPr>
                <w:sz w:val="24"/>
                <w:szCs w:val="24"/>
                <w:color w:val="auto"/>
              </w:rPr>
            </w:pPr>
          </w:p>
        </w:tc>
        <w:tc>
          <w:tcPr>
            <w:tcW w:w="2600" w:type="dxa"/>
            <w:vAlign w:val="bottom"/>
            <w:tcBorders>
              <w:right w:val="single" w:sz="8" w:color="auto"/>
            </w:tcBorders>
            <w:shd w:val="clear" w:color="auto" w:fill="F7AB6C"/>
          </w:tcPr>
          <w:p>
            <w:pPr>
              <w:ind w:left="120"/>
              <w:spacing w:after="0"/>
              <w:rPr>
                <w:sz w:val="20"/>
                <w:szCs w:val="20"/>
                <w:color w:val="auto"/>
              </w:rPr>
            </w:pPr>
            <w:r>
              <w:rPr>
                <w:rFonts w:ascii="Arial" w:cs="Arial" w:eastAsia="Arial" w:hAnsi="Arial"/>
                <w:sz w:val="16"/>
                <w:szCs w:val="16"/>
                <w:color w:val="auto"/>
              </w:rPr>
              <w:t xml:space="preserve">Insurance Continuation </w:t>
            </w:r>
            <w:r>
              <w:rPr>
                <w:rFonts w:ascii="Arial" w:cs="Arial" w:eastAsia="Arial" w:hAnsi="Arial"/>
                <w:sz w:val="23"/>
                <w:szCs w:val="23"/>
                <w:i w:val="1"/>
                <w:iCs w:val="1"/>
                <w:color w:val="auto"/>
                <w:vertAlign w:val="superscript"/>
              </w:rPr>
              <w:t>(8)</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780" w:type="dxa"/>
            <w:vAlign w:val="bottom"/>
            <w:tcBorders>
              <w:right w:val="single" w:sz="8" w:color="auto"/>
            </w:tcBorders>
          </w:tcPr>
          <w:p>
            <w:pPr>
              <w:jc w:val="center"/>
              <w:ind w:right="143"/>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24"/>
                <w:szCs w:val="24"/>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      $65,265</w:t>
            </w:r>
          </w:p>
        </w:tc>
      </w:tr>
      <w:tr>
        <w:trPr>
          <w:trHeight w:val="182"/>
        </w:trPr>
        <w:tc>
          <w:tcPr>
            <w:tcW w:w="160" w:type="dxa"/>
            <w:vAlign w:val="bottom"/>
            <w:shd w:val="clear" w:color="auto" w:fill="F7AB6C"/>
          </w:tcPr>
          <w:p>
            <w:pPr>
              <w:spacing w:after="0"/>
              <w:rPr>
                <w:sz w:val="15"/>
                <w:szCs w:val="15"/>
                <w:color w:val="auto"/>
              </w:rPr>
            </w:pPr>
          </w:p>
        </w:tc>
        <w:tc>
          <w:tcPr>
            <w:tcW w:w="2600" w:type="dxa"/>
            <w:vAlign w:val="bottom"/>
            <w:tcBorders>
              <w:right w:val="single" w:sz="8" w:color="auto"/>
            </w:tcBorders>
            <w:shd w:val="clear" w:color="auto" w:fill="F7AB6C"/>
          </w:tcPr>
          <w:p>
            <w:pPr>
              <w:ind w:left="120"/>
              <w:spacing w:after="0" w:line="182" w:lineRule="exact"/>
              <w:rPr>
                <w:sz w:val="20"/>
                <w:szCs w:val="20"/>
                <w:color w:val="auto"/>
              </w:rPr>
            </w:pPr>
            <w:r>
              <w:rPr>
                <w:rFonts w:ascii="Arial" w:cs="Arial" w:eastAsia="Arial" w:hAnsi="Arial"/>
                <w:sz w:val="16"/>
                <w:szCs w:val="16"/>
                <w:color w:val="auto"/>
              </w:rPr>
              <w:t>Accelerated Vesting - Restricted</w:t>
            </w:r>
          </w:p>
        </w:tc>
        <w:tc>
          <w:tcPr>
            <w:tcW w:w="140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r>
      <w:tr>
        <w:trPr>
          <w:trHeight w:val="246"/>
        </w:trPr>
        <w:tc>
          <w:tcPr>
            <w:tcW w:w="160" w:type="dxa"/>
            <w:vAlign w:val="bottom"/>
            <w:tcBorders>
              <w:bottom w:val="single" w:sz="8" w:color="auto"/>
            </w:tcBorders>
            <w:shd w:val="clear" w:color="auto" w:fill="F7AB6C"/>
          </w:tcPr>
          <w:p>
            <w:pPr>
              <w:spacing w:after="0"/>
              <w:rPr>
                <w:sz w:val="21"/>
                <w:szCs w:val="21"/>
                <w:color w:val="auto"/>
              </w:rPr>
            </w:pPr>
          </w:p>
        </w:tc>
        <w:tc>
          <w:tcPr>
            <w:tcW w:w="2600" w:type="dxa"/>
            <w:vAlign w:val="bottom"/>
            <w:tcBorders>
              <w:bottom w:val="single" w:sz="8" w:color="auto"/>
              <w:right w:val="single" w:sz="8" w:color="auto"/>
            </w:tcBorders>
            <w:shd w:val="clear" w:color="auto" w:fill="F7AB6C"/>
          </w:tcPr>
          <w:p>
            <w:pPr>
              <w:ind w:left="120"/>
              <w:spacing w:after="0" w:line="246" w:lineRule="exact"/>
              <w:rPr>
                <w:sz w:val="20"/>
                <w:szCs w:val="20"/>
                <w:color w:val="auto"/>
              </w:rPr>
            </w:pPr>
            <w:r>
              <w:rPr>
                <w:rFonts w:ascii="Arial" w:cs="Arial" w:eastAsia="Arial" w:hAnsi="Arial"/>
                <w:sz w:val="16"/>
                <w:szCs w:val="16"/>
                <w:color w:val="auto"/>
              </w:rPr>
              <w:t xml:space="preserve">Stock </w:t>
            </w:r>
            <w:r>
              <w:rPr>
                <w:rFonts w:ascii="Arial" w:cs="Arial" w:eastAsia="Arial" w:hAnsi="Arial"/>
                <w:sz w:val="23"/>
                <w:szCs w:val="23"/>
                <w:i w:val="1"/>
                <w:iCs w:val="1"/>
                <w:color w:val="auto"/>
                <w:vertAlign w:val="superscript"/>
              </w:rPr>
              <w:t>(9)</w:t>
            </w:r>
          </w:p>
        </w:tc>
        <w:tc>
          <w:tcPr>
            <w:tcW w:w="140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gridSpan w:val="2"/>
          </w:tcPr>
          <w:p>
            <w:pPr>
              <w:jc w:val="center"/>
              <w:ind w:left="145"/>
              <w:spacing w:after="0"/>
              <w:rPr>
                <w:sz w:val="20"/>
                <w:szCs w:val="20"/>
                <w:color w:val="auto"/>
              </w:rPr>
            </w:pPr>
            <w:r>
              <w:rPr>
                <w:rFonts w:ascii="Arial" w:cs="Arial" w:eastAsia="Arial" w:hAnsi="Arial"/>
                <w:sz w:val="16"/>
                <w:szCs w:val="16"/>
                <w:color w:val="auto"/>
                <w:w w:val="95"/>
              </w:rPr>
              <w:t>$476,359</w:t>
            </w:r>
          </w:p>
        </w:tc>
        <w:tc>
          <w:tcPr>
            <w:tcW w:w="2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80" w:type="dxa"/>
            <w:vAlign w:val="bottom"/>
            <w:tcBorders>
              <w:bottom w:val="single" w:sz="8" w:color="auto"/>
              <w:right w:val="single" w:sz="8" w:color="auto"/>
            </w:tcBorders>
          </w:tcPr>
          <w:p>
            <w:pPr>
              <w:jc w:val="center"/>
              <w:ind w:left="144"/>
              <w:spacing w:after="0"/>
              <w:rPr>
                <w:sz w:val="20"/>
                <w:szCs w:val="20"/>
                <w:color w:val="auto"/>
              </w:rPr>
            </w:pPr>
            <w:r>
              <w:rPr>
                <w:rFonts w:ascii="Arial" w:cs="Arial" w:eastAsia="Arial" w:hAnsi="Arial"/>
                <w:sz w:val="16"/>
                <w:szCs w:val="16"/>
                <w:color w:val="auto"/>
                <w:w w:val="98"/>
              </w:rPr>
              <w:t>$476,359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$476,359</w:t>
            </w:r>
          </w:p>
        </w:tc>
      </w:tr>
      <w:tr>
        <w:trPr>
          <w:trHeight w:val="357"/>
        </w:trPr>
        <w:tc>
          <w:tcPr>
            <w:tcW w:w="2760" w:type="dxa"/>
            <w:vAlign w:val="bottom"/>
            <w:tcBorders>
              <w:bottom w:val="single" w:sz="8" w:color="F7AB6C"/>
              <w:right w:val="single" w:sz="8" w:color="auto"/>
            </w:tcBorders>
            <w:gridSpan w:val="2"/>
            <w:shd w:val="clear" w:color="auto" w:fill="F7AB6C"/>
          </w:tcPr>
          <w:p>
            <w:pPr>
              <w:spacing w:after="0"/>
              <w:rPr>
                <w:sz w:val="20"/>
                <w:szCs w:val="20"/>
                <w:color w:val="auto"/>
              </w:rPr>
            </w:pPr>
            <w:r>
              <w:rPr>
                <w:rFonts w:ascii="Arial" w:cs="Arial" w:eastAsia="Arial" w:hAnsi="Arial"/>
                <w:sz w:val="16"/>
                <w:szCs w:val="16"/>
                <w:b w:val="1"/>
                <w:bCs w:val="1"/>
                <w:color w:val="auto"/>
              </w:rPr>
              <w:t>  Total</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gridSpan w:val="2"/>
          </w:tcPr>
          <w:p>
            <w:pPr>
              <w:jc w:val="center"/>
              <w:ind w:left="145"/>
              <w:spacing w:after="0"/>
              <w:rPr>
                <w:sz w:val="20"/>
                <w:szCs w:val="20"/>
                <w:color w:val="auto"/>
              </w:rPr>
            </w:pPr>
            <w:r>
              <w:rPr>
                <w:rFonts w:ascii="Arial" w:cs="Arial" w:eastAsia="Arial" w:hAnsi="Arial"/>
                <w:sz w:val="16"/>
                <w:szCs w:val="16"/>
                <w:color w:val="auto"/>
                <w:w w:val="95"/>
              </w:rPr>
              <w:t>$693,917</w:t>
            </w:r>
          </w:p>
        </w:tc>
        <w:tc>
          <w:tcPr>
            <w:tcW w:w="20" w:type="dxa"/>
            <w:vAlign w:val="bottom"/>
          </w:tcPr>
          <w:p>
            <w:pPr>
              <w:spacing w:after="0"/>
              <w:rPr>
                <w:sz w:val="24"/>
                <w:szCs w:val="24"/>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ind w:left="144"/>
              <w:spacing w:after="0"/>
              <w:rPr>
                <w:sz w:val="20"/>
                <w:szCs w:val="20"/>
                <w:color w:val="auto"/>
              </w:rPr>
            </w:pPr>
            <w:r>
              <w:rPr>
                <w:rFonts w:ascii="Arial" w:cs="Arial" w:eastAsia="Arial" w:hAnsi="Arial"/>
                <w:sz w:val="16"/>
                <w:szCs w:val="16"/>
                <w:color w:val="auto"/>
                <w:w w:val="98"/>
              </w:rPr>
              <w:t>$476,359</w:t>
            </w:r>
          </w:p>
        </w:tc>
        <w:tc>
          <w:tcPr>
            <w:tcW w:w="1060" w:type="dxa"/>
            <w:vAlign w:val="bottom"/>
          </w:tcPr>
          <w:p>
            <w:pPr>
              <w:jc w:val="center"/>
              <w:ind w:left="163"/>
              <w:spacing w:after="0"/>
              <w:rPr>
                <w:sz w:val="20"/>
                <w:szCs w:val="20"/>
                <w:color w:val="auto"/>
              </w:rPr>
            </w:pPr>
            <w:r>
              <w:rPr>
                <w:rFonts w:ascii="Arial" w:cs="Arial" w:eastAsia="Arial" w:hAnsi="Arial"/>
                <w:sz w:val="16"/>
                <w:szCs w:val="16"/>
                <w:color w:val="auto"/>
                <w:w w:val="97"/>
              </w:rPr>
              <w:t>$1,734,355</w:t>
            </w:r>
          </w:p>
        </w:tc>
      </w:tr>
      <w:tr>
        <w:trPr>
          <w:trHeight w:val="201"/>
        </w:trPr>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71"/>
              </w:rPr>
              <w:t> </w:t>
            </w:r>
          </w:p>
        </w:tc>
        <w:tc>
          <w:tcPr>
            <w:tcW w:w="2600" w:type="dxa"/>
            <w:vAlign w:val="bottom"/>
            <w:tcBorders>
              <w:top w:val="single" w:sz="8" w:color="auto"/>
              <w:bottom w:val="single" w:sz="8" w:color="auto"/>
            </w:tcBorders>
          </w:tcPr>
          <w:p>
            <w:pPr>
              <w:ind w:left="60"/>
              <w:spacing w:after="0" w:line="201" w:lineRule="exact"/>
              <w:rPr>
                <w:sz w:val="20"/>
                <w:szCs w:val="20"/>
                <w:color w:val="auto"/>
              </w:rPr>
            </w:pPr>
            <w:r>
              <w:rPr>
                <w:rFonts w:ascii="Arial" w:cs="Arial" w:eastAsia="Arial" w:hAnsi="Arial"/>
                <w:sz w:val="19"/>
                <w:szCs w:val="19"/>
                <w:color w:val="auto"/>
              </w:rPr>
              <w:t> </w:t>
            </w:r>
          </w:p>
        </w:tc>
        <w:tc>
          <w:tcPr>
            <w:tcW w:w="14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r>
      <w:tr>
        <w:trPr>
          <w:trHeight w:val="272"/>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  Justin Eisfeller</w:t>
            </w:r>
          </w:p>
        </w:tc>
        <w:tc>
          <w:tcPr>
            <w:tcW w:w="14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170"/>
        </w:trPr>
        <w:tc>
          <w:tcPr>
            <w:tcW w:w="2760" w:type="dxa"/>
            <w:vAlign w:val="bottom"/>
            <w:tcBorders>
              <w:right w:val="single" w:sz="8" w:color="auto"/>
            </w:tcBorders>
            <w:gridSpan w:val="2"/>
            <w:shd w:val="clear" w:color="auto" w:fill="F7AB6C"/>
          </w:tcPr>
          <w:p>
            <w:pPr>
              <w:spacing w:after="0" w:line="170" w:lineRule="exact"/>
              <w:rPr>
                <w:sz w:val="20"/>
                <w:szCs w:val="20"/>
                <w:color w:val="auto"/>
              </w:rPr>
            </w:pPr>
            <w:r>
              <w:rPr>
                <w:rFonts w:ascii="Arial" w:cs="Arial" w:eastAsia="Arial" w:hAnsi="Arial"/>
                <w:sz w:val="16"/>
                <w:szCs w:val="16"/>
                <w:b w:val="1"/>
                <w:bCs w:val="1"/>
                <w:color w:val="auto"/>
              </w:rPr>
              <w:t>  Compensation:</w:t>
            </w:r>
          </w:p>
        </w:tc>
        <w:tc>
          <w:tcPr>
            <w:tcW w:w="140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r>
      <w:tr>
        <w:trPr>
          <w:trHeight w:val="205"/>
        </w:trPr>
        <w:tc>
          <w:tcPr>
            <w:tcW w:w="160" w:type="dxa"/>
            <w:vAlign w:val="bottom"/>
            <w:shd w:val="clear" w:color="auto" w:fill="F7AB6C"/>
          </w:tcPr>
          <w:p>
            <w:pPr>
              <w:spacing w:after="0"/>
              <w:rPr>
                <w:sz w:val="17"/>
                <w:szCs w:val="17"/>
                <w:color w:val="auto"/>
              </w:rPr>
            </w:pPr>
          </w:p>
        </w:tc>
        <w:tc>
          <w:tcPr>
            <w:tcW w:w="2600" w:type="dxa"/>
            <w:vAlign w:val="bottom"/>
            <w:tcBorders>
              <w:right w:val="single" w:sz="8" w:color="auto"/>
            </w:tcBorders>
            <w:shd w:val="clear" w:color="auto" w:fill="F7AB6C"/>
          </w:tcPr>
          <w:p>
            <w:pPr>
              <w:ind w:left="120"/>
              <w:spacing w:after="0"/>
              <w:rPr>
                <w:sz w:val="20"/>
                <w:szCs w:val="20"/>
                <w:color w:val="auto"/>
              </w:rPr>
            </w:pPr>
            <w:r>
              <w:rPr>
                <w:rFonts w:ascii="Arial" w:cs="Arial" w:eastAsia="Arial" w:hAnsi="Arial"/>
                <w:sz w:val="16"/>
                <w:szCs w:val="16"/>
                <w:color w:val="auto"/>
              </w:rPr>
              <w:t>Severance</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780" w:type="dxa"/>
            <w:vAlign w:val="bottom"/>
            <w:tcBorders>
              <w:right w:val="single" w:sz="8" w:color="auto"/>
            </w:tcBorders>
          </w:tcPr>
          <w:p>
            <w:pPr>
              <w:jc w:val="center"/>
              <w:ind w:right="143"/>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7"/>
                <w:szCs w:val="17"/>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ind w:left="163"/>
              <w:spacing w:after="0"/>
              <w:rPr>
                <w:sz w:val="20"/>
                <w:szCs w:val="20"/>
                <w:color w:val="auto"/>
              </w:rPr>
            </w:pPr>
            <w:r>
              <w:rPr>
                <w:rFonts w:ascii="Arial" w:cs="Arial" w:eastAsia="Arial" w:hAnsi="Arial"/>
                <w:sz w:val="16"/>
                <w:szCs w:val="16"/>
                <w:color w:val="auto"/>
                <w:w w:val="92"/>
              </w:rPr>
              <w:t>  $866,600</w:t>
            </w:r>
          </w:p>
        </w:tc>
      </w:tr>
      <w:tr>
        <w:trPr>
          <w:trHeight w:val="288"/>
        </w:trPr>
        <w:tc>
          <w:tcPr>
            <w:tcW w:w="160" w:type="dxa"/>
            <w:vAlign w:val="bottom"/>
            <w:tcBorders>
              <w:bottom w:val="single" w:sz="8" w:color="F7AB6C"/>
            </w:tcBorders>
            <w:shd w:val="clear" w:color="auto" w:fill="F7AB6C"/>
          </w:tcPr>
          <w:p>
            <w:pPr>
              <w:spacing w:after="0"/>
              <w:rPr>
                <w:sz w:val="24"/>
                <w:szCs w:val="24"/>
                <w:color w:val="auto"/>
              </w:rPr>
            </w:pPr>
          </w:p>
        </w:tc>
        <w:tc>
          <w:tcPr>
            <w:tcW w:w="2600" w:type="dxa"/>
            <w:vAlign w:val="bottom"/>
            <w:tcBorders>
              <w:bottom w:val="single" w:sz="8" w:color="F7AB6C"/>
              <w:right w:val="single" w:sz="8" w:color="auto"/>
            </w:tcBorders>
            <w:shd w:val="clear" w:color="auto" w:fill="F7AB6C"/>
          </w:tcPr>
          <w:p>
            <w:pPr>
              <w:ind w:left="120"/>
              <w:spacing w:after="0"/>
              <w:rPr>
                <w:sz w:val="20"/>
                <w:szCs w:val="20"/>
                <w:color w:val="auto"/>
              </w:rPr>
            </w:pPr>
            <w:r>
              <w:rPr>
                <w:rFonts w:ascii="Arial" w:cs="Arial" w:eastAsia="Arial" w:hAnsi="Arial"/>
                <w:sz w:val="16"/>
                <w:szCs w:val="16"/>
                <w:color w:val="auto"/>
              </w:rPr>
              <w:t>2025 Cash Incentive Plan Award</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gridSpan w:val="2"/>
          </w:tcPr>
          <w:p>
            <w:pPr>
              <w:jc w:val="center"/>
              <w:ind w:left="145"/>
              <w:spacing w:after="0"/>
              <w:rPr>
                <w:sz w:val="20"/>
                <w:szCs w:val="20"/>
                <w:color w:val="auto"/>
              </w:rPr>
            </w:pPr>
            <w:r>
              <w:rPr>
                <w:rFonts w:ascii="Arial" w:cs="Arial" w:eastAsia="Arial" w:hAnsi="Arial"/>
                <w:sz w:val="16"/>
                <w:szCs w:val="16"/>
                <w:color w:val="auto"/>
                <w:w w:val="95"/>
              </w:rPr>
              <w:t>$142,388</w:t>
            </w:r>
          </w:p>
        </w:tc>
        <w:tc>
          <w:tcPr>
            <w:tcW w:w="20" w:type="dxa"/>
            <w:vAlign w:val="bottom"/>
          </w:tcPr>
          <w:p>
            <w:pPr>
              <w:spacing w:after="0"/>
              <w:rPr>
                <w:sz w:val="24"/>
                <w:szCs w:val="24"/>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44"/>
              <w:spacing w:after="0"/>
              <w:rPr>
                <w:sz w:val="20"/>
                <w:szCs w:val="20"/>
                <w:color w:val="auto"/>
              </w:rPr>
            </w:pPr>
            <w:r>
              <w:rPr>
                <w:rFonts w:ascii="Arial" w:cs="Arial" w:eastAsia="Arial" w:hAnsi="Arial"/>
                <w:sz w:val="16"/>
                <w:szCs w:val="16"/>
                <w:color w:val="auto"/>
                <w:w w:val="98"/>
              </w:rPr>
              <w:t>$142,388</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ind w:left="183"/>
              <w:spacing w:after="0"/>
              <w:rPr>
                <w:sz w:val="20"/>
                <w:szCs w:val="20"/>
                <w:color w:val="auto"/>
              </w:rPr>
            </w:pPr>
            <w:r>
              <w:rPr>
                <w:rFonts w:ascii="Arial" w:cs="Arial" w:eastAsia="Arial" w:hAnsi="Arial"/>
                <w:sz w:val="16"/>
                <w:szCs w:val="16"/>
                <w:color w:val="auto"/>
                <w:w w:val="99"/>
              </w:rPr>
              <w:t>—</w:t>
            </w:r>
          </w:p>
        </w:tc>
      </w:tr>
      <w:tr>
        <w:trPr>
          <w:trHeight w:val="163"/>
        </w:trPr>
        <w:tc>
          <w:tcPr>
            <w:tcW w:w="2760" w:type="dxa"/>
            <w:vAlign w:val="bottom"/>
            <w:tcBorders>
              <w:top w:val="single" w:sz="8" w:color="auto"/>
              <w:right w:val="single" w:sz="8" w:color="auto"/>
            </w:tcBorders>
            <w:gridSpan w:val="2"/>
            <w:shd w:val="clear" w:color="auto" w:fill="F7AB6C"/>
          </w:tcPr>
          <w:p>
            <w:pPr>
              <w:spacing w:after="0" w:line="163" w:lineRule="exact"/>
              <w:rPr>
                <w:sz w:val="20"/>
                <w:szCs w:val="20"/>
                <w:color w:val="auto"/>
              </w:rPr>
            </w:pPr>
            <w:r>
              <w:rPr>
                <w:rFonts w:ascii="Arial" w:cs="Arial" w:eastAsia="Arial" w:hAnsi="Arial"/>
                <w:sz w:val="16"/>
                <w:szCs w:val="16"/>
                <w:b w:val="1"/>
                <w:bCs w:val="1"/>
                <w:color w:val="auto"/>
              </w:rPr>
              <w:t>  Benefits:</w:t>
            </w:r>
          </w:p>
        </w:tc>
        <w:tc>
          <w:tcPr>
            <w:tcW w:w="1400" w:type="dxa"/>
            <w:vAlign w:val="bottom"/>
            <w:tcBorders>
              <w:top w:val="single" w:sz="8" w:color="auto"/>
              <w:right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360" w:type="dxa"/>
            <w:vAlign w:val="bottom"/>
            <w:tcBorders>
              <w:top w:val="single" w:sz="8" w:color="auto"/>
              <w:right w:val="single" w:sz="8" w:color="auto"/>
            </w:tcBorders>
          </w:tcPr>
          <w:p>
            <w:pPr>
              <w:spacing w:after="0"/>
              <w:rPr>
                <w:sz w:val="14"/>
                <w:szCs w:val="14"/>
                <w:color w:val="auto"/>
              </w:rPr>
            </w:pPr>
          </w:p>
        </w:tc>
        <w:tc>
          <w:tcPr>
            <w:tcW w:w="1080" w:type="dxa"/>
            <w:vAlign w:val="bottom"/>
            <w:tcBorders>
              <w:top w:val="single" w:sz="8" w:color="auto"/>
              <w:right w:val="single" w:sz="8" w:color="auto"/>
            </w:tcBorders>
          </w:tcPr>
          <w:p>
            <w:pPr>
              <w:spacing w:after="0"/>
              <w:rPr>
                <w:sz w:val="14"/>
                <w:szCs w:val="14"/>
                <w:color w:val="auto"/>
              </w:rPr>
            </w:pPr>
          </w:p>
        </w:tc>
        <w:tc>
          <w:tcPr>
            <w:tcW w:w="1080" w:type="dxa"/>
            <w:vAlign w:val="bottom"/>
            <w:tcBorders>
              <w:top w:val="single" w:sz="8" w:color="auto"/>
              <w:right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247"/>
        </w:trPr>
        <w:tc>
          <w:tcPr>
            <w:tcW w:w="160" w:type="dxa"/>
            <w:vAlign w:val="bottom"/>
            <w:shd w:val="clear" w:color="auto" w:fill="F7AB6C"/>
          </w:tcPr>
          <w:p>
            <w:pPr>
              <w:spacing w:after="0"/>
              <w:rPr>
                <w:sz w:val="21"/>
                <w:szCs w:val="21"/>
                <w:color w:val="auto"/>
              </w:rPr>
            </w:pPr>
          </w:p>
        </w:tc>
        <w:tc>
          <w:tcPr>
            <w:tcW w:w="2600" w:type="dxa"/>
            <w:vAlign w:val="bottom"/>
            <w:tcBorders>
              <w:right w:val="single" w:sz="8" w:color="auto"/>
            </w:tcBorders>
            <w:shd w:val="clear" w:color="auto" w:fill="F7AB6C"/>
          </w:tcPr>
          <w:p>
            <w:pPr>
              <w:ind w:left="120"/>
              <w:spacing w:after="0" w:line="247" w:lineRule="exact"/>
              <w:rPr>
                <w:sz w:val="20"/>
                <w:szCs w:val="20"/>
                <w:color w:val="auto"/>
              </w:rPr>
            </w:pPr>
            <w:r>
              <w:rPr>
                <w:rFonts w:ascii="Arial" w:cs="Arial" w:eastAsia="Arial" w:hAnsi="Arial"/>
                <w:sz w:val="16"/>
                <w:szCs w:val="16"/>
                <w:color w:val="auto"/>
              </w:rPr>
              <w:t xml:space="preserve">Additional Pension Benefit </w:t>
            </w:r>
            <w:r>
              <w:rPr>
                <w:rFonts w:ascii="Arial" w:cs="Arial" w:eastAsia="Arial" w:hAnsi="Arial"/>
                <w:sz w:val="23"/>
                <w:szCs w:val="23"/>
                <w:i w:val="1"/>
                <w:iCs w:val="1"/>
                <w:color w:val="auto"/>
                <w:vertAlign w:val="superscript"/>
              </w:rPr>
              <w:t>(7)</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780" w:type="dxa"/>
            <w:vAlign w:val="bottom"/>
            <w:tcBorders>
              <w:right w:val="single" w:sz="8" w:color="auto"/>
            </w:tcBorders>
          </w:tcPr>
          <w:p>
            <w:pPr>
              <w:jc w:val="center"/>
              <w:ind w:right="143"/>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21"/>
                <w:szCs w:val="21"/>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ind w:left="163"/>
              <w:spacing w:after="0"/>
              <w:rPr>
                <w:sz w:val="20"/>
                <w:szCs w:val="20"/>
                <w:color w:val="auto"/>
              </w:rPr>
            </w:pPr>
            <w:r>
              <w:rPr>
                <w:rFonts w:ascii="Arial" w:cs="Arial" w:eastAsia="Arial" w:hAnsi="Arial"/>
                <w:sz w:val="16"/>
                <w:szCs w:val="16"/>
                <w:color w:val="auto"/>
                <w:w w:val="92"/>
              </w:rPr>
              <w:t>  $160,895</w:t>
            </w:r>
          </w:p>
        </w:tc>
      </w:tr>
      <w:tr>
        <w:trPr>
          <w:trHeight w:val="205"/>
        </w:trPr>
        <w:tc>
          <w:tcPr>
            <w:tcW w:w="160" w:type="dxa"/>
            <w:vAlign w:val="bottom"/>
            <w:shd w:val="clear" w:color="auto" w:fill="F7AB6C"/>
          </w:tcPr>
          <w:p>
            <w:pPr>
              <w:spacing w:after="0"/>
              <w:rPr>
                <w:sz w:val="17"/>
                <w:szCs w:val="17"/>
                <w:color w:val="auto"/>
              </w:rPr>
            </w:pPr>
          </w:p>
        </w:tc>
        <w:tc>
          <w:tcPr>
            <w:tcW w:w="2600" w:type="dxa"/>
            <w:vAlign w:val="bottom"/>
            <w:tcBorders>
              <w:right w:val="single" w:sz="8" w:color="auto"/>
            </w:tcBorders>
            <w:shd w:val="clear" w:color="auto" w:fill="F7AB6C"/>
          </w:tcPr>
          <w:p>
            <w:pPr>
              <w:ind w:left="120"/>
              <w:spacing w:after="0"/>
              <w:rPr>
                <w:sz w:val="20"/>
                <w:szCs w:val="20"/>
                <w:color w:val="auto"/>
              </w:rPr>
            </w:pPr>
            <w:r>
              <w:rPr>
                <w:rFonts w:ascii="Arial" w:cs="Arial" w:eastAsia="Arial" w:hAnsi="Arial"/>
                <w:sz w:val="16"/>
                <w:szCs w:val="16"/>
                <w:color w:val="auto"/>
              </w:rPr>
              <w:t>Additional 401(k) Match</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780" w:type="dxa"/>
            <w:vAlign w:val="bottom"/>
            <w:tcBorders>
              <w:right w:val="single" w:sz="8" w:color="auto"/>
            </w:tcBorders>
          </w:tcPr>
          <w:p>
            <w:pPr>
              <w:jc w:val="center"/>
              <w:ind w:right="143"/>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7"/>
                <w:szCs w:val="17"/>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ind w:left="163"/>
              <w:spacing w:after="0"/>
              <w:rPr>
                <w:sz w:val="20"/>
                <w:szCs w:val="20"/>
                <w:color w:val="auto"/>
              </w:rPr>
            </w:pPr>
            <w:r>
              <w:rPr>
                <w:rFonts w:ascii="Arial" w:cs="Arial" w:eastAsia="Arial" w:hAnsi="Arial"/>
                <w:sz w:val="16"/>
                <w:szCs w:val="16"/>
                <w:color w:val="auto"/>
                <w:w w:val="92"/>
              </w:rPr>
              <w:t>    $20,484</w:t>
            </w:r>
          </w:p>
        </w:tc>
      </w:tr>
      <w:tr>
        <w:trPr>
          <w:trHeight w:val="289"/>
        </w:trPr>
        <w:tc>
          <w:tcPr>
            <w:tcW w:w="160" w:type="dxa"/>
            <w:vAlign w:val="bottom"/>
            <w:shd w:val="clear" w:color="auto" w:fill="F7AB6C"/>
          </w:tcPr>
          <w:p>
            <w:pPr>
              <w:spacing w:after="0"/>
              <w:rPr>
                <w:sz w:val="24"/>
                <w:szCs w:val="24"/>
                <w:color w:val="auto"/>
              </w:rPr>
            </w:pPr>
          </w:p>
        </w:tc>
        <w:tc>
          <w:tcPr>
            <w:tcW w:w="2600" w:type="dxa"/>
            <w:vAlign w:val="bottom"/>
            <w:tcBorders>
              <w:right w:val="single" w:sz="8" w:color="auto"/>
            </w:tcBorders>
            <w:shd w:val="clear" w:color="auto" w:fill="F7AB6C"/>
          </w:tcPr>
          <w:p>
            <w:pPr>
              <w:ind w:left="120"/>
              <w:spacing w:after="0"/>
              <w:rPr>
                <w:sz w:val="20"/>
                <w:szCs w:val="20"/>
                <w:color w:val="auto"/>
              </w:rPr>
            </w:pPr>
            <w:r>
              <w:rPr>
                <w:rFonts w:ascii="Arial" w:cs="Arial" w:eastAsia="Arial" w:hAnsi="Arial"/>
                <w:sz w:val="16"/>
                <w:szCs w:val="16"/>
                <w:color w:val="auto"/>
              </w:rPr>
              <w:t xml:space="preserve">Insurance Continuation </w:t>
            </w:r>
            <w:r>
              <w:rPr>
                <w:rFonts w:ascii="Arial" w:cs="Arial" w:eastAsia="Arial" w:hAnsi="Arial"/>
                <w:sz w:val="23"/>
                <w:szCs w:val="23"/>
                <w:i w:val="1"/>
                <w:iCs w:val="1"/>
                <w:color w:val="auto"/>
                <w:vertAlign w:val="superscript"/>
              </w:rPr>
              <w:t>(8)</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780" w:type="dxa"/>
            <w:vAlign w:val="bottom"/>
            <w:tcBorders>
              <w:right w:val="single" w:sz="8" w:color="auto"/>
            </w:tcBorders>
          </w:tcPr>
          <w:p>
            <w:pPr>
              <w:jc w:val="center"/>
              <w:ind w:right="143"/>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24"/>
                <w:szCs w:val="24"/>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ind w:left="124"/>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ind w:left="163"/>
              <w:spacing w:after="0"/>
              <w:rPr>
                <w:sz w:val="20"/>
                <w:szCs w:val="20"/>
                <w:color w:val="auto"/>
              </w:rPr>
            </w:pPr>
            <w:r>
              <w:rPr>
                <w:rFonts w:ascii="Arial" w:cs="Arial" w:eastAsia="Arial" w:hAnsi="Arial"/>
                <w:sz w:val="16"/>
                <w:szCs w:val="16"/>
                <w:color w:val="auto"/>
                <w:w w:val="92"/>
              </w:rPr>
              <w:t>    $64,721</w:t>
            </w:r>
          </w:p>
        </w:tc>
      </w:tr>
      <w:tr>
        <w:trPr>
          <w:trHeight w:val="182"/>
        </w:trPr>
        <w:tc>
          <w:tcPr>
            <w:tcW w:w="160" w:type="dxa"/>
            <w:vAlign w:val="bottom"/>
            <w:shd w:val="clear" w:color="auto" w:fill="F7AB6C"/>
          </w:tcPr>
          <w:p>
            <w:pPr>
              <w:spacing w:after="0"/>
              <w:rPr>
                <w:sz w:val="15"/>
                <w:szCs w:val="15"/>
                <w:color w:val="auto"/>
              </w:rPr>
            </w:pPr>
          </w:p>
        </w:tc>
        <w:tc>
          <w:tcPr>
            <w:tcW w:w="2600" w:type="dxa"/>
            <w:vAlign w:val="bottom"/>
            <w:tcBorders>
              <w:right w:val="single" w:sz="8" w:color="auto"/>
            </w:tcBorders>
            <w:shd w:val="clear" w:color="auto" w:fill="F7AB6C"/>
          </w:tcPr>
          <w:p>
            <w:pPr>
              <w:ind w:left="120"/>
              <w:spacing w:after="0" w:line="182" w:lineRule="exact"/>
              <w:rPr>
                <w:sz w:val="20"/>
                <w:szCs w:val="20"/>
                <w:color w:val="auto"/>
              </w:rPr>
            </w:pPr>
            <w:r>
              <w:rPr>
                <w:rFonts w:ascii="Arial" w:cs="Arial" w:eastAsia="Arial" w:hAnsi="Arial"/>
                <w:sz w:val="16"/>
                <w:szCs w:val="16"/>
                <w:color w:val="auto"/>
              </w:rPr>
              <w:t>Accelerated Vesting - Restricted</w:t>
            </w:r>
          </w:p>
        </w:tc>
        <w:tc>
          <w:tcPr>
            <w:tcW w:w="140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r>
      <w:tr>
        <w:trPr>
          <w:trHeight w:val="246"/>
        </w:trPr>
        <w:tc>
          <w:tcPr>
            <w:tcW w:w="160" w:type="dxa"/>
            <w:vAlign w:val="bottom"/>
            <w:tcBorders>
              <w:bottom w:val="single" w:sz="8" w:color="auto"/>
            </w:tcBorders>
            <w:shd w:val="clear" w:color="auto" w:fill="F7AB6C"/>
          </w:tcPr>
          <w:p>
            <w:pPr>
              <w:spacing w:after="0"/>
              <w:rPr>
                <w:sz w:val="21"/>
                <w:szCs w:val="21"/>
                <w:color w:val="auto"/>
              </w:rPr>
            </w:pPr>
          </w:p>
        </w:tc>
        <w:tc>
          <w:tcPr>
            <w:tcW w:w="2600" w:type="dxa"/>
            <w:vAlign w:val="bottom"/>
            <w:tcBorders>
              <w:bottom w:val="single" w:sz="8" w:color="auto"/>
              <w:right w:val="single" w:sz="8" w:color="auto"/>
            </w:tcBorders>
            <w:shd w:val="clear" w:color="auto" w:fill="F7AB6C"/>
          </w:tcPr>
          <w:p>
            <w:pPr>
              <w:ind w:left="120"/>
              <w:spacing w:after="0" w:line="246" w:lineRule="exact"/>
              <w:rPr>
                <w:sz w:val="20"/>
                <w:szCs w:val="20"/>
                <w:color w:val="auto"/>
              </w:rPr>
            </w:pPr>
            <w:r>
              <w:rPr>
                <w:rFonts w:ascii="Arial" w:cs="Arial" w:eastAsia="Arial" w:hAnsi="Arial"/>
                <w:sz w:val="16"/>
                <w:szCs w:val="16"/>
                <w:color w:val="auto"/>
              </w:rPr>
              <w:t xml:space="preserve">Stock </w:t>
            </w:r>
            <w:r>
              <w:rPr>
                <w:rFonts w:ascii="Arial" w:cs="Arial" w:eastAsia="Arial" w:hAnsi="Arial"/>
                <w:sz w:val="23"/>
                <w:szCs w:val="23"/>
                <w:i w:val="1"/>
                <w:iCs w:val="1"/>
                <w:color w:val="auto"/>
                <w:vertAlign w:val="superscript"/>
              </w:rPr>
              <w:t>(9)</w:t>
            </w:r>
          </w:p>
        </w:tc>
        <w:tc>
          <w:tcPr>
            <w:tcW w:w="140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right w:val="single" w:sz="8" w:color="auto"/>
            </w:tcBorders>
            <w:gridSpan w:val="2"/>
          </w:tcPr>
          <w:p>
            <w:pPr>
              <w:jc w:val="center"/>
              <w:ind w:left="145"/>
              <w:spacing w:after="0"/>
              <w:rPr>
                <w:sz w:val="20"/>
                <w:szCs w:val="20"/>
                <w:color w:val="auto"/>
              </w:rPr>
            </w:pPr>
            <w:r>
              <w:rPr>
                <w:rFonts w:ascii="Arial" w:cs="Arial" w:eastAsia="Arial" w:hAnsi="Arial"/>
                <w:sz w:val="16"/>
                <w:szCs w:val="16"/>
                <w:color w:val="auto"/>
                <w:w w:val="95"/>
              </w:rPr>
              <w:t>$269,665</w:t>
            </w:r>
          </w:p>
        </w:tc>
        <w:tc>
          <w:tcPr>
            <w:tcW w:w="2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auto"/>
            </w:tcBorders>
          </w:tcPr>
          <w:p>
            <w:pPr>
              <w:jc w:val="center"/>
              <w:ind w:left="144"/>
              <w:spacing w:after="0"/>
              <w:rPr>
                <w:sz w:val="20"/>
                <w:szCs w:val="20"/>
                <w:color w:val="auto"/>
              </w:rPr>
            </w:pPr>
            <w:r>
              <w:rPr>
                <w:rFonts w:ascii="Arial" w:cs="Arial" w:eastAsia="Arial" w:hAnsi="Arial"/>
                <w:sz w:val="16"/>
                <w:szCs w:val="16"/>
                <w:color w:val="auto"/>
                <w:w w:val="98"/>
              </w:rPr>
              <w:t>$269,665</w:t>
            </w:r>
          </w:p>
        </w:tc>
        <w:tc>
          <w:tcPr>
            <w:tcW w:w="1080" w:type="dxa"/>
            <w:vAlign w:val="bottom"/>
            <w:tcBorders>
              <w:bottom w:val="single" w:sz="8" w:color="auto"/>
              <w:right w:val="single" w:sz="8" w:color="auto"/>
            </w:tcBorders>
          </w:tcPr>
          <w:p>
            <w:pPr>
              <w:jc w:val="center"/>
              <w:ind w:left="144"/>
              <w:spacing w:after="0"/>
              <w:rPr>
                <w:sz w:val="20"/>
                <w:szCs w:val="20"/>
                <w:color w:val="auto"/>
              </w:rPr>
            </w:pPr>
            <w:r>
              <w:rPr>
                <w:rFonts w:ascii="Arial" w:cs="Arial" w:eastAsia="Arial" w:hAnsi="Arial"/>
                <w:sz w:val="16"/>
                <w:szCs w:val="16"/>
                <w:color w:val="auto"/>
                <w:w w:val="98"/>
              </w:rPr>
              <w:t>$269,665</w:t>
            </w:r>
          </w:p>
        </w:tc>
        <w:tc>
          <w:tcPr>
            <w:tcW w:w="1060" w:type="dxa"/>
            <w:vAlign w:val="bottom"/>
            <w:tcBorders>
              <w:bottom w:val="single" w:sz="8" w:color="auto"/>
            </w:tcBorders>
          </w:tcPr>
          <w:p>
            <w:pPr>
              <w:jc w:val="center"/>
              <w:ind w:left="103"/>
              <w:spacing w:after="0"/>
              <w:rPr>
                <w:sz w:val="20"/>
                <w:szCs w:val="20"/>
                <w:color w:val="auto"/>
              </w:rPr>
            </w:pPr>
            <w:r>
              <w:rPr>
                <w:rFonts w:ascii="Arial" w:cs="Arial" w:eastAsia="Arial" w:hAnsi="Arial"/>
                <w:sz w:val="16"/>
                <w:szCs w:val="16"/>
                <w:color w:val="auto"/>
                <w:w w:val="94"/>
              </w:rPr>
              <w:t>    $269,665</w:t>
            </w:r>
          </w:p>
        </w:tc>
      </w:tr>
      <w:tr>
        <w:trPr>
          <w:trHeight w:val="357"/>
        </w:trPr>
        <w:tc>
          <w:tcPr>
            <w:tcW w:w="2760" w:type="dxa"/>
            <w:vAlign w:val="bottom"/>
            <w:tcBorders>
              <w:bottom w:val="single" w:sz="8" w:color="F7AB6C"/>
              <w:right w:val="single" w:sz="8" w:color="auto"/>
            </w:tcBorders>
            <w:gridSpan w:val="2"/>
            <w:shd w:val="clear" w:color="auto" w:fill="F7AB6C"/>
          </w:tcPr>
          <w:p>
            <w:pPr>
              <w:spacing w:after="0"/>
              <w:rPr>
                <w:sz w:val="20"/>
                <w:szCs w:val="20"/>
                <w:color w:val="auto"/>
              </w:rPr>
            </w:pPr>
            <w:r>
              <w:rPr>
                <w:rFonts w:ascii="Arial" w:cs="Arial" w:eastAsia="Arial" w:hAnsi="Arial"/>
                <w:sz w:val="16"/>
                <w:szCs w:val="16"/>
                <w:b w:val="1"/>
                <w:bCs w:val="1"/>
                <w:color w:val="auto"/>
              </w:rPr>
              <w:t>  Total</w:t>
            </w:r>
          </w:p>
        </w:tc>
        <w:tc>
          <w:tcPr>
            <w:tcW w:w="140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gridSpan w:val="2"/>
          </w:tcPr>
          <w:p>
            <w:pPr>
              <w:jc w:val="center"/>
              <w:ind w:left="145"/>
              <w:spacing w:after="0"/>
              <w:rPr>
                <w:sz w:val="20"/>
                <w:szCs w:val="20"/>
                <w:color w:val="auto"/>
              </w:rPr>
            </w:pPr>
            <w:r>
              <w:rPr>
                <w:rFonts w:ascii="Arial" w:cs="Arial" w:eastAsia="Arial" w:hAnsi="Arial"/>
                <w:sz w:val="16"/>
                <w:szCs w:val="16"/>
                <w:color w:val="auto"/>
                <w:w w:val="95"/>
              </w:rPr>
              <w:t>$412,053</w:t>
            </w:r>
          </w:p>
        </w:tc>
        <w:tc>
          <w:tcPr>
            <w:tcW w:w="20" w:type="dxa"/>
            <w:vAlign w:val="bottom"/>
          </w:tcPr>
          <w:p>
            <w:pPr>
              <w:spacing w:after="0"/>
              <w:rPr>
                <w:sz w:val="24"/>
                <w:szCs w:val="24"/>
                <w:color w:val="auto"/>
              </w:rPr>
            </w:pPr>
          </w:p>
        </w:tc>
        <w:tc>
          <w:tcPr>
            <w:tcW w:w="136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center"/>
              <w:ind w:left="144"/>
              <w:spacing w:after="0"/>
              <w:rPr>
                <w:sz w:val="20"/>
                <w:szCs w:val="20"/>
                <w:color w:val="auto"/>
              </w:rPr>
            </w:pPr>
            <w:r>
              <w:rPr>
                <w:rFonts w:ascii="Arial" w:cs="Arial" w:eastAsia="Arial" w:hAnsi="Arial"/>
                <w:sz w:val="16"/>
                <w:szCs w:val="16"/>
                <w:color w:val="auto"/>
                <w:w w:val="98"/>
              </w:rPr>
              <w:t>$412,053</w:t>
            </w:r>
          </w:p>
        </w:tc>
        <w:tc>
          <w:tcPr>
            <w:tcW w:w="1080" w:type="dxa"/>
            <w:vAlign w:val="bottom"/>
            <w:tcBorders>
              <w:right w:val="single" w:sz="8" w:color="auto"/>
            </w:tcBorders>
          </w:tcPr>
          <w:p>
            <w:pPr>
              <w:jc w:val="center"/>
              <w:ind w:left="144"/>
              <w:spacing w:after="0"/>
              <w:rPr>
                <w:sz w:val="20"/>
                <w:szCs w:val="20"/>
                <w:color w:val="auto"/>
              </w:rPr>
            </w:pPr>
            <w:r>
              <w:rPr>
                <w:rFonts w:ascii="Arial" w:cs="Arial" w:eastAsia="Arial" w:hAnsi="Arial"/>
                <w:sz w:val="16"/>
                <w:szCs w:val="16"/>
                <w:color w:val="auto"/>
                <w:w w:val="98"/>
              </w:rPr>
              <w:t>$269,665</w:t>
            </w:r>
          </w:p>
        </w:tc>
        <w:tc>
          <w:tcPr>
            <w:tcW w:w="1060" w:type="dxa"/>
            <w:vAlign w:val="bottom"/>
          </w:tcPr>
          <w:p>
            <w:pPr>
              <w:jc w:val="center"/>
              <w:ind w:left="163"/>
              <w:spacing w:after="0"/>
              <w:rPr>
                <w:sz w:val="20"/>
                <w:szCs w:val="20"/>
                <w:color w:val="auto"/>
              </w:rPr>
            </w:pPr>
            <w:r>
              <w:rPr>
                <w:rFonts w:ascii="Arial" w:cs="Arial" w:eastAsia="Arial" w:hAnsi="Arial"/>
                <w:sz w:val="16"/>
                <w:szCs w:val="16"/>
                <w:color w:val="auto"/>
                <w:w w:val="97"/>
              </w:rPr>
              <w:t>$1,382,365</w:t>
            </w:r>
          </w:p>
        </w:tc>
      </w:tr>
      <w:tr>
        <w:trPr>
          <w:trHeight w:val="331"/>
        </w:trPr>
        <w:tc>
          <w:tcPr>
            <w:tcW w:w="160" w:type="dxa"/>
            <w:vAlign w:val="bottom"/>
            <w:tcBorders>
              <w:top w:val="single" w:sz="8" w:color="auto"/>
              <w:bottom w:val="single" w:sz="8" w:color="BFCCCC"/>
            </w:tcBorders>
          </w:tcPr>
          <w:p>
            <w:pPr>
              <w:spacing w:after="0"/>
              <w:rPr>
                <w:sz w:val="24"/>
                <w:szCs w:val="24"/>
                <w:color w:val="auto"/>
              </w:rPr>
            </w:pPr>
          </w:p>
        </w:tc>
        <w:tc>
          <w:tcPr>
            <w:tcW w:w="2600" w:type="dxa"/>
            <w:vAlign w:val="bottom"/>
            <w:tcBorders>
              <w:top w:val="single" w:sz="8" w:color="auto"/>
              <w:bottom w:val="single" w:sz="8" w:color="BFCCCC"/>
            </w:tcBorders>
          </w:tcPr>
          <w:p>
            <w:pPr>
              <w:spacing w:after="0"/>
              <w:rPr>
                <w:sz w:val="24"/>
                <w:szCs w:val="24"/>
                <w:color w:val="auto"/>
              </w:rPr>
            </w:pPr>
          </w:p>
        </w:tc>
        <w:tc>
          <w:tcPr>
            <w:tcW w:w="1400" w:type="dxa"/>
            <w:vAlign w:val="bottom"/>
            <w:tcBorders>
              <w:top w:val="single" w:sz="8" w:color="auto"/>
              <w:bottom w:val="single" w:sz="8" w:color="BFCCCC"/>
            </w:tcBorders>
          </w:tcPr>
          <w:p>
            <w:pPr>
              <w:spacing w:after="0"/>
              <w:rPr>
                <w:sz w:val="24"/>
                <w:szCs w:val="24"/>
                <w:color w:val="auto"/>
              </w:rPr>
            </w:pPr>
          </w:p>
        </w:tc>
        <w:tc>
          <w:tcPr>
            <w:tcW w:w="440" w:type="dxa"/>
            <w:vAlign w:val="bottom"/>
            <w:tcBorders>
              <w:top w:val="single" w:sz="8" w:color="auto"/>
              <w:bottom w:val="single" w:sz="8" w:color="BFCCC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60" w:type="dxa"/>
            <w:vAlign w:val="bottom"/>
            <w:tcBorders>
              <w:top w:val="single" w:sz="8" w:color="auto"/>
              <w:bottom w:val="single" w:sz="8" w:color="BFCCCC"/>
            </w:tcBorders>
          </w:tcPr>
          <w:p>
            <w:pPr>
              <w:spacing w:after="0"/>
              <w:rPr>
                <w:sz w:val="24"/>
                <w:szCs w:val="24"/>
                <w:color w:val="auto"/>
              </w:rPr>
            </w:pPr>
          </w:p>
        </w:tc>
        <w:tc>
          <w:tcPr>
            <w:tcW w:w="1080" w:type="dxa"/>
            <w:vAlign w:val="bottom"/>
            <w:tcBorders>
              <w:top w:val="single" w:sz="8" w:color="auto"/>
              <w:bottom w:val="single" w:sz="8" w:color="BFCCCC"/>
            </w:tcBorders>
          </w:tcPr>
          <w:p>
            <w:pPr>
              <w:spacing w:after="0"/>
              <w:rPr>
                <w:sz w:val="24"/>
                <w:szCs w:val="24"/>
                <w:color w:val="auto"/>
              </w:rPr>
            </w:pPr>
          </w:p>
        </w:tc>
        <w:tc>
          <w:tcPr>
            <w:tcW w:w="1080" w:type="dxa"/>
            <w:vAlign w:val="bottom"/>
            <w:tcBorders>
              <w:top w:val="single" w:sz="8" w:color="auto"/>
              <w:bottom w:val="single" w:sz="8" w:color="BFCCCC"/>
            </w:tcBorders>
          </w:tcPr>
          <w:p>
            <w:pPr>
              <w:spacing w:after="0"/>
              <w:rPr>
                <w:sz w:val="24"/>
                <w:szCs w:val="24"/>
                <w:color w:val="auto"/>
              </w:rPr>
            </w:pPr>
          </w:p>
        </w:tc>
        <w:tc>
          <w:tcPr>
            <w:tcW w:w="1060" w:type="dxa"/>
            <w:vAlign w:val="bottom"/>
            <w:tcBorders>
              <w:top w:val="single" w:sz="8" w:color="auto"/>
              <w:bottom w:val="single" w:sz="8" w:color="BFCCCC"/>
            </w:tcBorders>
          </w:tcPr>
          <w:p>
            <w:pPr>
              <w:spacing w:after="0"/>
              <w:rPr>
                <w:sz w:val="24"/>
                <w:szCs w:val="24"/>
                <w:color w:val="auto"/>
              </w:rPr>
            </w:pPr>
          </w:p>
        </w:tc>
      </w:tr>
      <w:tr>
        <w:trPr>
          <w:trHeight w:val="335"/>
        </w:trPr>
        <w:tc>
          <w:tcPr>
            <w:tcW w:w="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-961390</wp:posOffset>
            </wp:positionV>
            <wp:extent cx="6337300" cy="127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-1118235</wp:posOffset>
            </wp:positionV>
            <wp:extent cx="6337300" cy="127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-1275080</wp:posOffset>
            </wp:positionV>
            <wp:extent cx="6337300" cy="127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-1703705</wp:posOffset>
            </wp:positionV>
            <wp:extent cx="6337300" cy="127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-2818130</wp:posOffset>
            </wp:positionV>
            <wp:extent cx="6337300" cy="127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-2974340</wp:posOffset>
            </wp:positionV>
            <wp:extent cx="6337300" cy="127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-3131185</wp:posOffset>
            </wp:positionV>
            <wp:extent cx="6337300" cy="127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-3560445</wp:posOffset>
            </wp:positionV>
            <wp:extent cx="6337300" cy="127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-4674235</wp:posOffset>
            </wp:positionV>
            <wp:extent cx="6337300" cy="127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-4831080</wp:posOffset>
            </wp:positionV>
            <wp:extent cx="6337300" cy="127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-4987925</wp:posOffset>
            </wp:positionV>
            <wp:extent cx="6337300" cy="127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-5417185</wp:posOffset>
            </wp:positionV>
            <wp:extent cx="6337300" cy="127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-6025515</wp:posOffset>
            </wp:positionV>
            <wp:extent cx="8255" cy="156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5365750</wp:posOffset>
            </wp:positionH>
            <wp:positionV relativeFrom="paragraph">
              <wp:posOffset>-6025515</wp:posOffset>
            </wp:positionV>
            <wp:extent cx="8255" cy="156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-6025515</wp:posOffset>
            </wp:positionV>
            <wp:extent cx="8255" cy="156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-6025515</wp:posOffset>
            </wp:positionV>
            <wp:extent cx="8255" cy="156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-6025515</wp:posOffset>
            </wp:positionV>
            <wp:extent cx="8255" cy="156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-6025515</wp:posOffset>
            </wp:positionV>
            <wp:extent cx="8255" cy="156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-282575</wp:posOffset>
            </wp:positionV>
            <wp:extent cx="321945" cy="825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21945" cy="82550"/>
                    </a:xfrm>
                    <a:prstGeom prst="rect">
                      <a:avLst/>
                    </a:prstGeom>
                    <a:noFill/>
                  </pic:spPr>
                </pic:pic>
              </a:graphicData>
            </a:graphic>
          </wp:anchor>
        </w:drawing>
      </w:r>
    </w:p>
    <w:p>
      <w:pPr>
        <w:sectPr>
          <w:pgSz w:w="11900" w:h="16838" w:orient="portrait"/>
          <w:cols w:equalWidth="0" w:num="1">
            <w:col w:w="10620"/>
          </w:cols>
          <w:pgMar w:left="320" w:top="470" w:right="9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23939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337300" cy="239395"/>
                    </a:xfrm>
                    <a:prstGeom prst="rect">
                      <a:avLst/>
                    </a:prstGeom>
                    <a:noFill/>
                  </pic:spPr>
                </pic:pic>
              </a:graphicData>
            </a:graphic>
          </wp:anchor>
        </w:drawing>
      </w:r>
    </w:p>
    <w:p>
      <w:pPr>
        <w:spacing w:after="0" w:line="389"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FFFFFF"/>
        </w:rPr>
        <w:t>ESTIMATED PRESENT VALUE OF BENEFITS</w:t>
      </w:r>
    </w:p>
    <w:p>
      <w:pPr>
        <w:spacing w:after="0" w:line="43" w:lineRule="exact"/>
        <w:rPr>
          <w:sz w:val="20"/>
          <w:szCs w:val="20"/>
          <w:color w:val="auto"/>
        </w:rPr>
      </w:pPr>
    </w:p>
    <w:tbl>
      <w:tblPr>
        <w:tblLayout w:type="fixed"/>
        <w:tblInd w:w="64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260" w:type="dxa"/>
            <w:vAlign w:val="bottom"/>
            <w:tcBorders>
              <w:top w:val="single" w:sz="8" w:color="auto"/>
              <w:right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F7AB6C"/>
            </w:tcBorders>
            <w:shd w:val="clear" w:color="auto" w:fill="F7AB6C"/>
          </w:tcPr>
          <w:p>
            <w:pPr>
              <w:spacing w:after="0"/>
              <w:rPr>
                <w:sz w:val="21"/>
                <w:szCs w:val="21"/>
                <w:color w:val="auto"/>
              </w:rPr>
            </w:pPr>
          </w:p>
        </w:tc>
        <w:tc>
          <w:tcPr>
            <w:tcW w:w="1020" w:type="dxa"/>
            <w:vAlign w:val="bottom"/>
            <w:tcBorders>
              <w:top w:val="single" w:sz="8" w:color="auto"/>
              <w:bottom w:val="single" w:sz="8" w:color="auto"/>
              <w:right w:val="single" w:sz="8" w:color="F7AB6C"/>
            </w:tcBorders>
            <w:shd w:val="clear" w:color="auto" w:fill="F7AB6C"/>
          </w:tcPr>
          <w:p>
            <w:pPr>
              <w:jc w:val="center"/>
              <w:ind w:left="26"/>
              <w:spacing w:after="0"/>
              <w:rPr>
                <w:sz w:val="20"/>
                <w:szCs w:val="20"/>
                <w:color w:val="auto"/>
              </w:rPr>
            </w:pPr>
            <w:r>
              <w:rPr>
                <w:rFonts w:ascii="Arial" w:cs="Arial" w:eastAsia="Arial" w:hAnsi="Arial"/>
                <w:sz w:val="16"/>
                <w:szCs w:val="16"/>
                <w:b w:val="1"/>
                <w:bCs w:val="1"/>
                <w:color w:val="auto"/>
                <w:w w:val="96"/>
              </w:rPr>
              <w:t>Termination</w:t>
            </w:r>
          </w:p>
        </w:tc>
        <w:tc>
          <w:tcPr>
            <w:tcW w:w="1320" w:type="dxa"/>
            <w:vAlign w:val="bottom"/>
            <w:tcBorders>
              <w:top w:val="single" w:sz="8" w:color="auto"/>
              <w:bottom w:val="single" w:sz="8" w:color="auto"/>
              <w:right w:val="single" w:sz="8" w:color="auto"/>
            </w:tcBorders>
            <w:shd w:val="clear" w:color="auto" w:fill="F7AB6C"/>
          </w:tcPr>
          <w:p>
            <w:pPr>
              <w:spacing w:after="0"/>
              <w:rPr>
                <w:sz w:val="21"/>
                <w:szCs w:val="21"/>
                <w:color w:val="auto"/>
              </w:rPr>
            </w:pPr>
          </w:p>
        </w:tc>
        <w:tc>
          <w:tcPr>
            <w:tcW w:w="1020" w:type="dxa"/>
            <w:vAlign w:val="bottom"/>
            <w:tcBorders>
              <w:top w:val="single" w:sz="8" w:color="auto"/>
              <w:bottom w:val="single" w:sz="8" w:color="auto"/>
              <w:right w:val="single" w:sz="8" w:color="auto"/>
            </w:tcBorders>
            <w:shd w:val="clear" w:color="auto" w:fill="F7AB6C"/>
          </w:tcPr>
          <w:p>
            <w:pPr>
              <w:jc w:val="center"/>
              <w:ind w:left="5"/>
              <w:spacing w:after="0"/>
              <w:rPr>
                <w:sz w:val="20"/>
                <w:szCs w:val="20"/>
                <w:color w:val="auto"/>
              </w:rPr>
            </w:pPr>
            <w:r>
              <w:rPr>
                <w:rFonts w:ascii="Arial" w:cs="Arial" w:eastAsia="Arial" w:hAnsi="Arial"/>
                <w:sz w:val="16"/>
                <w:szCs w:val="16"/>
                <w:b w:val="1"/>
                <w:bCs w:val="1"/>
                <w:color w:val="auto"/>
                <w:w w:val="98"/>
              </w:rPr>
              <w:t>Retirement</w:t>
            </w:r>
          </w:p>
        </w:tc>
        <w:tc>
          <w:tcPr>
            <w:tcW w:w="2020" w:type="dxa"/>
            <w:vAlign w:val="bottom"/>
            <w:tcBorders>
              <w:top w:val="single" w:sz="8" w:color="auto"/>
              <w:bottom w:val="single" w:sz="8" w:color="auto"/>
            </w:tcBorders>
            <w:gridSpan w:val="2"/>
            <w:shd w:val="clear" w:color="auto" w:fill="F7AB6C"/>
          </w:tcPr>
          <w:p>
            <w:pPr>
              <w:ind w:left="400"/>
              <w:spacing w:after="0"/>
              <w:rPr>
                <w:sz w:val="20"/>
                <w:szCs w:val="20"/>
                <w:color w:val="auto"/>
              </w:rPr>
            </w:pPr>
            <w:r>
              <w:rPr>
                <w:rFonts w:ascii="Arial" w:cs="Arial" w:eastAsia="Arial" w:hAnsi="Arial"/>
                <w:sz w:val="16"/>
                <w:szCs w:val="16"/>
                <w:b w:val="1"/>
                <w:bCs w:val="1"/>
                <w:color w:val="auto"/>
              </w:rPr>
              <w:t>Change in Control</w:t>
            </w:r>
          </w:p>
        </w:tc>
      </w:tr>
      <w:tr>
        <w:trPr>
          <w:trHeight w:val="140"/>
        </w:trPr>
        <w:tc>
          <w:tcPr>
            <w:tcW w:w="20" w:type="dxa"/>
            <w:vAlign w:val="bottom"/>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center"/>
              <w:ind w:left="27"/>
              <w:spacing w:after="0" w:line="139" w:lineRule="exact"/>
              <w:rPr>
                <w:sz w:val="20"/>
                <w:szCs w:val="20"/>
                <w:color w:val="auto"/>
              </w:rPr>
            </w:pPr>
            <w:r>
              <w:rPr>
                <w:rFonts w:ascii="Arial" w:cs="Arial" w:eastAsia="Arial" w:hAnsi="Arial"/>
                <w:sz w:val="14"/>
                <w:szCs w:val="14"/>
                <w:b w:val="1"/>
                <w:bCs w:val="1"/>
                <w:color w:val="auto"/>
                <w:w w:val="99"/>
              </w:rPr>
              <w:t>By the Company</w:t>
            </w:r>
          </w:p>
        </w:tc>
        <w:tc>
          <w:tcPr>
            <w:tcW w:w="10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center"/>
              <w:ind w:left="7"/>
              <w:spacing w:after="0" w:line="139" w:lineRule="exact"/>
              <w:rPr>
                <w:sz w:val="20"/>
                <w:szCs w:val="20"/>
                <w:color w:val="auto"/>
              </w:rPr>
            </w:pPr>
            <w:r>
              <w:rPr>
                <w:rFonts w:ascii="Arial" w:cs="Arial" w:eastAsia="Arial" w:hAnsi="Arial"/>
                <w:sz w:val="14"/>
                <w:szCs w:val="14"/>
                <w:b w:val="1"/>
                <w:bCs w:val="1"/>
                <w:color w:val="auto"/>
                <w:w w:val="98"/>
              </w:rPr>
              <w:t> By the Company</w:t>
            </w: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26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jc w:val="center"/>
              <w:ind w:left="27"/>
              <w:spacing w:after="0" w:line="156" w:lineRule="exact"/>
              <w:rPr>
                <w:sz w:val="20"/>
                <w:szCs w:val="20"/>
                <w:color w:val="auto"/>
              </w:rPr>
            </w:pPr>
            <w:r>
              <w:rPr>
                <w:rFonts w:ascii="Arial" w:cs="Arial" w:eastAsia="Arial" w:hAnsi="Arial"/>
                <w:sz w:val="14"/>
                <w:szCs w:val="14"/>
                <w:b w:val="1"/>
                <w:bCs w:val="1"/>
                <w:color w:val="auto"/>
              </w:rPr>
              <w:t>(not for</w:t>
            </w:r>
          </w:p>
        </w:tc>
        <w:tc>
          <w:tcPr>
            <w:tcW w:w="102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jc w:val="center"/>
              <w:ind w:left="27"/>
              <w:spacing w:after="0" w:line="156" w:lineRule="exact"/>
              <w:rPr>
                <w:sz w:val="20"/>
                <w:szCs w:val="20"/>
                <w:color w:val="auto"/>
              </w:rPr>
            </w:pPr>
            <w:r>
              <w:rPr>
                <w:rFonts w:ascii="Arial" w:cs="Arial" w:eastAsia="Arial" w:hAnsi="Arial"/>
                <w:sz w:val="14"/>
                <w:szCs w:val="14"/>
                <w:b w:val="1"/>
                <w:bCs w:val="1"/>
                <w:color w:val="auto"/>
                <w:w w:val="98"/>
              </w:rPr>
              <w:t>for Cause; or</w:t>
            </w:r>
          </w:p>
        </w:tc>
        <w:tc>
          <w:tcPr>
            <w:tcW w:w="102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6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jc w:val="center"/>
              <w:ind w:left="27"/>
              <w:spacing w:after="0" w:line="156" w:lineRule="exact"/>
              <w:rPr>
                <w:sz w:val="20"/>
                <w:szCs w:val="20"/>
                <w:color w:val="auto"/>
              </w:rPr>
            </w:pPr>
            <w:r>
              <w:rPr>
                <w:rFonts w:ascii="Arial" w:cs="Arial" w:eastAsia="Arial" w:hAnsi="Arial"/>
                <w:sz w:val="14"/>
                <w:szCs w:val="14"/>
                <w:b w:val="1"/>
                <w:bCs w:val="1"/>
                <w:color w:val="auto"/>
                <w:w w:val="97"/>
              </w:rPr>
              <w:t>Death, Disability,</w:t>
            </w:r>
          </w:p>
        </w:tc>
        <w:tc>
          <w:tcPr>
            <w:tcW w:w="102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jc w:val="center"/>
              <w:ind w:left="27"/>
              <w:spacing w:after="0" w:line="156" w:lineRule="exact"/>
              <w:rPr>
                <w:sz w:val="20"/>
                <w:szCs w:val="20"/>
                <w:color w:val="auto"/>
              </w:rPr>
            </w:pPr>
            <w:r>
              <w:rPr>
                <w:rFonts w:ascii="Arial" w:cs="Arial" w:eastAsia="Arial" w:hAnsi="Arial"/>
                <w:sz w:val="14"/>
                <w:szCs w:val="14"/>
                <w:b w:val="1"/>
                <w:bCs w:val="1"/>
                <w:color w:val="auto"/>
                <w:w w:val="95"/>
              </w:rPr>
              <w:t>Voluntary</w:t>
            </w:r>
          </w:p>
        </w:tc>
        <w:tc>
          <w:tcPr>
            <w:tcW w:w="102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6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jc w:val="center"/>
              <w:ind w:left="27"/>
              <w:spacing w:after="0" w:line="156" w:lineRule="exact"/>
              <w:rPr>
                <w:sz w:val="20"/>
                <w:szCs w:val="20"/>
                <w:color w:val="auto"/>
              </w:rPr>
            </w:pPr>
            <w:r>
              <w:rPr>
                <w:rFonts w:ascii="Arial" w:cs="Arial" w:eastAsia="Arial" w:hAnsi="Arial"/>
                <w:sz w:val="14"/>
                <w:szCs w:val="14"/>
                <w:b w:val="1"/>
                <w:bCs w:val="1"/>
                <w:color w:val="auto"/>
                <w:w w:val="98"/>
              </w:rPr>
              <w:t>or Cause); or</w:t>
            </w:r>
          </w:p>
        </w:tc>
        <w:tc>
          <w:tcPr>
            <w:tcW w:w="1020" w:type="dxa"/>
            <w:vAlign w:val="bottom"/>
            <w:tcBorders>
              <w:right w:val="single" w:sz="8" w:color="auto"/>
            </w:tcBorders>
          </w:tcPr>
          <w:p>
            <w:pPr>
              <w:jc w:val="center"/>
              <w:ind w:left="26"/>
              <w:spacing w:after="0" w:line="156" w:lineRule="exact"/>
              <w:rPr>
                <w:sz w:val="20"/>
                <w:szCs w:val="20"/>
                <w:color w:val="auto"/>
              </w:rPr>
            </w:pPr>
            <w:r>
              <w:rPr>
                <w:rFonts w:ascii="Arial" w:cs="Arial" w:eastAsia="Arial" w:hAnsi="Arial"/>
                <w:sz w:val="14"/>
                <w:szCs w:val="14"/>
                <w:b w:val="1"/>
                <w:bCs w:val="1"/>
                <w:color w:val="auto"/>
                <w:w w:val="97"/>
              </w:rPr>
              <w:t>Due to Death</w:t>
            </w:r>
          </w:p>
        </w:tc>
        <w:tc>
          <w:tcPr>
            <w:tcW w:w="1320" w:type="dxa"/>
            <w:vAlign w:val="bottom"/>
            <w:tcBorders>
              <w:right w:val="single" w:sz="8" w:color="auto"/>
            </w:tcBorders>
          </w:tcPr>
          <w:p>
            <w:pPr>
              <w:jc w:val="center"/>
              <w:ind w:left="27"/>
              <w:spacing w:after="0" w:line="156" w:lineRule="exact"/>
              <w:rPr>
                <w:sz w:val="20"/>
                <w:szCs w:val="20"/>
                <w:color w:val="auto"/>
              </w:rPr>
            </w:pPr>
            <w:r>
              <w:rPr>
                <w:rFonts w:ascii="Arial" w:cs="Arial" w:eastAsia="Arial" w:hAnsi="Arial"/>
                <w:sz w:val="14"/>
                <w:szCs w:val="14"/>
                <w:b w:val="1"/>
                <w:bCs w:val="1"/>
                <w:color w:val="auto"/>
                <w:w w:val="97"/>
              </w:rPr>
              <w:t>Termination</w:t>
            </w:r>
          </w:p>
        </w:tc>
        <w:tc>
          <w:tcPr>
            <w:tcW w:w="102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6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jc w:val="center"/>
              <w:ind w:left="27"/>
              <w:spacing w:after="0" w:line="156" w:lineRule="exact"/>
              <w:rPr>
                <w:sz w:val="20"/>
                <w:szCs w:val="20"/>
                <w:color w:val="auto"/>
              </w:rPr>
            </w:pPr>
            <w:r>
              <w:rPr>
                <w:rFonts w:ascii="Arial" w:cs="Arial" w:eastAsia="Arial" w:hAnsi="Arial"/>
                <w:sz w:val="14"/>
                <w:szCs w:val="14"/>
                <w:b w:val="1"/>
                <w:bCs w:val="1"/>
                <w:color w:val="auto"/>
                <w:w w:val="95"/>
              </w:rPr>
              <w:t>Voluntary</w:t>
            </w:r>
          </w:p>
        </w:tc>
        <w:tc>
          <w:tcPr>
            <w:tcW w:w="1020" w:type="dxa"/>
            <w:vAlign w:val="bottom"/>
            <w:tcBorders>
              <w:right w:val="single" w:sz="8" w:color="auto"/>
            </w:tcBorders>
          </w:tcPr>
          <w:p>
            <w:pPr>
              <w:jc w:val="center"/>
              <w:ind w:left="26"/>
              <w:spacing w:after="0" w:line="156" w:lineRule="exact"/>
              <w:rPr>
                <w:sz w:val="20"/>
                <w:szCs w:val="20"/>
                <w:color w:val="auto"/>
              </w:rPr>
            </w:pPr>
            <w:r>
              <w:rPr>
                <w:rFonts w:ascii="Arial" w:cs="Arial" w:eastAsia="Arial" w:hAnsi="Arial"/>
                <w:sz w:val="14"/>
                <w:szCs w:val="14"/>
                <w:b w:val="1"/>
                <w:bCs w:val="1"/>
                <w:color w:val="auto"/>
                <w:w w:val="99"/>
              </w:rPr>
              <w:t>or Disability</w:t>
            </w:r>
          </w:p>
        </w:tc>
        <w:tc>
          <w:tcPr>
            <w:tcW w:w="1320" w:type="dxa"/>
            <w:vAlign w:val="bottom"/>
            <w:tcBorders>
              <w:right w:val="single" w:sz="8" w:color="auto"/>
            </w:tcBorders>
          </w:tcPr>
          <w:p>
            <w:pPr>
              <w:jc w:val="center"/>
              <w:ind w:left="27"/>
              <w:spacing w:after="0" w:line="156" w:lineRule="exact"/>
              <w:rPr>
                <w:sz w:val="20"/>
                <w:szCs w:val="20"/>
                <w:color w:val="auto"/>
              </w:rPr>
            </w:pPr>
            <w:r>
              <w:rPr>
                <w:rFonts w:ascii="Arial" w:cs="Arial" w:eastAsia="Arial" w:hAnsi="Arial"/>
                <w:sz w:val="14"/>
                <w:szCs w:val="14"/>
                <w:b w:val="1"/>
                <w:bCs w:val="1"/>
                <w:color w:val="auto"/>
                <w:w w:val="98"/>
              </w:rPr>
              <w:t>other than for</w:t>
            </w:r>
          </w:p>
        </w:tc>
        <w:tc>
          <w:tcPr>
            <w:tcW w:w="102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6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jc w:val="center"/>
              <w:ind w:left="27"/>
              <w:spacing w:after="0" w:line="156" w:lineRule="exact"/>
              <w:rPr>
                <w:sz w:val="20"/>
                <w:szCs w:val="20"/>
                <w:color w:val="auto"/>
              </w:rPr>
            </w:pPr>
            <w:r>
              <w:rPr>
                <w:rFonts w:ascii="Arial" w:cs="Arial" w:eastAsia="Arial" w:hAnsi="Arial"/>
                <w:sz w:val="14"/>
                <w:szCs w:val="14"/>
                <w:b w:val="1"/>
                <w:bCs w:val="1"/>
                <w:color w:val="auto"/>
                <w:w w:val="97"/>
              </w:rPr>
              <w:t>Termination</w:t>
            </w:r>
          </w:p>
        </w:tc>
        <w:tc>
          <w:tcPr>
            <w:tcW w:w="1020" w:type="dxa"/>
            <w:vAlign w:val="bottom"/>
            <w:tcBorders>
              <w:right w:val="single" w:sz="8" w:color="auto"/>
            </w:tcBorders>
          </w:tcPr>
          <w:p>
            <w:pPr>
              <w:jc w:val="center"/>
              <w:ind w:left="6"/>
              <w:spacing w:after="0" w:line="156" w:lineRule="exact"/>
              <w:rPr>
                <w:sz w:val="20"/>
                <w:szCs w:val="20"/>
                <w:color w:val="auto"/>
              </w:rPr>
            </w:pPr>
            <w:r>
              <w:rPr>
                <w:rFonts w:ascii="Arial" w:cs="Arial" w:eastAsia="Arial" w:hAnsi="Arial"/>
                <w:sz w:val="14"/>
                <w:szCs w:val="14"/>
                <w:b w:val="1"/>
                <w:bCs w:val="1"/>
                <w:color w:val="auto"/>
                <w:w w:val="98"/>
              </w:rPr>
              <w:t>(with or</w:t>
            </w:r>
          </w:p>
        </w:tc>
        <w:tc>
          <w:tcPr>
            <w:tcW w:w="1320" w:type="dxa"/>
            <w:vAlign w:val="bottom"/>
            <w:tcBorders>
              <w:right w:val="single" w:sz="8" w:color="auto"/>
            </w:tcBorders>
          </w:tcPr>
          <w:p>
            <w:pPr>
              <w:jc w:val="center"/>
              <w:ind w:left="27"/>
              <w:spacing w:after="0" w:line="156" w:lineRule="exact"/>
              <w:rPr>
                <w:sz w:val="20"/>
                <w:szCs w:val="20"/>
                <w:color w:val="auto"/>
              </w:rPr>
            </w:pPr>
            <w:r>
              <w:rPr>
                <w:rFonts w:ascii="Arial" w:cs="Arial" w:eastAsia="Arial" w:hAnsi="Arial"/>
                <w:sz w:val="14"/>
                <w:szCs w:val="14"/>
                <w:b w:val="1"/>
                <w:bCs w:val="1"/>
                <w:color w:val="auto"/>
                <w:w w:val="97"/>
              </w:rPr>
              <w:t>Good Reason or</w:t>
            </w:r>
          </w:p>
        </w:tc>
        <w:tc>
          <w:tcPr>
            <w:tcW w:w="1020" w:type="dxa"/>
            <w:vAlign w:val="bottom"/>
            <w:tcBorders>
              <w:right w:val="single" w:sz="8" w:color="auto"/>
            </w:tcBorders>
          </w:tcPr>
          <w:p>
            <w:pPr>
              <w:jc w:val="center"/>
              <w:ind w:left="25"/>
              <w:spacing w:after="0" w:line="156" w:lineRule="exact"/>
              <w:rPr>
                <w:sz w:val="20"/>
                <w:szCs w:val="20"/>
                <w:color w:val="auto"/>
              </w:rPr>
            </w:pPr>
            <w:r>
              <w:rPr>
                <w:rFonts w:ascii="Arial" w:cs="Arial" w:eastAsia="Arial" w:hAnsi="Arial"/>
                <w:sz w:val="14"/>
                <w:szCs w:val="14"/>
                <w:b w:val="1"/>
                <w:bCs w:val="1"/>
                <w:color w:val="auto"/>
                <w:w w:val="99"/>
              </w:rPr>
              <w:t>With or</w:t>
            </w:r>
          </w:p>
        </w:tc>
        <w:tc>
          <w:tcPr>
            <w:tcW w:w="1020" w:type="dxa"/>
            <w:vAlign w:val="bottom"/>
            <w:tcBorders>
              <w:right w:val="single" w:sz="8" w:color="auto"/>
            </w:tcBorders>
          </w:tcPr>
          <w:p>
            <w:pPr>
              <w:jc w:val="center"/>
              <w:ind w:left="25"/>
              <w:spacing w:after="0" w:line="156" w:lineRule="exact"/>
              <w:rPr>
                <w:sz w:val="20"/>
                <w:szCs w:val="20"/>
                <w:color w:val="auto"/>
              </w:rPr>
            </w:pPr>
            <w:r>
              <w:rPr>
                <w:rFonts w:ascii="Arial" w:cs="Arial" w:eastAsia="Arial" w:hAnsi="Arial"/>
                <w:sz w:val="14"/>
                <w:szCs w:val="14"/>
                <w:b w:val="1"/>
                <w:bCs w:val="1"/>
                <w:color w:val="auto"/>
                <w:w w:val="99"/>
              </w:rPr>
              <w:t>Without</w:t>
            </w:r>
          </w:p>
        </w:tc>
        <w:tc>
          <w:tcPr>
            <w:tcW w:w="1000" w:type="dxa"/>
            <w:vAlign w:val="bottom"/>
          </w:tcPr>
          <w:p>
            <w:pPr>
              <w:jc w:val="center"/>
              <w:ind w:left="66"/>
              <w:spacing w:after="0" w:line="156" w:lineRule="exact"/>
              <w:rPr>
                <w:sz w:val="20"/>
                <w:szCs w:val="20"/>
                <w:color w:val="auto"/>
              </w:rPr>
            </w:pPr>
            <w:r>
              <w:rPr>
                <w:rFonts w:ascii="Arial" w:cs="Arial" w:eastAsia="Arial" w:hAnsi="Arial"/>
                <w:sz w:val="14"/>
                <w:szCs w:val="14"/>
                <w:b w:val="1"/>
                <w:bCs w:val="1"/>
                <w:color w:val="auto"/>
                <w:w w:val="98"/>
              </w:rPr>
              <w:t>With</w:t>
            </w:r>
          </w:p>
        </w:tc>
      </w:tr>
      <w:tr>
        <w:trPr>
          <w:trHeight w:val="156"/>
        </w:trPr>
        <w:tc>
          <w:tcPr>
            <w:tcW w:w="20" w:type="dxa"/>
            <w:vAlign w:val="bottom"/>
          </w:tcPr>
          <w:p>
            <w:pPr>
              <w:spacing w:after="0"/>
              <w:rPr>
                <w:sz w:val="13"/>
                <w:szCs w:val="13"/>
                <w:color w:val="auto"/>
              </w:rPr>
            </w:pPr>
          </w:p>
        </w:tc>
        <w:tc>
          <w:tcPr>
            <w:tcW w:w="326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jc w:val="center"/>
              <w:ind w:left="7"/>
              <w:spacing w:after="0" w:line="156" w:lineRule="exact"/>
              <w:rPr>
                <w:sz w:val="20"/>
                <w:szCs w:val="20"/>
                <w:color w:val="auto"/>
              </w:rPr>
            </w:pPr>
            <w:r>
              <w:rPr>
                <w:rFonts w:ascii="Arial" w:cs="Arial" w:eastAsia="Arial" w:hAnsi="Arial"/>
                <w:sz w:val="14"/>
                <w:szCs w:val="14"/>
                <w:b w:val="1"/>
                <w:bCs w:val="1"/>
                <w:color w:val="auto"/>
                <w:w w:val="99"/>
              </w:rPr>
              <w:t> for Good Reason</w:t>
            </w:r>
          </w:p>
        </w:tc>
        <w:tc>
          <w:tcPr>
            <w:tcW w:w="1020" w:type="dxa"/>
            <w:vAlign w:val="bottom"/>
            <w:tcBorders>
              <w:right w:val="single" w:sz="8" w:color="auto"/>
            </w:tcBorders>
          </w:tcPr>
          <w:p>
            <w:pPr>
              <w:jc w:val="center"/>
              <w:ind w:left="26"/>
              <w:spacing w:after="0" w:line="156" w:lineRule="exact"/>
              <w:rPr>
                <w:sz w:val="20"/>
                <w:szCs w:val="20"/>
                <w:color w:val="auto"/>
              </w:rPr>
            </w:pPr>
            <w:r>
              <w:rPr>
                <w:rFonts w:ascii="Arial" w:cs="Arial" w:eastAsia="Arial" w:hAnsi="Arial"/>
                <w:sz w:val="14"/>
                <w:szCs w:val="14"/>
                <w:b w:val="1"/>
                <w:bCs w:val="1"/>
                <w:color w:val="auto"/>
                <w:w w:val="97"/>
              </w:rPr>
              <w:t>without a</w:t>
            </w:r>
          </w:p>
        </w:tc>
        <w:tc>
          <w:tcPr>
            <w:tcW w:w="1320" w:type="dxa"/>
            <w:vAlign w:val="bottom"/>
            <w:tcBorders>
              <w:right w:val="single" w:sz="8" w:color="auto"/>
            </w:tcBorders>
          </w:tcPr>
          <w:p>
            <w:pPr>
              <w:jc w:val="center"/>
              <w:ind w:left="27"/>
              <w:spacing w:after="0" w:line="156" w:lineRule="exact"/>
              <w:rPr>
                <w:sz w:val="20"/>
                <w:szCs w:val="20"/>
                <w:color w:val="auto"/>
              </w:rPr>
            </w:pPr>
            <w:r>
              <w:rPr>
                <w:rFonts w:ascii="Arial" w:cs="Arial" w:eastAsia="Arial" w:hAnsi="Arial"/>
                <w:sz w:val="14"/>
                <w:szCs w:val="14"/>
                <w:b w:val="1"/>
                <w:bCs w:val="1"/>
                <w:color w:val="auto"/>
              </w:rPr>
              <w:t>Retirement</w:t>
            </w:r>
          </w:p>
        </w:tc>
        <w:tc>
          <w:tcPr>
            <w:tcW w:w="1020" w:type="dxa"/>
            <w:vAlign w:val="bottom"/>
            <w:tcBorders>
              <w:right w:val="single" w:sz="8" w:color="auto"/>
            </w:tcBorders>
          </w:tcPr>
          <w:p>
            <w:pPr>
              <w:jc w:val="center"/>
              <w:ind w:left="25"/>
              <w:spacing w:after="0" w:line="156" w:lineRule="exact"/>
              <w:rPr>
                <w:sz w:val="20"/>
                <w:szCs w:val="20"/>
                <w:color w:val="auto"/>
              </w:rPr>
            </w:pPr>
            <w:r>
              <w:rPr>
                <w:rFonts w:ascii="Arial" w:cs="Arial" w:eastAsia="Arial" w:hAnsi="Arial"/>
                <w:sz w:val="14"/>
                <w:szCs w:val="14"/>
                <w:b w:val="1"/>
                <w:bCs w:val="1"/>
                <w:color w:val="auto"/>
              </w:rPr>
              <w:t>Without a</w:t>
            </w:r>
          </w:p>
        </w:tc>
        <w:tc>
          <w:tcPr>
            <w:tcW w:w="1020" w:type="dxa"/>
            <w:vAlign w:val="bottom"/>
            <w:tcBorders>
              <w:right w:val="single" w:sz="8" w:color="auto"/>
            </w:tcBorders>
          </w:tcPr>
          <w:p>
            <w:pPr>
              <w:jc w:val="center"/>
              <w:ind w:left="45"/>
              <w:spacing w:after="0" w:line="156" w:lineRule="exact"/>
              <w:rPr>
                <w:sz w:val="20"/>
                <w:szCs w:val="20"/>
                <w:color w:val="auto"/>
              </w:rPr>
            </w:pPr>
            <w:r>
              <w:rPr>
                <w:rFonts w:ascii="Arial" w:cs="Arial" w:eastAsia="Arial" w:hAnsi="Arial"/>
                <w:sz w:val="14"/>
                <w:szCs w:val="14"/>
                <w:b w:val="1"/>
                <w:bCs w:val="1"/>
                <w:color w:val="auto"/>
                <w:w w:val="97"/>
              </w:rPr>
              <w:t>Adverse</w:t>
            </w:r>
          </w:p>
        </w:tc>
        <w:tc>
          <w:tcPr>
            <w:tcW w:w="1000" w:type="dxa"/>
            <w:vAlign w:val="bottom"/>
          </w:tcPr>
          <w:p>
            <w:pPr>
              <w:jc w:val="center"/>
              <w:ind w:left="66"/>
              <w:spacing w:after="0" w:line="156" w:lineRule="exact"/>
              <w:rPr>
                <w:sz w:val="20"/>
                <w:szCs w:val="20"/>
                <w:color w:val="auto"/>
              </w:rPr>
            </w:pPr>
            <w:r>
              <w:rPr>
                <w:rFonts w:ascii="Arial" w:cs="Arial" w:eastAsia="Arial" w:hAnsi="Arial"/>
                <w:sz w:val="14"/>
                <w:szCs w:val="14"/>
                <w:b w:val="1"/>
                <w:bCs w:val="1"/>
                <w:color w:val="auto"/>
                <w:w w:val="97"/>
              </w:rPr>
              <w:t>Adverse</w:t>
            </w:r>
          </w:p>
        </w:tc>
      </w:tr>
      <w:tr>
        <w:trPr>
          <w:trHeight w:val="154"/>
        </w:trPr>
        <w:tc>
          <w:tcPr>
            <w:tcW w:w="20" w:type="dxa"/>
            <w:vAlign w:val="bottom"/>
          </w:tcPr>
          <w:p>
            <w:pPr>
              <w:spacing w:after="0"/>
              <w:rPr>
                <w:sz w:val="13"/>
                <w:szCs w:val="13"/>
                <w:color w:val="auto"/>
              </w:rPr>
            </w:pPr>
          </w:p>
        </w:tc>
        <w:tc>
          <w:tcPr>
            <w:tcW w:w="326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jc w:val="center"/>
              <w:ind w:left="27"/>
              <w:spacing w:after="0" w:line="154" w:lineRule="exact"/>
              <w:rPr>
                <w:sz w:val="20"/>
                <w:szCs w:val="20"/>
                <w:color w:val="auto"/>
              </w:rPr>
            </w:pPr>
            <w:r>
              <w:rPr>
                <w:rFonts w:ascii="Arial" w:cs="Arial" w:eastAsia="Arial" w:hAnsi="Arial"/>
                <w:sz w:val="14"/>
                <w:szCs w:val="14"/>
                <w:b w:val="1"/>
                <w:bCs w:val="1"/>
                <w:color w:val="auto"/>
                <w:w w:val="99"/>
              </w:rPr>
              <w:t>(no Change of</w:t>
            </w:r>
          </w:p>
        </w:tc>
        <w:tc>
          <w:tcPr>
            <w:tcW w:w="1020" w:type="dxa"/>
            <w:vAlign w:val="bottom"/>
            <w:tcBorders>
              <w:right w:val="single" w:sz="8" w:color="auto"/>
            </w:tcBorders>
          </w:tcPr>
          <w:p>
            <w:pPr>
              <w:jc w:val="center"/>
              <w:ind w:left="26"/>
              <w:spacing w:after="0" w:line="154" w:lineRule="exact"/>
              <w:rPr>
                <w:sz w:val="20"/>
                <w:szCs w:val="20"/>
                <w:color w:val="auto"/>
              </w:rPr>
            </w:pPr>
            <w:r>
              <w:rPr>
                <w:rFonts w:ascii="Arial" w:cs="Arial" w:eastAsia="Arial" w:hAnsi="Arial"/>
                <w:sz w:val="14"/>
                <w:szCs w:val="14"/>
                <w:b w:val="1"/>
                <w:bCs w:val="1"/>
                <w:color w:val="auto"/>
                <w:w w:val="99"/>
              </w:rPr>
              <w:t>Change of</w:t>
            </w:r>
          </w:p>
        </w:tc>
        <w:tc>
          <w:tcPr>
            <w:tcW w:w="1320" w:type="dxa"/>
            <w:vAlign w:val="bottom"/>
            <w:tcBorders>
              <w:right w:val="single" w:sz="8" w:color="auto"/>
            </w:tcBorders>
          </w:tcPr>
          <w:p>
            <w:pPr>
              <w:jc w:val="center"/>
              <w:ind w:left="27"/>
              <w:spacing w:after="0" w:line="154" w:lineRule="exact"/>
              <w:rPr>
                <w:sz w:val="20"/>
                <w:szCs w:val="20"/>
                <w:color w:val="auto"/>
              </w:rPr>
            </w:pPr>
            <w:r>
              <w:rPr>
                <w:rFonts w:ascii="Arial" w:cs="Arial" w:eastAsia="Arial" w:hAnsi="Arial"/>
                <w:sz w:val="14"/>
                <w:szCs w:val="14"/>
                <w:b w:val="1"/>
                <w:bCs w:val="1"/>
                <w:color w:val="auto"/>
                <w:w w:val="99"/>
              </w:rPr>
              <w:t>(no Change of</w:t>
            </w:r>
          </w:p>
        </w:tc>
        <w:tc>
          <w:tcPr>
            <w:tcW w:w="1020" w:type="dxa"/>
            <w:vAlign w:val="bottom"/>
            <w:tcBorders>
              <w:right w:val="single" w:sz="8" w:color="auto"/>
            </w:tcBorders>
          </w:tcPr>
          <w:p>
            <w:pPr>
              <w:jc w:val="center"/>
              <w:ind w:left="25"/>
              <w:spacing w:after="0" w:line="154" w:lineRule="exact"/>
              <w:rPr>
                <w:sz w:val="20"/>
                <w:szCs w:val="20"/>
                <w:color w:val="auto"/>
              </w:rPr>
            </w:pPr>
            <w:r>
              <w:rPr>
                <w:rFonts w:ascii="Arial" w:cs="Arial" w:eastAsia="Arial" w:hAnsi="Arial"/>
                <w:sz w:val="14"/>
                <w:szCs w:val="14"/>
                <w:b w:val="1"/>
                <w:bCs w:val="1"/>
                <w:color w:val="auto"/>
                <w:w w:val="99"/>
              </w:rPr>
              <w:t>Change of</w:t>
            </w:r>
          </w:p>
        </w:tc>
        <w:tc>
          <w:tcPr>
            <w:tcW w:w="1020" w:type="dxa"/>
            <w:vAlign w:val="bottom"/>
            <w:tcBorders>
              <w:right w:val="single" w:sz="8" w:color="auto"/>
            </w:tcBorders>
          </w:tcPr>
          <w:p>
            <w:pPr>
              <w:jc w:val="center"/>
              <w:ind w:left="25"/>
              <w:spacing w:after="0" w:line="154" w:lineRule="exact"/>
              <w:rPr>
                <w:sz w:val="20"/>
                <w:szCs w:val="20"/>
                <w:color w:val="auto"/>
              </w:rPr>
            </w:pPr>
            <w:r>
              <w:rPr>
                <w:rFonts w:ascii="Arial" w:cs="Arial" w:eastAsia="Arial" w:hAnsi="Arial"/>
                <w:sz w:val="14"/>
                <w:szCs w:val="14"/>
                <w:b w:val="1"/>
                <w:bCs w:val="1"/>
                <w:color w:val="auto"/>
                <w:w w:val="99"/>
              </w:rPr>
              <w:t>Employment</w:t>
            </w:r>
          </w:p>
        </w:tc>
        <w:tc>
          <w:tcPr>
            <w:tcW w:w="1000" w:type="dxa"/>
            <w:vAlign w:val="bottom"/>
          </w:tcPr>
          <w:p>
            <w:pPr>
              <w:jc w:val="center"/>
              <w:ind w:left="46"/>
              <w:spacing w:after="0" w:line="154" w:lineRule="exact"/>
              <w:rPr>
                <w:sz w:val="20"/>
                <w:szCs w:val="20"/>
                <w:color w:val="auto"/>
              </w:rPr>
            </w:pPr>
            <w:r>
              <w:rPr>
                <w:rFonts w:ascii="Arial" w:cs="Arial" w:eastAsia="Arial" w:hAnsi="Arial"/>
                <w:sz w:val="14"/>
                <w:szCs w:val="14"/>
                <w:b w:val="1"/>
                <w:bCs w:val="1"/>
                <w:color w:val="auto"/>
                <w:w w:val="99"/>
              </w:rPr>
              <w:t>Employment</w:t>
            </w:r>
          </w:p>
        </w:tc>
      </w:tr>
      <w:tr>
        <w:trPr>
          <w:trHeight w:val="180"/>
        </w:trPr>
        <w:tc>
          <w:tcPr>
            <w:tcW w:w="20" w:type="dxa"/>
            <w:vAlign w:val="bottom"/>
          </w:tcPr>
          <w:p>
            <w:pPr>
              <w:spacing w:after="0"/>
              <w:rPr>
                <w:sz w:val="15"/>
                <w:szCs w:val="15"/>
                <w:color w:val="auto"/>
              </w:rPr>
            </w:pPr>
          </w:p>
        </w:tc>
        <w:tc>
          <w:tcPr>
            <w:tcW w:w="326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jc w:val="center"/>
              <w:ind w:left="27"/>
              <w:spacing w:after="0" w:line="180" w:lineRule="exact"/>
              <w:rPr>
                <w:sz w:val="20"/>
                <w:szCs w:val="20"/>
                <w:color w:val="auto"/>
              </w:rPr>
            </w:pPr>
            <w:r>
              <w:rPr>
                <w:rFonts w:ascii="Arial" w:cs="Arial" w:eastAsia="Arial" w:hAnsi="Arial"/>
                <w:sz w:val="14"/>
                <w:szCs w:val="14"/>
                <w:b w:val="1"/>
                <w:bCs w:val="1"/>
                <w:color w:val="auto"/>
                <w:w w:val="93"/>
              </w:rPr>
              <w:t xml:space="preserve">Control) </w:t>
            </w:r>
            <w:r>
              <w:rPr>
                <w:rFonts w:ascii="Arial" w:cs="Arial" w:eastAsia="Arial" w:hAnsi="Arial"/>
                <w:sz w:val="20"/>
                <w:szCs w:val="20"/>
                <w:b w:val="1"/>
                <w:bCs w:val="1"/>
                <w:i w:val="1"/>
                <w:iCs w:val="1"/>
                <w:color w:val="auto"/>
                <w:w w:val="93"/>
                <w:vertAlign w:val="superscript"/>
              </w:rPr>
              <w:t>(1)</w:t>
            </w:r>
          </w:p>
        </w:tc>
        <w:tc>
          <w:tcPr>
            <w:tcW w:w="1020" w:type="dxa"/>
            <w:vAlign w:val="bottom"/>
            <w:tcBorders>
              <w:bottom w:val="single" w:sz="8" w:color="auto"/>
              <w:right w:val="single" w:sz="8" w:color="auto"/>
            </w:tcBorders>
          </w:tcPr>
          <w:p>
            <w:pPr>
              <w:jc w:val="center"/>
              <w:ind w:left="26"/>
              <w:spacing w:after="0" w:line="180" w:lineRule="exact"/>
              <w:rPr>
                <w:sz w:val="20"/>
                <w:szCs w:val="20"/>
                <w:color w:val="auto"/>
              </w:rPr>
            </w:pPr>
            <w:r>
              <w:rPr>
                <w:rFonts w:ascii="Arial" w:cs="Arial" w:eastAsia="Arial" w:hAnsi="Arial"/>
                <w:sz w:val="14"/>
                <w:szCs w:val="14"/>
                <w:b w:val="1"/>
                <w:bCs w:val="1"/>
                <w:color w:val="auto"/>
                <w:w w:val="92"/>
              </w:rPr>
              <w:t xml:space="preserve">Control) </w:t>
            </w:r>
            <w:r>
              <w:rPr>
                <w:rFonts w:ascii="Arial" w:cs="Arial" w:eastAsia="Arial" w:hAnsi="Arial"/>
                <w:sz w:val="20"/>
                <w:szCs w:val="20"/>
                <w:b w:val="1"/>
                <w:bCs w:val="1"/>
                <w:i w:val="1"/>
                <w:iCs w:val="1"/>
                <w:color w:val="auto"/>
                <w:w w:val="92"/>
                <w:vertAlign w:val="superscript"/>
              </w:rPr>
              <w:t>(2)(3)</w:t>
            </w:r>
          </w:p>
        </w:tc>
        <w:tc>
          <w:tcPr>
            <w:tcW w:w="1320" w:type="dxa"/>
            <w:vAlign w:val="bottom"/>
            <w:tcBorders>
              <w:bottom w:val="single" w:sz="8" w:color="auto"/>
              <w:right w:val="single" w:sz="8" w:color="auto"/>
            </w:tcBorders>
          </w:tcPr>
          <w:p>
            <w:pPr>
              <w:jc w:val="center"/>
              <w:ind w:left="27"/>
              <w:spacing w:after="0" w:line="180" w:lineRule="exact"/>
              <w:rPr>
                <w:sz w:val="20"/>
                <w:szCs w:val="20"/>
                <w:color w:val="auto"/>
              </w:rPr>
            </w:pPr>
            <w:r>
              <w:rPr>
                <w:rFonts w:ascii="Arial" w:cs="Arial" w:eastAsia="Arial" w:hAnsi="Arial"/>
                <w:sz w:val="14"/>
                <w:szCs w:val="14"/>
                <w:b w:val="1"/>
                <w:bCs w:val="1"/>
                <w:color w:val="auto"/>
                <w:w w:val="93"/>
              </w:rPr>
              <w:t xml:space="preserve">Control) </w:t>
            </w:r>
            <w:r>
              <w:rPr>
                <w:rFonts w:ascii="Arial" w:cs="Arial" w:eastAsia="Arial" w:hAnsi="Arial"/>
                <w:sz w:val="20"/>
                <w:szCs w:val="20"/>
                <w:b w:val="1"/>
                <w:bCs w:val="1"/>
                <w:i w:val="1"/>
                <w:iCs w:val="1"/>
                <w:color w:val="auto"/>
                <w:w w:val="93"/>
                <w:vertAlign w:val="superscript"/>
              </w:rPr>
              <w:t>(4)</w:t>
            </w:r>
          </w:p>
        </w:tc>
        <w:tc>
          <w:tcPr>
            <w:tcW w:w="1020" w:type="dxa"/>
            <w:vAlign w:val="bottom"/>
            <w:tcBorders>
              <w:bottom w:val="single" w:sz="8" w:color="auto"/>
              <w:right w:val="single" w:sz="8" w:color="auto"/>
            </w:tcBorders>
          </w:tcPr>
          <w:p>
            <w:pPr>
              <w:jc w:val="center"/>
              <w:ind w:left="25"/>
              <w:spacing w:after="0" w:line="180" w:lineRule="exact"/>
              <w:rPr>
                <w:sz w:val="20"/>
                <w:szCs w:val="20"/>
                <w:color w:val="auto"/>
              </w:rPr>
            </w:pPr>
            <w:r>
              <w:rPr>
                <w:rFonts w:ascii="Arial" w:cs="Arial" w:eastAsia="Arial" w:hAnsi="Arial"/>
                <w:sz w:val="14"/>
                <w:szCs w:val="14"/>
                <w:b w:val="1"/>
                <w:bCs w:val="1"/>
                <w:color w:val="auto"/>
                <w:w w:val="92"/>
              </w:rPr>
              <w:t xml:space="preserve">Control </w:t>
            </w:r>
            <w:r>
              <w:rPr>
                <w:rFonts w:ascii="Arial" w:cs="Arial" w:eastAsia="Arial" w:hAnsi="Arial"/>
                <w:sz w:val="20"/>
                <w:szCs w:val="20"/>
                <w:b w:val="1"/>
                <w:bCs w:val="1"/>
                <w:i w:val="1"/>
                <w:iCs w:val="1"/>
                <w:color w:val="auto"/>
                <w:w w:val="92"/>
                <w:vertAlign w:val="superscript"/>
              </w:rPr>
              <w:t>(2)(5)</w:t>
            </w:r>
          </w:p>
        </w:tc>
        <w:tc>
          <w:tcPr>
            <w:tcW w:w="1020" w:type="dxa"/>
            <w:vAlign w:val="bottom"/>
            <w:tcBorders>
              <w:bottom w:val="single" w:sz="8" w:color="auto"/>
              <w:right w:val="single" w:sz="8" w:color="auto"/>
            </w:tcBorders>
          </w:tcPr>
          <w:p>
            <w:pPr>
              <w:jc w:val="center"/>
              <w:ind w:left="25"/>
              <w:spacing w:after="0" w:line="180" w:lineRule="exact"/>
              <w:rPr>
                <w:sz w:val="20"/>
                <w:szCs w:val="20"/>
                <w:color w:val="auto"/>
              </w:rPr>
            </w:pPr>
            <w:r>
              <w:rPr>
                <w:rFonts w:ascii="Arial" w:cs="Arial" w:eastAsia="Arial" w:hAnsi="Arial"/>
                <w:sz w:val="14"/>
                <w:szCs w:val="14"/>
                <w:b w:val="1"/>
                <w:bCs w:val="1"/>
                <w:color w:val="auto"/>
                <w:w w:val="94"/>
              </w:rPr>
              <w:t xml:space="preserve">Action </w:t>
            </w:r>
            <w:r>
              <w:rPr>
                <w:rFonts w:ascii="Arial" w:cs="Arial" w:eastAsia="Arial" w:hAnsi="Arial"/>
                <w:sz w:val="20"/>
                <w:szCs w:val="20"/>
                <w:b w:val="1"/>
                <w:bCs w:val="1"/>
                <w:i w:val="1"/>
                <w:iCs w:val="1"/>
                <w:color w:val="auto"/>
                <w:w w:val="94"/>
                <w:vertAlign w:val="superscript"/>
              </w:rPr>
              <w:t>(2)</w:t>
            </w:r>
          </w:p>
        </w:tc>
        <w:tc>
          <w:tcPr>
            <w:tcW w:w="1000" w:type="dxa"/>
            <w:vAlign w:val="bottom"/>
            <w:tcBorders>
              <w:bottom w:val="single" w:sz="8" w:color="auto"/>
            </w:tcBorders>
          </w:tcPr>
          <w:p>
            <w:pPr>
              <w:jc w:val="center"/>
              <w:ind w:left="46"/>
              <w:spacing w:after="0" w:line="180" w:lineRule="exact"/>
              <w:rPr>
                <w:sz w:val="20"/>
                <w:szCs w:val="20"/>
                <w:color w:val="auto"/>
              </w:rPr>
            </w:pPr>
            <w:r>
              <w:rPr>
                <w:rFonts w:ascii="Arial" w:cs="Arial" w:eastAsia="Arial" w:hAnsi="Arial"/>
                <w:sz w:val="14"/>
                <w:szCs w:val="14"/>
                <w:b w:val="1"/>
                <w:bCs w:val="1"/>
                <w:color w:val="auto"/>
                <w:w w:val="94"/>
              </w:rPr>
              <w:t xml:space="preserve">Action </w:t>
            </w:r>
            <w:r>
              <w:rPr>
                <w:rFonts w:ascii="Arial" w:cs="Arial" w:eastAsia="Arial" w:hAnsi="Arial"/>
                <w:sz w:val="20"/>
                <w:szCs w:val="20"/>
                <w:b w:val="1"/>
                <w:bCs w:val="1"/>
                <w:i w:val="1"/>
                <w:iCs w:val="1"/>
                <w:color w:val="auto"/>
                <w:w w:val="94"/>
                <w:vertAlign w:val="superscript"/>
              </w:rPr>
              <w:t>(6)</w:t>
            </w:r>
          </w:p>
        </w:tc>
      </w:tr>
      <w:tr>
        <w:trPr>
          <w:trHeight w:val="194"/>
        </w:trPr>
        <w:tc>
          <w:tcPr>
            <w:tcW w:w="20" w:type="dxa"/>
            <w:vAlign w:val="bottom"/>
          </w:tcPr>
          <w:p>
            <w:pPr>
              <w:spacing w:after="0"/>
              <w:rPr>
                <w:sz w:val="16"/>
                <w:szCs w:val="16"/>
                <w:color w:val="auto"/>
              </w:rPr>
            </w:pPr>
          </w:p>
        </w:tc>
        <w:tc>
          <w:tcPr>
            <w:tcW w:w="3260" w:type="dxa"/>
            <w:vAlign w:val="bottom"/>
            <w:tcBorders>
              <w:bottom w:val="single" w:sz="8" w:color="314A72"/>
              <w:right w:val="single" w:sz="8" w:color="314A72"/>
            </w:tcBorders>
            <w:shd w:val="clear" w:color="auto" w:fill="314A72"/>
          </w:tcPr>
          <w:p>
            <w:pPr>
              <w:ind w:left="1520"/>
              <w:spacing w:after="0"/>
              <w:rPr>
                <w:sz w:val="20"/>
                <w:szCs w:val="20"/>
                <w:color w:val="auto"/>
              </w:rPr>
            </w:pPr>
            <w:r>
              <w:rPr>
                <w:rFonts w:ascii="Arial" w:cs="Arial" w:eastAsia="Arial" w:hAnsi="Arial"/>
                <w:sz w:val="14"/>
                <w:szCs w:val="14"/>
                <w:b w:val="1"/>
                <w:bCs w:val="1"/>
                <w:color w:val="FFFFFF"/>
              </w:rPr>
              <w:t>(a)</w:t>
            </w:r>
          </w:p>
        </w:tc>
        <w:tc>
          <w:tcPr>
            <w:tcW w:w="1320" w:type="dxa"/>
            <w:vAlign w:val="bottom"/>
            <w:tcBorders>
              <w:bottom w:val="single" w:sz="8" w:color="314A72"/>
              <w:right w:val="single" w:sz="8" w:color="314A72"/>
            </w:tcBorders>
            <w:shd w:val="clear" w:color="auto" w:fill="314A72"/>
          </w:tcPr>
          <w:p>
            <w:pPr>
              <w:jc w:val="center"/>
              <w:ind w:left="27"/>
              <w:spacing w:after="0"/>
              <w:rPr>
                <w:sz w:val="20"/>
                <w:szCs w:val="20"/>
                <w:color w:val="auto"/>
              </w:rPr>
            </w:pPr>
            <w:r>
              <w:rPr>
                <w:rFonts w:ascii="Arial" w:cs="Arial" w:eastAsia="Arial" w:hAnsi="Arial"/>
                <w:sz w:val="14"/>
                <w:szCs w:val="14"/>
                <w:b w:val="1"/>
                <w:bCs w:val="1"/>
                <w:color w:val="FFFFFF"/>
              </w:rPr>
              <w:t>(b)</w:t>
            </w:r>
          </w:p>
        </w:tc>
        <w:tc>
          <w:tcPr>
            <w:tcW w:w="1020" w:type="dxa"/>
            <w:vAlign w:val="bottom"/>
            <w:tcBorders>
              <w:bottom w:val="single" w:sz="8" w:color="314A72"/>
              <w:right w:val="single" w:sz="8" w:color="314A72"/>
            </w:tcBorders>
            <w:shd w:val="clear" w:color="auto" w:fill="314A72"/>
          </w:tcPr>
          <w:p>
            <w:pPr>
              <w:jc w:val="center"/>
              <w:ind w:left="26"/>
              <w:spacing w:after="0"/>
              <w:rPr>
                <w:sz w:val="20"/>
                <w:szCs w:val="20"/>
                <w:color w:val="auto"/>
              </w:rPr>
            </w:pPr>
            <w:r>
              <w:rPr>
                <w:rFonts w:ascii="Arial" w:cs="Arial" w:eastAsia="Arial" w:hAnsi="Arial"/>
                <w:sz w:val="14"/>
                <w:szCs w:val="14"/>
                <w:b w:val="1"/>
                <w:bCs w:val="1"/>
                <w:color w:val="FFFFFF"/>
                <w:w w:val="93"/>
              </w:rPr>
              <w:t>(c)</w:t>
            </w:r>
          </w:p>
        </w:tc>
        <w:tc>
          <w:tcPr>
            <w:tcW w:w="1320" w:type="dxa"/>
            <w:vAlign w:val="bottom"/>
            <w:tcBorders>
              <w:bottom w:val="single" w:sz="8" w:color="314A72"/>
              <w:right w:val="single" w:sz="8" w:color="314A72"/>
            </w:tcBorders>
            <w:shd w:val="clear" w:color="auto" w:fill="314A72"/>
          </w:tcPr>
          <w:p>
            <w:pPr>
              <w:jc w:val="center"/>
              <w:ind w:left="27"/>
              <w:spacing w:after="0"/>
              <w:rPr>
                <w:sz w:val="20"/>
                <w:szCs w:val="20"/>
                <w:color w:val="auto"/>
              </w:rPr>
            </w:pPr>
            <w:r>
              <w:rPr>
                <w:rFonts w:ascii="Arial" w:cs="Arial" w:eastAsia="Arial" w:hAnsi="Arial"/>
                <w:sz w:val="14"/>
                <w:szCs w:val="14"/>
                <w:b w:val="1"/>
                <w:bCs w:val="1"/>
                <w:color w:val="FFFFFF"/>
              </w:rPr>
              <w:t>(d)</w:t>
            </w:r>
          </w:p>
        </w:tc>
        <w:tc>
          <w:tcPr>
            <w:tcW w:w="1020" w:type="dxa"/>
            <w:vAlign w:val="bottom"/>
            <w:tcBorders>
              <w:bottom w:val="single" w:sz="8" w:color="314A72"/>
              <w:right w:val="single" w:sz="8" w:color="314A72"/>
            </w:tcBorders>
            <w:shd w:val="clear" w:color="auto" w:fill="314A72"/>
          </w:tcPr>
          <w:p>
            <w:pPr>
              <w:jc w:val="center"/>
              <w:ind w:left="25"/>
              <w:spacing w:after="0"/>
              <w:rPr>
                <w:sz w:val="20"/>
                <w:szCs w:val="20"/>
                <w:color w:val="auto"/>
              </w:rPr>
            </w:pPr>
            <w:r>
              <w:rPr>
                <w:rFonts w:ascii="Arial" w:cs="Arial" w:eastAsia="Arial" w:hAnsi="Arial"/>
                <w:sz w:val="14"/>
                <w:szCs w:val="14"/>
                <w:b w:val="1"/>
                <w:bCs w:val="1"/>
                <w:color w:val="FFFFFF"/>
                <w:w w:val="93"/>
              </w:rPr>
              <w:t>(e)</w:t>
            </w:r>
          </w:p>
        </w:tc>
        <w:tc>
          <w:tcPr>
            <w:tcW w:w="1020" w:type="dxa"/>
            <w:vAlign w:val="bottom"/>
            <w:tcBorders>
              <w:bottom w:val="single" w:sz="8" w:color="314A72"/>
              <w:right w:val="single" w:sz="8" w:color="314A72"/>
            </w:tcBorders>
            <w:shd w:val="clear" w:color="auto" w:fill="314A72"/>
          </w:tcPr>
          <w:p>
            <w:pPr>
              <w:jc w:val="center"/>
              <w:ind w:left="45"/>
              <w:spacing w:after="0"/>
              <w:rPr>
                <w:sz w:val="20"/>
                <w:szCs w:val="20"/>
                <w:color w:val="auto"/>
              </w:rPr>
            </w:pPr>
            <w:r>
              <w:rPr>
                <w:rFonts w:ascii="Arial" w:cs="Arial" w:eastAsia="Arial" w:hAnsi="Arial"/>
                <w:sz w:val="14"/>
                <w:szCs w:val="14"/>
                <w:b w:val="1"/>
                <w:bCs w:val="1"/>
                <w:color w:val="FFFFFF"/>
                <w:w w:val="99"/>
              </w:rPr>
              <w:t>(f)</w:t>
            </w:r>
          </w:p>
        </w:tc>
        <w:tc>
          <w:tcPr>
            <w:tcW w:w="1000" w:type="dxa"/>
            <w:vAlign w:val="bottom"/>
            <w:tcBorders>
              <w:bottom w:val="single" w:sz="8" w:color="314A72"/>
            </w:tcBorders>
            <w:shd w:val="clear" w:color="auto" w:fill="314A72"/>
          </w:tcPr>
          <w:p>
            <w:pPr>
              <w:jc w:val="center"/>
              <w:ind w:left="66"/>
              <w:spacing w:after="0"/>
              <w:rPr>
                <w:sz w:val="20"/>
                <w:szCs w:val="20"/>
                <w:color w:val="auto"/>
              </w:rPr>
            </w:pPr>
            <w:r>
              <w:rPr>
                <w:rFonts w:ascii="Arial" w:cs="Arial" w:eastAsia="Arial" w:hAnsi="Arial"/>
                <w:sz w:val="14"/>
                <w:szCs w:val="14"/>
                <w:b w:val="1"/>
                <w:bCs w:val="1"/>
                <w:color w:val="FFFFFF"/>
              </w:rPr>
              <w:t>(g)</w:t>
            </w:r>
          </w:p>
        </w:tc>
      </w:tr>
      <w:tr>
        <w:trPr>
          <w:trHeight w:val="20"/>
        </w:trPr>
        <w:tc>
          <w:tcPr>
            <w:tcW w:w="20" w:type="dxa"/>
            <w:vAlign w:val="bottom"/>
          </w:tcPr>
          <w:p>
            <w:pPr>
              <w:spacing w:after="0" w:line="20" w:lineRule="exact"/>
              <w:rPr>
                <w:sz w:val="1"/>
                <w:szCs w:val="1"/>
                <w:color w:val="auto"/>
              </w:rPr>
            </w:pPr>
          </w:p>
        </w:tc>
        <w:tc>
          <w:tcPr>
            <w:tcW w:w="326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91"/>
        </w:trPr>
        <w:tc>
          <w:tcPr>
            <w:tcW w:w="3280" w:type="dxa"/>
            <w:vAlign w:val="bottom"/>
            <w:gridSpan w:val="2"/>
          </w:tcPr>
          <w:p>
            <w:pPr>
              <w:spacing w:after="0"/>
              <w:rPr>
                <w:sz w:val="20"/>
                <w:szCs w:val="20"/>
                <w:color w:val="auto"/>
              </w:rPr>
            </w:pPr>
            <w:r>
              <w:rPr>
                <w:rFonts w:ascii="Arial" w:cs="Arial" w:eastAsia="Arial" w:hAnsi="Arial"/>
                <w:sz w:val="17"/>
                <w:szCs w:val="17"/>
                <w:b w:val="1"/>
                <w:bCs w:val="1"/>
                <w:color w:val="auto"/>
              </w:rPr>
              <w:t>  Christopher J. LeBlanc</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
        </w:trPr>
        <w:tc>
          <w:tcPr>
            <w:tcW w:w="20" w:type="dxa"/>
            <w:vAlign w:val="bottom"/>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63"/>
        </w:trPr>
        <w:tc>
          <w:tcPr>
            <w:tcW w:w="20" w:type="dxa"/>
            <w:vAlign w:val="bottom"/>
          </w:tcPr>
          <w:p>
            <w:pPr>
              <w:spacing w:after="0"/>
              <w:rPr>
                <w:sz w:val="14"/>
                <w:szCs w:val="14"/>
                <w:color w:val="auto"/>
              </w:rPr>
            </w:pPr>
          </w:p>
        </w:tc>
        <w:tc>
          <w:tcPr>
            <w:tcW w:w="3260" w:type="dxa"/>
            <w:vAlign w:val="bottom"/>
            <w:tcBorders>
              <w:right w:val="single" w:sz="8" w:color="auto"/>
            </w:tcBorders>
            <w:shd w:val="clear" w:color="auto" w:fill="F7AB6C"/>
          </w:tcPr>
          <w:p>
            <w:pPr>
              <w:spacing w:after="0" w:line="163" w:lineRule="exact"/>
              <w:rPr>
                <w:sz w:val="20"/>
                <w:szCs w:val="20"/>
                <w:color w:val="auto"/>
              </w:rPr>
            </w:pPr>
            <w:r>
              <w:rPr>
                <w:rFonts w:ascii="Arial" w:cs="Arial" w:eastAsia="Arial" w:hAnsi="Arial"/>
                <w:sz w:val="16"/>
                <w:szCs w:val="16"/>
                <w:b w:val="1"/>
                <w:bCs w:val="1"/>
                <w:color w:val="auto"/>
              </w:rPr>
              <w:t>  Compensation:</w:t>
            </w:r>
          </w:p>
        </w:tc>
        <w:tc>
          <w:tcPr>
            <w:tcW w:w="13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000" w:type="dxa"/>
            <w:vAlign w:val="bottom"/>
          </w:tcPr>
          <w:p>
            <w:pPr>
              <w:spacing w:after="0"/>
              <w:rPr>
                <w:sz w:val="14"/>
                <w:szCs w:val="14"/>
                <w:color w:val="auto"/>
              </w:rPr>
            </w:pPr>
          </w:p>
        </w:tc>
      </w:tr>
      <w:tr>
        <w:trPr>
          <w:trHeight w:val="205"/>
        </w:trPr>
        <w:tc>
          <w:tcPr>
            <w:tcW w:w="20" w:type="dxa"/>
            <w:vAlign w:val="bottom"/>
          </w:tcPr>
          <w:p>
            <w:pPr>
              <w:spacing w:after="0"/>
              <w:rPr>
                <w:sz w:val="17"/>
                <w:szCs w:val="17"/>
                <w:color w:val="auto"/>
              </w:rPr>
            </w:pPr>
          </w:p>
        </w:tc>
        <w:tc>
          <w:tcPr>
            <w:tcW w:w="3260" w:type="dxa"/>
            <w:vAlign w:val="bottom"/>
            <w:tcBorders>
              <w:right w:val="single" w:sz="8" w:color="auto"/>
            </w:tcBorders>
            <w:shd w:val="clear" w:color="auto" w:fill="F7AB6C"/>
          </w:tcPr>
          <w:p>
            <w:pPr>
              <w:ind w:left="260"/>
              <w:spacing w:after="0"/>
              <w:rPr>
                <w:sz w:val="20"/>
                <w:szCs w:val="20"/>
                <w:color w:val="auto"/>
              </w:rPr>
            </w:pPr>
            <w:r>
              <w:rPr>
                <w:rFonts w:ascii="Arial" w:cs="Arial" w:eastAsia="Arial" w:hAnsi="Arial"/>
                <w:sz w:val="16"/>
                <w:szCs w:val="16"/>
                <w:color w:val="auto"/>
              </w:rPr>
              <w:t>Severance</w:t>
            </w:r>
          </w:p>
        </w:tc>
        <w:tc>
          <w:tcPr>
            <w:tcW w:w="1320" w:type="dxa"/>
            <w:vAlign w:val="bottom"/>
            <w:tcBorders>
              <w:right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ind w:left="66"/>
              <w:spacing w:after="0"/>
              <w:rPr>
                <w:sz w:val="20"/>
                <w:szCs w:val="20"/>
                <w:color w:val="auto"/>
              </w:rPr>
            </w:pPr>
            <w:r>
              <w:rPr>
                <w:rFonts w:ascii="Arial" w:cs="Arial" w:eastAsia="Arial" w:hAnsi="Arial"/>
                <w:sz w:val="16"/>
                <w:szCs w:val="16"/>
                <w:color w:val="auto"/>
                <w:w w:val="99"/>
              </w:rPr>
              <w:t>—</w:t>
            </w:r>
          </w:p>
        </w:tc>
        <w:tc>
          <w:tcPr>
            <w:tcW w:w="1320" w:type="dxa"/>
            <w:vAlign w:val="bottom"/>
            <w:tcBorders>
              <w:right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ind w:left="65"/>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ind w:left="85"/>
              <w:spacing w:after="0"/>
              <w:rPr>
                <w:sz w:val="20"/>
                <w:szCs w:val="20"/>
                <w:color w:val="auto"/>
              </w:rPr>
            </w:pPr>
            <w:r>
              <w:rPr>
                <w:rFonts w:ascii="Arial" w:cs="Arial" w:eastAsia="Arial" w:hAnsi="Arial"/>
                <w:sz w:val="16"/>
                <w:szCs w:val="16"/>
                <w:color w:val="auto"/>
                <w:w w:val="87"/>
              </w:rPr>
              <w:t>—</w:t>
            </w:r>
          </w:p>
        </w:tc>
        <w:tc>
          <w:tcPr>
            <w:tcW w:w="1000" w:type="dxa"/>
            <w:vAlign w:val="bottom"/>
          </w:tcPr>
          <w:p>
            <w:pPr>
              <w:jc w:val="center"/>
              <w:ind w:left="106"/>
              <w:spacing w:after="0"/>
              <w:rPr>
                <w:sz w:val="20"/>
                <w:szCs w:val="20"/>
                <w:color w:val="auto"/>
              </w:rPr>
            </w:pPr>
            <w:r>
              <w:rPr>
                <w:rFonts w:ascii="Arial" w:cs="Arial" w:eastAsia="Arial" w:hAnsi="Arial"/>
                <w:sz w:val="16"/>
                <w:szCs w:val="16"/>
                <w:color w:val="auto"/>
                <w:w w:val="92"/>
              </w:rPr>
              <w:t>  $889,932</w:t>
            </w:r>
          </w:p>
        </w:tc>
      </w:tr>
      <w:tr>
        <w:trPr>
          <w:trHeight w:val="288"/>
        </w:trPr>
        <w:tc>
          <w:tcPr>
            <w:tcW w:w="20" w:type="dxa"/>
            <w:vAlign w:val="bottom"/>
          </w:tcPr>
          <w:p>
            <w:pPr>
              <w:spacing w:after="0"/>
              <w:rPr>
                <w:sz w:val="24"/>
                <w:szCs w:val="24"/>
                <w:color w:val="auto"/>
              </w:rPr>
            </w:pPr>
          </w:p>
        </w:tc>
        <w:tc>
          <w:tcPr>
            <w:tcW w:w="3260" w:type="dxa"/>
            <w:vAlign w:val="bottom"/>
            <w:tcBorders>
              <w:bottom w:val="single" w:sz="8" w:color="F7AB6C"/>
              <w:right w:val="single" w:sz="8" w:color="auto"/>
            </w:tcBorders>
            <w:shd w:val="clear" w:color="auto" w:fill="F7AB6C"/>
          </w:tcPr>
          <w:p>
            <w:pPr>
              <w:ind w:left="260"/>
              <w:spacing w:after="0"/>
              <w:rPr>
                <w:sz w:val="20"/>
                <w:szCs w:val="20"/>
                <w:color w:val="auto"/>
              </w:rPr>
            </w:pPr>
            <w:r>
              <w:rPr>
                <w:rFonts w:ascii="Arial" w:cs="Arial" w:eastAsia="Arial" w:hAnsi="Arial"/>
                <w:sz w:val="16"/>
                <w:szCs w:val="16"/>
                <w:color w:val="auto"/>
              </w:rPr>
              <w:t>2025 Cash Incentive Plan Award</w:t>
            </w:r>
          </w:p>
        </w:tc>
        <w:tc>
          <w:tcPr>
            <w:tcW w:w="1320" w:type="dxa"/>
            <w:vAlign w:val="bottom"/>
            <w:tcBorders>
              <w:right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ind w:left="86"/>
              <w:spacing w:after="0"/>
              <w:rPr>
                <w:sz w:val="20"/>
                <w:szCs w:val="20"/>
                <w:color w:val="auto"/>
              </w:rPr>
            </w:pPr>
            <w:r>
              <w:rPr>
                <w:rFonts w:ascii="Arial" w:cs="Arial" w:eastAsia="Arial" w:hAnsi="Arial"/>
                <w:sz w:val="16"/>
                <w:szCs w:val="16"/>
                <w:color w:val="auto"/>
                <w:w w:val="98"/>
              </w:rPr>
              <w:t>$147,079</w:t>
            </w:r>
          </w:p>
        </w:tc>
        <w:tc>
          <w:tcPr>
            <w:tcW w:w="1320" w:type="dxa"/>
            <w:vAlign w:val="bottom"/>
            <w:tcBorders>
              <w:right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ind w:left="65"/>
              <w:spacing w:after="0"/>
              <w:rPr>
                <w:sz w:val="20"/>
                <w:szCs w:val="20"/>
                <w:color w:val="auto"/>
              </w:rPr>
            </w:pPr>
            <w:r>
              <w:rPr>
                <w:rFonts w:ascii="Arial" w:cs="Arial" w:eastAsia="Arial" w:hAnsi="Arial"/>
                <w:sz w:val="16"/>
                <w:szCs w:val="16"/>
                <w:color w:val="auto"/>
                <w:w w:val="95"/>
              </w:rPr>
              <w:t>$147,079</w:t>
            </w:r>
          </w:p>
        </w:tc>
        <w:tc>
          <w:tcPr>
            <w:tcW w:w="1020" w:type="dxa"/>
            <w:vAlign w:val="bottom"/>
            <w:tcBorders>
              <w:right w:val="single" w:sz="8" w:color="auto"/>
            </w:tcBorders>
          </w:tcPr>
          <w:p>
            <w:pPr>
              <w:jc w:val="center"/>
              <w:ind w:left="85"/>
              <w:spacing w:after="0"/>
              <w:rPr>
                <w:sz w:val="20"/>
                <w:szCs w:val="20"/>
                <w:color w:val="auto"/>
              </w:rPr>
            </w:pPr>
            <w:r>
              <w:rPr>
                <w:rFonts w:ascii="Arial" w:cs="Arial" w:eastAsia="Arial" w:hAnsi="Arial"/>
                <w:sz w:val="16"/>
                <w:szCs w:val="16"/>
                <w:color w:val="auto"/>
                <w:w w:val="87"/>
              </w:rPr>
              <w:t>—</w:t>
            </w:r>
          </w:p>
        </w:tc>
        <w:tc>
          <w:tcPr>
            <w:tcW w:w="1000" w:type="dxa"/>
            <w:vAlign w:val="bottom"/>
          </w:tcPr>
          <w:p>
            <w:pPr>
              <w:jc w:val="center"/>
              <w:ind w:left="126"/>
              <w:spacing w:after="0"/>
              <w:rPr>
                <w:sz w:val="20"/>
                <w:szCs w:val="20"/>
                <w:color w:val="auto"/>
              </w:rPr>
            </w:pPr>
            <w:r>
              <w:rPr>
                <w:rFonts w:ascii="Arial" w:cs="Arial" w:eastAsia="Arial" w:hAnsi="Arial"/>
                <w:sz w:val="16"/>
                <w:szCs w:val="16"/>
                <w:color w:val="auto"/>
                <w:w w:val="99"/>
              </w:rPr>
              <w:t>—</w:t>
            </w:r>
          </w:p>
        </w:tc>
      </w:tr>
      <w:tr>
        <w:trPr>
          <w:trHeight w:val="163"/>
        </w:trPr>
        <w:tc>
          <w:tcPr>
            <w:tcW w:w="20" w:type="dxa"/>
            <w:vAlign w:val="bottom"/>
          </w:tcPr>
          <w:p>
            <w:pPr>
              <w:spacing w:after="0"/>
              <w:rPr>
                <w:sz w:val="14"/>
                <w:szCs w:val="14"/>
                <w:color w:val="auto"/>
              </w:rPr>
            </w:pPr>
          </w:p>
        </w:tc>
        <w:tc>
          <w:tcPr>
            <w:tcW w:w="3260" w:type="dxa"/>
            <w:vAlign w:val="bottom"/>
            <w:tcBorders>
              <w:top w:val="single" w:sz="8" w:color="auto"/>
              <w:right w:val="single" w:sz="8" w:color="auto"/>
            </w:tcBorders>
            <w:shd w:val="clear" w:color="auto" w:fill="F7AB6C"/>
          </w:tcPr>
          <w:p>
            <w:pPr>
              <w:spacing w:after="0" w:line="163" w:lineRule="exact"/>
              <w:rPr>
                <w:sz w:val="20"/>
                <w:szCs w:val="20"/>
                <w:color w:val="auto"/>
              </w:rPr>
            </w:pPr>
            <w:r>
              <w:rPr>
                <w:rFonts w:ascii="Arial" w:cs="Arial" w:eastAsia="Arial" w:hAnsi="Arial"/>
                <w:sz w:val="16"/>
                <w:szCs w:val="16"/>
                <w:b w:val="1"/>
                <w:bCs w:val="1"/>
                <w:color w:val="auto"/>
              </w:rPr>
              <w:t>  Benefits:</w:t>
            </w:r>
          </w:p>
        </w:tc>
        <w:tc>
          <w:tcPr>
            <w:tcW w:w="132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132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247"/>
        </w:trPr>
        <w:tc>
          <w:tcPr>
            <w:tcW w:w="20" w:type="dxa"/>
            <w:vAlign w:val="bottom"/>
          </w:tcPr>
          <w:p>
            <w:pPr>
              <w:spacing w:after="0"/>
              <w:rPr>
                <w:sz w:val="21"/>
                <w:szCs w:val="21"/>
                <w:color w:val="auto"/>
              </w:rPr>
            </w:pPr>
          </w:p>
        </w:tc>
        <w:tc>
          <w:tcPr>
            <w:tcW w:w="3260" w:type="dxa"/>
            <w:vAlign w:val="bottom"/>
            <w:tcBorders>
              <w:right w:val="single" w:sz="8" w:color="auto"/>
            </w:tcBorders>
            <w:shd w:val="clear" w:color="auto" w:fill="F7AB6C"/>
          </w:tcPr>
          <w:p>
            <w:pPr>
              <w:ind w:left="260"/>
              <w:spacing w:after="0" w:line="247" w:lineRule="exact"/>
              <w:rPr>
                <w:sz w:val="20"/>
                <w:szCs w:val="20"/>
                <w:color w:val="auto"/>
              </w:rPr>
            </w:pPr>
            <w:r>
              <w:rPr>
                <w:rFonts w:ascii="Arial" w:cs="Arial" w:eastAsia="Arial" w:hAnsi="Arial"/>
                <w:sz w:val="16"/>
                <w:szCs w:val="16"/>
                <w:color w:val="auto"/>
              </w:rPr>
              <w:t xml:space="preserve">Additional Pension Benefit </w:t>
            </w:r>
            <w:r>
              <w:rPr>
                <w:rFonts w:ascii="Arial" w:cs="Arial" w:eastAsia="Arial" w:hAnsi="Arial"/>
                <w:sz w:val="23"/>
                <w:szCs w:val="23"/>
                <w:i w:val="1"/>
                <w:iCs w:val="1"/>
                <w:color w:val="auto"/>
                <w:vertAlign w:val="superscript"/>
              </w:rPr>
              <w:t>(7)</w:t>
            </w:r>
          </w:p>
        </w:tc>
        <w:tc>
          <w:tcPr>
            <w:tcW w:w="1320" w:type="dxa"/>
            <w:vAlign w:val="bottom"/>
            <w:tcBorders>
              <w:right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ind w:left="66"/>
              <w:spacing w:after="0"/>
              <w:rPr>
                <w:sz w:val="20"/>
                <w:szCs w:val="20"/>
                <w:color w:val="auto"/>
              </w:rPr>
            </w:pPr>
            <w:r>
              <w:rPr>
                <w:rFonts w:ascii="Arial" w:cs="Arial" w:eastAsia="Arial" w:hAnsi="Arial"/>
                <w:sz w:val="16"/>
                <w:szCs w:val="16"/>
                <w:color w:val="auto"/>
                <w:w w:val="99"/>
              </w:rPr>
              <w:t>—</w:t>
            </w:r>
          </w:p>
        </w:tc>
        <w:tc>
          <w:tcPr>
            <w:tcW w:w="1320" w:type="dxa"/>
            <w:vAlign w:val="bottom"/>
            <w:tcBorders>
              <w:right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ind w:left="65"/>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ind w:left="85"/>
              <w:spacing w:after="0"/>
              <w:rPr>
                <w:sz w:val="20"/>
                <w:szCs w:val="20"/>
                <w:color w:val="auto"/>
              </w:rPr>
            </w:pPr>
            <w:r>
              <w:rPr>
                <w:rFonts w:ascii="Arial" w:cs="Arial" w:eastAsia="Arial" w:hAnsi="Arial"/>
                <w:sz w:val="16"/>
                <w:szCs w:val="16"/>
                <w:color w:val="auto"/>
                <w:w w:val="87"/>
              </w:rPr>
              <w:t>—</w:t>
            </w:r>
          </w:p>
        </w:tc>
        <w:tc>
          <w:tcPr>
            <w:tcW w:w="1000" w:type="dxa"/>
            <w:vAlign w:val="bottom"/>
          </w:tcPr>
          <w:p>
            <w:pPr>
              <w:jc w:val="center"/>
              <w:ind w:left="106"/>
              <w:spacing w:after="0"/>
              <w:rPr>
                <w:sz w:val="20"/>
                <w:szCs w:val="20"/>
                <w:color w:val="auto"/>
              </w:rPr>
            </w:pPr>
            <w:r>
              <w:rPr>
                <w:rFonts w:ascii="Arial" w:cs="Arial" w:eastAsia="Arial" w:hAnsi="Arial"/>
                <w:sz w:val="16"/>
                <w:szCs w:val="16"/>
                <w:color w:val="auto"/>
                <w:w w:val="92"/>
              </w:rPr>
              <w:t>  $167,677</w:t>
            </w:r>
          </w:p>
        </w:tc>
      </w:tr>
      <w:tr>
        <w:trPr>
          <w:trHeight w:val="205"/>
        </w:trPr>
        <w:tc>
          <w:tcPr>
            <w:tcW w:w="20" w:type="dxa"/>
            <w:vAlign w:val="bottom"/>
          </w:tcPr>
          <w:p>
            <w:pPr>
              <w:spacing w:after="0"/>
              <w:rPr>
                <w:sz w:val="17"/>
                <w:szCs w:val="17"/>
                <w:color w:val="auto"/>
              </w:rPr>
            </w:pPr>
          </w:p>
        </w:tc>
        <w:tc>
          <w:tcPr>
            <w:tcW w:w="3260" w:type="dxa"/>
            <w:vAlign w:val="bottom"/>
            <w:tcBorders>
              <w:right w:val="single" w:sz="8" w:color="auto"/>
            </w:tcBorders>
            <w:shd w:val="clear" w:color="auto" w:fill="F7AB6C"/>
          </w:tcPr>
          <w:p>
            <w:pPr>
              <w:ind w:left="260"/>
              <w:spacing w:after="0"/>
              <w:rPr>
                <w:sz w:val="20"/>
                <w:szCs w:val="20"/>
                <w:color w:val="auto"/>
              </w:rPr>
            </w:pPr>
            <w:r>
              <w:rPr>
                <w:rFonts w:ascii="Arial" w:cs="Arial" w:eastAsia="Arial" w:hAnsi="Arial"/>
                <w:sz w:val="16"/>
                <w:szCs w:val="16"/>
                <w:color w:val="auto"/>
              </w:rPr>
              <w:t>Additional 401(k) Match</w:t>
            </w:r>
          </w:p>
        </w:tc>
        <w:tc>
          <w:tcPr>
            <w:tcW w:w="1320" w:type="dxa"/>
            <w:vAlign w:val="bottom"/>
            <w:tcBorders>
              <w:right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ind w:left="66"/>
              <w:spacing w:after="0"/>
              <w:rPr>
                <w:sz w:val="20"/>
                <w:szCs w:val="20"/>
                <w:color w:val="auto"/>
              </w:rPr>
            </w:pPr>
            <w:r>
              <w:rPr>
                <w:rFonts w:ascii="Arial" w:cs="Arial" w:eastAsia="Arial" w:hAnsi="Arial"/>
                <w:sz w:val="16"/>
                <w:szCs w:val="16"/>
                <w:color w:val="auto"/>
                <w:w w:val="99"/>
              </w:rPr>
              <w:t>—</w:t>
            </w:r>
          </w:p>
        </w:tc>
        <w:tc>
          <w:tcPr>
            <w:tcW w:w="1320" w:type="dxa"/>
            <w:vAlign w:val="bottom"/>
            <w:tcBorders>
              <w:right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ind w:left="65"/>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ind w:left="85"/>
              <w:spacing w:after="0"/>
              <w:rPr>
                <w:sz w:val="20"/>
                <w:szCs w:val="20"/>
                <w:color w:val="auto"/>
              </w:rPr>
            </w:pPr>
            <w:r>
              <w:rPr>
                <w:rFonts w:ascii="Arial" w:cs="Arial" w:eastAsia="Arial" w:hAnsi="Arial"/>
                <w:sz w:val="16"/>
                <w:szCs w:val="16"/>
                <w:color w:val="auto"/>
                <w:w w:val="87"/>
              </w:rPr>
              <w:t>—</w:t>
            </w:r>
          </w:p>
        </w:tc>
        <w:tc>
          <w:tcPr>
            <w:tcW w:w="1000" w:type="dxa"/>
            <w:vAlign w:val="bottom"/>
          </w:tcPr>
          <w:p>
            <w:pPr>
              <w:jc w:val="center"/>
              <w:ind w:left="106"/>
              <w:spacing w:after="0"/>
              <w:rPr>
                <w:sz w:val="20"/>
                <w:szCs w:val="20"/>
                <w:color w:val="auto"/>
              </w:rPr>
            </w:pPr>
            <w:r>
              <w:rPr>
                <w:rFonts w:ascii="Arial" w:cs="Arial" w:eastAsia="Arial" w:hAnsi="Arial"/>
                <w:sz w:val="16"/>
                <w:szCs w:val="16"/>
                <w:color w:val="auto"/>
                <w:w w:val="92"/>
              </w:rPr>
              <w:t>    $20,484</w:t>
            </w:r>
          </w:p>
        </w:tc>
      </w:tr>
      <w:tr>
        <w:trPr>
          <w:trHeight w:val="289"/>
        </w:trPr>
        <w:tc>
          <w:tcPr>
            <w:tcW w:w="20" w:type="dxa"/>
            <w:vAlign w:val="bottom"/>
          </w:tcPr>
          <w:p>
            <w:pPr>
              <w:spacing w:after="0"/>
              <w:rPr>
                <w:sz w:val="24"/>
                <w:szCs w:val="24"/>
                <w:color w:val="auto"/>
              </w:rPr>
            </w:pPr>
          </w:p>
        </w:tc>
        <w:tc>
          <w:tcPr>
            <w:tcW w:w="3260" w:type="dxa"/>
            <w:vAlign w:val="bottom"/>
            <w:tcBorders>
              <w:right w:val="single" w:sz="8" w:color="auto"/>
            </w:tcBorders>
            <w:shd w:val="clear" w:color="auto" w:fill="F7AB6C"/>
          </w:tcPr>
          <w:p>
            <w:pPr>
              <w:ind w:left="260"/>
              <w:spacing w:after="0"/>
              <w:rPr>
                <w:sz w:val="20"/>
                <w:szCs w:val="20"/>
                <w:color w:val="auto"/>
              </w:rPr>
            </w:pPr>
            <w:r>
              <w:rPr>
                <w:rFonts w:ascii="Arial" w:cs="Arial" w:eastAsia="Arial" w:hAnsi="Arial"/>
                <w:sz w:val="16"/>
                <w:szCs w:val="16"/>
                <w:color w:val="auto"/>
              </w:rPr>
              <w:t xml:space="preserve">Insurance Continuation </w:t>
            </w:r>
            <w:r>
              <w:rPr>
                <w:rFonts w:ascii="Arial" w:cs="Arial" w:eastAsia="Arial" w:hAnsi="Arial"/>
                <w:sz w:val="23"/>
                <w:szCs w:val="23"/>
                <w:i w:val="1"/>
                <w:iCs w:val="1"/>
                <w:color w:val="auto"/>
                <w:vertAlign w:val="superscript"/>
              </w:rPr>
              <w:t>(8)</w:t>
            </w:r>
          </w:p>
        </w:tc>
        <w:tc>
          <w:tcPr>
            <w:tcW w:w="1320" w:type="dxa"/>
            <w:vAlign w:val="bottom"/>
            <w:tcBorders>
              <w:right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ind w:left="66"/>
              <w:spacing w:after="0"/>
              <w:rPr>
                <w:sz w:val="20"/>
                <w:szCs w:val="20"/>
                <w:color w:val="auto"/>
              </w:rPr>
            </w:pPr>
            <w:r>
              <w:rPr>
                <w:rFonts w:ascii="Arial" w:cs="Arial" w:eastAsia="Arial" w:hAnsi="Arial"/>
                <w:sz w:val="16"/>
                <w:szCs w:val="16"/>
                <w:color w:val="auto"/>
                <w:w w:val="99"/>
              </w:rPr>
              <w:t>—</w:t>
            </w:r>
          </w:p>
        </w:tc>
        <w:tc>
          <w:tcPr>
            <w:tcW w:w="1320" w:type="dxa"/>
            <w:vAlign w:val="bottom"/>
            <w:tcBorders>
              <w:right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ind w:left="65"/>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ind w:left="85"/>
              <w:spacing w:after="0"/>
              <w:rPr>
                <w:sz w:val="20"/>
                <w:szCs w:val="20"/>
                <w:color w:val="auto"/>
              </w:rPr>
            </w:pPr>
            <w:r>
              <w:rPr>
                <w:rFonts w:ascii="Arial" w:cs="Arial" w:eastAsia="Arial" w:hAnsi="Arial"/>
                <w:sz w:val="16"/>
                <w:szCs w:val="16"/>
                <w:color w:val="auto"/>
                <w:w w:val="87"/>
              </w:rPr>
              <w:t>—</w:t>
            </w:r>
          </w:p>
        </w:tc>
        <w:tc>
          <w:tcPr>
            <w:tcW w:w="1000" w:type="dxa"/>
            <w:vAlign w:val="bottom"/>
          </w:tcPr>
          <w:p>
            <w:pPr>
              <w:jc w:val="center"/>
              <w:ind w:left="106"/>
              <w:spacing w:after="0"/>
              <w:rPr>
                <w:sz w:val="20"/>
                <w:szCs w:val="20"/>
                <w:color w:val="auto"/>
              </w:rPr>
            </w:pPr>
            <w:r>
              <w:rPr>
                <w:rFonts w:ascii="Arial" w:cs="Arial" w:eastAsia="Arial" w:hAnsi="Arial"/>
                <w:sz w:val="16"/>
                <w:szCs w:val="16"/>
                <w:color w:val="auto"/>
                <w:w w:val="92"/>
              </w:rPr>
              <w:t>    $88,025</w:t>
            </w:r>
          </w:p>
        </w:tc>
      </w:tr>
      <w:tr>
        <w:trPr>
          <w:trHeight w:val="246"/>
        </w:trPr>
        <w:tc>
          <w:tcPr>
            <w:tcW w:w="20" w:type="dxa"/>
            <w:vAlign w:val="bottom"/>
          </w:tcPr>
          <w:p>
            <w:pPr>
              <w:spacing w:after="0"/>
              <w:rPr>
                <w:sz w:val="21"/>
                <w:szCs w:val="21"/>
                <w:color w:val="auto"/>
              </w:rPr>
            </w:pPr>
          </w:p>
        </w:tc>
        <w:tc>
          <w:tcPr>
            <w:tcW w:w="3260" w:type="dxa"/>
            <w:vAlign w:val="bottom"/>
            <w:tcBorders>
              <w:bottom w:val="single" w:sz="8" w:color="auto"/>
              <w:right w:val="single" w:sz="8" w:color="auto"/>
            </w:tcBorders>
            <w:shd w:val="clear" w:color="auto" w:fill="F7AB6C"/>
          </w:tcPr>
          <w:p>
            <w:pPr>
              <w:ind w:left="260"/>
              <w:spacing w:after="0" w:line="246" w:lineRule="exact"/>
              <w:rPr>
                <w:sz w:val="20"/>
                <w:szCs w:val="20"/>
                <w:color w:val="auto"/>
              </w:rPr>
            </w:pPr>
            <w:r>
              <w:rPr>
                <w:rFonts w:ascii="Arial" w:cs="Arial" w:eastAsia="Arial" w:hAnsi="Arial"/>
                <w:sz w:val="16"/>
                <w:szCs w:val="16"/>
                <w:color w:val="auto"/>
                <w:w w:val="99"/>
              </w:rPr>
              <w:t xml:space="preserve">Accelerated Vesting - Restricted Stock </w:t>
            </w:r>
            <w:r>
              <w:rPr>
                <w:rFonts w:ascii="Arial" w:cs="Arial" w:eastAsia="Arial" w:hAnsi="Arial"/>
                <w:sz w:val="23"/>
                <w:szCs w:val="23"/>
                <w:i w:val="1"/>
                <w:iCs w:val="1"/>
                <w:color w:val="auto"/>
                <w:w w:val="99"/>
                <w:vertAlign w:val="superscript"/>
              </w:rPr>
              <w:t>(9)</w:t>
            </w:r>
          </w:p>
        </w:tc>
        <w:tc>
          <w:tcPr>
            <w:tcW w:w="13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6"/>
                <w:szCs w:val="16"/>
                <w:color w:val="auto"/>
                <w:w w:val="98"/>
              </w:rPr>
              <w:t>$269,665</w:t>
            </w:r>
          </w:p>
        </w:tc>
        <w:tc>
          <w:tcPr>
            <w:tcW w:w="13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center"/>
              <w:ind w:left="65"/>
              <w:spacing w:after="0"/>
              <w:rPr>
                <w:sz w:val="20"/>
                <w:szCs w:val="20"/>
                <w:color w:val="auto"/>
              </w:rPr>
            </w:pPr>
            <w:r>
              <w:rPr>
                <w:rFonts w:ascii="Arial" w:cs="Arial" w:eastAsia="Arial" w:hAnsi="Arial"/>
                <w:sz w:val="16"/>
                <w:szCs w:val="16"/>
                <w:color w:val="auto"/>
                <w:w w:val="95"/>
              </w:rPr>
              <w:t>$269,665</w:t>
            </w:r>
          </w:p>
        </w:tc>
        <w:tc>
          <w:tcPr>
            <w:tcW w:w="1020" w:type="dxa"/>
            <w:vAlign w:val="bottom"/>
            <w:tcBorders>
              <w:bottom w:val="single" w:sz="8" w:color="auto"/>
              <w:right w:val="single" w:sz="8" w:color="auto"/>
            </w:tcBorders>
          </w:tcPr>
          <w:p>
            <w:pPr>
              <w:jc w:val="center"/>
              <w:ind w:left="85"/>
              <w:spacing w:after="0"/>
              <w:rPr>
                <w:sz w:val="20"/>
                <w:szCs w:val="20"/>
                <w:color w:val="auto"/>
              </w:rPr>
            </w:pPr>
            <w:r>
              <w:rPr>
                <w:rFonts w:ascii="Arial" w:cs="Arial" w:eastAsia="Arial" w:hAnsi="Arial"/>
                <w:sz w:val="16"/>
                <w:szCs w:val="16"/>
                <w:color w:val="auto"/>
                <w:w w:val="98"/>
              </w:rPr>
              <w:t>$269,665</w:t>
            </w:r>
          </w:p>
        </w:tc>
        <w:tc>
          <w:tcPr>
            <w:tcW w:w="1000" w:type="dxa"/>
            <w:vAlign w:val="bottom"/>
            <w:tcBorders>
              <w:bottom w:val="single" w:sz="8" w:color="auto"/>
            </w:tcBorders>
          </w:tcPr>
          <w:p>
            <w:pPr>
              <w:jc w:val="center"/>
              <w:ind w:left="106"/>
              <w:spacing w:after="0"/>
              <w:rPr>
                <w:sz w:val="20"/>
                <w:szCs w:val="20"/>
                <w:color w:val="auto"/>
              </w:rPr>
            </w:pPr>
            <w:r>
              <w:rPr>
                <w:rFonts w:ascii="Arial" w:cs="Arial" w:eastAsia="Arial" w:hAnsi="Arial"/>
                <w:sz w:val="16"/>
                <w:szCs w:val="16"/>
                <w:color w:val="auto"/>
                <w:w w:val="92"/>
              </w:rPr>
              <w:t>  $269,665</w:t>
            </w:r>
          </w:p>
        </w:tc>
      </w:tr>
      <w:tr>
        <w:trPr>
          <w:trHeight w:val="298"/>
        </w:trPr>
        <w:tc>
          <w:tcPr>
            <w:tcW w:w="20" w:type="dxa"/>
            <w:vAlign w:val="bottom"/>
          </w:tcPr>
          <w:p>
            <w:pPr>
              <w:spacing w:after="0"/>
              <w:rPr>
                <w:sz w:val="24"/>
                <w:szCs w:val="24"/>
                <w:color w:val="auto"/>
              </w:rPr>
            </w:pPr>
          </w:p>
        </w:tc>
        <w:tc>
          <w:tcPr>
            <w:tcW w:w="3260" w:type="dxa"/>
            <w:vAlign w:val="bottom"/>
            <w:tcBorders>
              <w:bottom w:val="single" w:sz="8" w:color="F7AB6C"/>
              <w:right w:val="single" w:sz="8" w:color="auto"/>
            </w:tcBorders>
            <w:shd w:val="clear" w:color="auto" w:fill="F7AB6C"/>
          </w:tcPr>
          <w:p>
            <w:pPr>
              <w:spacing w:after="0"/>
              <w:rPr>
                <w:sz w:val="20"/>
                <w:szCs w:val="20"/>
                <w:color w:val="auto"/>
              </w:rPr>
            </w:pPr>
            <w:r>
              <w:rPr>
                <w:rFonts w:ascii="Arial" w:cs="Arial" w:eastAsia="Arial" w:hAnsi="Arial"/>
                <w:sz w:val="16"/>
                <w:szCs w:val="16"/>
                <w:b w:val="1"/>
                <w:bCs w:val="1"/>
                <w:color w:val="auto"/>
              </w:rPr>
              <w:t>  Total</w:t>
            </w:r>
          </w:p>
        </w:tc>
        <w:tc>
          <w:tcPr>
            <w:tcW w:w="1320" w:type="dxa"/>
            <w:vAlign w:val="bottom"/>
            <w:tcBorders>
              <w:right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ind w:left="86"/>
              <w:spacing w:after="0"/>
              <w:rPr>
                <w:sz w:val="20"/>
                <w:szCs w:val="20"/>
                <w:color w:val="auto"/>
              </w:rPr>
            </w:pPr>
            <w:r>
              <w:rPr>
                <w:rFonts w:ascii="Arial" w:cs="Arial" w:eastAsia="Arial" w:hAnsi="Arial"/>
                <w:sz w:val="16"/>
                <w:szCs w:val="16"/>
                <w:color w:val="auto"/>
                <w:w w:val="98"/>
              </w:rPr>
              <w:t>$416,744</w:t>
            </w:r>
          </w:p>
        </w:tc>
        <w:tc>
          <w:tcPr>
            <w:tcW w:w="1320" w:type="dxa"/>
            <w:vAlign w:val="bottom"/>
            <w:tcBorders>
              <w:right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ind w:left="65"/>
              <w:spacing w:after="0"/>
              <w:rPr>
                <w:sz w:val="20"/>
                <w:szCs w:val="20"/>
                <w:color w:val="auto"/>
              </w:rPr>
            </w:pPr>
            <w:r>
              <w:rPr>
                <w:rFonts w:ascii="Arial" w:cs="Arial" w:eastAsia="Arial" w:hAnsi="Arial"/>
                <w:sz w:val="16"/>
                <w:szCs w:val="16"/>
                <w:color w:val="auto"/>
                <w:w w:val="95"/>
              </w:rPr>
              <w:t>$416,744</w:t>
            </w:r>
          </w:p>
        </w:tc>
        <w:tc>
          <w:tcPr>
            <w:tcW w:w="1020" w:type="dxa"/>
            <w:vAlign w:val="bottom"/>
            <w:tcBorders>
              <w:right w:val="single" w:sz="8" w:color="auto"/>
            </w:tcBorders>
          </w:tcPr>
          <w:p>
            <w:pPr>
              <w:jc w:val="center"/>
              <w:ind w:left="85"/>
              <w:spacing w:after="0"/>
              <w:rPr>
                <w:sz w:val="20"/>
                <w:szCs w:val="20"/>
                <w:color w:val="auto"/>
              </w:rPr>
            </w:pPr>
            <w:r>
              <w:rPr>
                <w:rFonts w:ascii="Arial" w:cs="Arial" w:eastAsia="Arial" w:hAnsi="Arial"/>
                <w:sz w:val="16"/>
                <w:szCs w:val="16"/>
                <w:color w:val="auto"/>
                <w:w w:val="98"/>
              </w:rPr>
              <w:t>$269,665</w:t>
            </w:r>
          </w:p>
        </w:tc>
        <w:tc>
          <w:tcPr>
            <w:tcW w:w="1000" w:type="dxa"/>
            <w:vAlign w:val="bottom"/>
          </w:tcPr>
          <w:p>
            <w:pPr>
              <w:jc w:val="center"/>
              <w:ind w:left="106"/>
              <w:spacing w:after="0"/>
              <w:rPr>
                <w:sz w:val="20"/>
                <w:szCs w:val="20"/>
                <w:color w:val="auto"/>
              </w:rPr>
            </w:pPr>
            <w:r>
              <w:rPr>
                <w:rFonts w:ascii="Arial" w:cs="Arial" w:eastAsia="Arial" w:hAnsi="Arial"/>
                <w:sz w:val="16"/>
                <w:szCs w:val="16"/>
                <w:color w:val="auto"/>
                <w:w w:val="97"/>
              </w:rPr>
              <w:t>$1,435,783</w:t>
            </w:r>
          </w:p>
        </w:tc>
      </w:tr>
      <w:tr>
        <w:trPr>
          <w:trHeight w:val="20"/>
        </w:trPr>
        <w:tc>
          <w:tcPr>
            <w:tcW w:w="20" w:type="dxa"/>
            <w:vAlign w:val="bottom"/>
          </w:tcPr>
          <w:p>
            <w:pPr>
              <w:spacing w:after="0" w:line="20" w:lineRule="exact"/>
              <w:rPr>
                <w:sz w:val="1"/>
                <w:szCs w:val="1"/>
                <w:color w:val="auto"/>
              </w:rPr>
            </w:pPr>
          </w:p>
        </w:tc>
        <w:tc>
          <w:tcPr>
            <w:tcW w:w="326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-381000</wp:posOffset>
            </wp:positionV>
            <wp:extent cx="6337300" cy="127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-537845</wp:posOffset>
            </wp:positionV>
            <wp:extent cx="6337300" cy="127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-694690</wp:posOffset>
            </wp:positionV>
            <wp:extent cx="6337300" cy="127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-1123950</wp:posOffset>
            </wp:positionV>
            <wp:extent cx="6337300" cy="127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337300" cy="1270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-1765300</wp:posOffset>
            </wp:positionV>
            <wp:extent cx="8255" cy="156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-1765300</wp:posOffset>
            </wp:positionV>
            <wp:extent cx="8255" cy="156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-1765300</wp:posOffset>
            </wp:positionV>
            <wp:extent cx="8255" cy="156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-1765300</wp:posOffset>
            </wp:positionV>
            <wp:extent cx="8255" cy="156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-1765300</wp:posOffset>
            </wp:positionV>
            <wp:extent cx="8255" cy="156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2477770</wp:posOffset>
            </wp:positionH>
            <wp:positionV relativeFrom="paragraph">
              <wp:posOffset>-1765300</wp:posOffset>
            </wp:positionV>
            <wp:extent cx="8255" cy="156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15684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231140</wp:posOffset>
            </wp:positionV>
            <wp:extent cx="633730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NOTES:</w:t>
      </w:r>
    </w:p>
    <w:p>
      <w:pPr>
        <w:spacing w:after="0" w:line="116" w:lineRule="exact"/>
        <w:rPr>
          <w:sz w:val="20"/>
          <w:szCs w:val="20"/>
          <w:color w:val="auto"/>
        </w:rPr>
      </w:pPr>
    </w:p>
    <w:p>
      <w:pPr>
        <w:ind w:left="1620" w:hanging="492"/>
        <w:spacing w:after="0"/>
        <w:tabs>
          <w:tab w:leader="none" w:pos="1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Unless otherwise noted, the amounts shown are the estimated present value calculated using a discount rate of</w:t>
      </w:r>
    </w:p>
    <w:p>
      <w:pPr>
        <w:spacing w:after="0" w:line="15" w:lineRule="exact"/>
        <w:rPr>
          <w:rFonts w:ascii="Arial" w:cs="Arial" w:eastAsia="Arial" w:hAnsi="Arial"/>
          <w:sz w:val="17"/>
          <w:szCs w:val="17"/>
          <w:color w:val="auto"/>
        </w:rPr>
      </w:pPr>
    </w:p>
    <w:p>
      <w:pPr>
        <w:ind w:left="1620" w:right="40"/>
        <w:spacing w:after="0" w:line="244" w:lineRule="auto"/>
        <w:rPr>
          <w:rFonts w:ascii="Arial" w:cs="Arial" w:eastAsia="Arial" w:hAnsi="Arial"/>
          <w:sz w:val="17"/>
          <w:szCs w:val="17"/>
          <w:color w:val="auto"/>
        </w:rPr>
      </w:pPr>
      <w:r>
        <w:rPr>
          <w:rFonts w:ascii="Arial" w:cs="Arial" w:eastAsia="Arial" w:hAnsi="Arial"/>
          <w:sz w:val="17"/>
          <w:szCs w:val="17"/>
          <w:color w:val="auto"/>
        </w:rPr>
        <w:t>5.39% and a discount factor of 5.75%. The total for this column was calculated by adding (i) the present value of two years’ base salary and two years’ Management Incentive Plan cash award; and (ii) the present value of two years’ medical, dental and life insurance continuation for the individual and his eligible dependents. The form and amount of benefits that would be provided under the Retirement Plan and the SERP are disclosed in the Pension Benefits Table above.</w:t>
      </w:r>
    </w:p>
    <w:p>
      <w:pPr>
        <w:spacing w:after="0" w:line="81" w:lineRule="exact"/>
        <w:rPr>
          <w:rFonts w:ascii="Arial" w:cs="Arial" w:eastAsia="Arial" w:hAnsi="Arial"/>
          <w:sz w:val="17"/>
          <w:szCs w:val="17"/>
          <w:color w:val="auto"/>
        </w:rPr>
      </w:pPr>
    </w:p>
    <w:p>
      <w:pPr>
        <w:ind w:left="1620" w:hanging="492"/>
        <w:spacing w:after="0" w:line="243" w:lineRule="auto"/>
        <w:tabs>
          <w:tab w:leader="none" w:pos="1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totals for these columns include payments of the 2025 Management Incentive Plan awards based on actual 2025 performance for participants whose employment with Unitil is assumed to have terminated due to death (all Named Executive Officers), disability (all Named Executive Officers) or retirement at or after attaining age 55 (Mr. Meissner, Mr. Hevert, Mr. Eisfeller, and Mr. LeBlanc). The totals for these columns also include the value of all unvested Time Restricted Shares held pursuant to the Third Amended Stock Plan, which would accelerate vesting upon the occurrence of the specific event. See footnote 9 for a discussion of how this value was calculated. The form and total value of benefits that would be provided under the Retirement Plan and the SERP are disclosed in the Pension Benefits Table above. The form or total value of any payment or benefit under the Retirement Plan and the SERP would not be enhanced in connection with (i) the individual’s death or disability (without a change of control), or (ii) a change of control (without an adverse employment action).</w:t>
      </w:r>
    </w:p>
    <w:p>
      <w:pPr>
        <w:spacing w:after="0" w:line="86" w:lineRule="exact"/>
        <w:rPr>
          <w:rFonts w:ascii="Arial" w:cs="Arial" w:eastAsia="Arial" w:hAnsi="Arial"/>
          <w:sz w:val="17"/>
          <w:szCs w:val="17"/>
          <w:color w:val="auto"/>
        </w:rPr>
      </w:pPr>
    </w:p>
    <w:p>
      <w:pPr>
        <w:ind w:left="1620" w:right="40" w:hanging="492"/>
        <w:spacing w:after="0" w:line="247" w:lineRule="auto"/>
        <w:tabs>
          <w:tab w:leader="none" w:pos="1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the event of death, the actuarial present value of benefits under the Retirement Plan would be decreased from the amounts shown in the Pension Benefits Table above to $1,067,248 for Mr. Meissner, $773,302 for Mr. Eisfeller, and $883,427 for Mr. LeBlanc. Mr. Hevert and Mr. Hurstak do not participate in the Retirement Plan. In the event of death, the actuarial present value of the benefit under the SERP would be decreased from the amounts shown in the Pension Benefits Table above to $3,429,377 for Mr. Meissner. Mr. Hevert, Mr. Hurstak, Mr. Eisfeller, and Mr. LeBlanc do not participate in the SERP.</w:t>
      </w:r>
    </w:p>
    <w:p>
      <w:pPr>
        <w:spacing w:after="0" w:line="79" w:lineRule="exact"/>
        <w:rPr>
          <w:rFonts w:ascii="Arial" w:cs="Arial" w:eastAsia="Arial" w:hAnsi="Arial"/>
          <w:sz w:val="17"/>
          <w:szCs w:val="17"/>
          <w:color w:val="auto"/>
        </w:rPr>
      </w:pPr>
    </w:p>
    <w:p>
      <w:pPr>
        <w:ind w:left="1620" w:right="200" w:hanging="492"/>
        <w:spacing w:after="0" w:line="259" w:lineRule="auto"/>
        <w:tabs>
          <w:tab w:leader="none" w:pos="1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the individual’s employment is terminated by us for cause or due to a voluntary termination by the individual other than for good reason or retirement (without a Change of Control), the individual would not be entitled to any severance payments or other benefits and any unvested shares of restricted stock would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137160</wp:posOffset>
            </wp:positionV>
            <wp:extent cx="6337300" cy="908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620"/>
          </w:cols>
          <w:pgMar w:left="320" w:top="470" w:right="9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15" w:lineRule="exact"/>
        <w:rPr>
          <w:sz w:val="20"/>
          <w:szCs w:val="20"/>
          <w:color w:val="auto"/>
        </w:rPr>
      </w:pPr>
    </w:p>
    <w:p>
      <w:pPr>
        <w:ind w:left="1620" w:right="100" w:hanging="492"/>
        <w:spacing w:after="0" w:line="249" w:lineRule="auto"/>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the event of retirement, the actuarial present value of benefits under the Retirement Plan would be increased from the amounts shown in the Pension Benefits Table above to $2,029,291 for Mr. Meissner, $1,478,139 for Mr. Eisfeller, and $1,591,407 for Mr. LeBlanc. The In the event of retirement, the actuarial present value of the benefit under the SERP would be increased from the amount shown in the Pension Benefits Table above to $6,525,629 for Mr. Meissner.</w:t>
      </w:r>
    </w:p>
    <w:p>
      <w:pPr>
        <w:spacing w:after="0" w:line="77" w:lineRule="exact"/>
        <w:rPr>
          <w:rFonts w:ascii="Arial" w:cs="Arial" w:eastAsia="Arial" w:hAnsi="Arial"/>
          <w:sz w:val="17"/>
          <w:szCs w:val="17"/>
          <w:color w:val="auto"/>
        </w:rPr>
      </w:pPr>
    </w:p>
    <w:p>
      <w:pPr>
        <w:ind w:left="1620" w:hanging="492"/>
        <w:spacing w:after="0" w:line="241" w:lineRule="auto"/>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Unless otherwise noted, the amounts shown are the estimated present value of change of control benefits (with an adverse employment action) were calculated using a discount rate of 5.39% and a discount factor of 5.75%. The totals for column (g), Change of Control (with an adverse employment action) in the tables above were calculated by adding (i) the present value of two years’ base salary and target Management Incentive Plan cash award; (ii) the present value of the benefit, in addition to the amount reflected in the Pension Benefit Table above, the individual would have received under the Retirement Plan and the SERP, based on an additional two years of service credit for eligibility and benefit purposes pursuant to the individual’s Change of Control Agreement; (iii) the present value of contributions that would have been made by Unitil under the 401(k) assuming two additional years of continued employment after the termination date pursuant to the individual’s Change of Control Agreement; (iv) the value of all unvested restricted stock held (see footnote 9 for a discussion of how this value was calculated), which would accelerate upon the occurrence of the specified event; and (v) the present value of two years’ medical, dental and life insurance continuation for the individual and his eligible dependents. The benefits provided under the Change of Control Agreements are payable in the form of a lump sum cash payment made from the general funds of the Company. There is no requirement to establish a special or separate fund or other segregation of assets to assure such payments. Each Change of Control Agreement also provides for continued participation in group medical, dental and life insurance plans for a period of two years, based on the term of the agreement, commencing with the month in which the termination occurs.</w:t>
      </w:r>
    </w:p>
    <w:p>
      <w:pPr>
        <w:spacing w:after="0" w:line="289" w:lineRule="exact"/>
        <w:rPr>
          <w:rFonts w:ascii="Arial" w:cs="Arial" w:eastAsia="Arial" w:hAnsi="Arial"/>
          <w:sz w:val="17"/>
          <w:szCs w:val="17"/>
          <w:color w:val="auto"/>
        </w:rPr>
      </w:pPr>
    </w:p>
    <w:p>
      <w:pPr>
        <w:ind w:left="1620" w:right="20" w:hanging="492"/>
        <w:spacing w:after="0" w:line="259" w:lineRule="auto"/>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amount shown is the estimated present value of the additional pension benefit, which includes benefits under the Retirement Plan and benefits under the SERP (for Mr. Meissner) which were calculated using a discount rate of 5.39% and a discount factor of 5.75%.</w:t>
      </w:r>
    </w:p>
    <w:p>
      <w:pPr>
        <w:spacing w:after="0" w:line="68" w:lineRule="exact"/>
        <w:rPr>
          <w:rFonts w:ascii="Arial" w:cs="Arial" w:eastAsia="Arial" w:hAnsi="Arial"/>
          <w:sz w:val="17"/>
          <w:szCs w:val="17"/>
          <w:color w:val="auto"/>
        </w:rPr>
      </w:pPr>
    </w:p>
    <w:p>
      <w:pPr>
        <w:ind w:left="1620" w:right="100" w:hanging="492"/>
        <w:spacing w:after="0" w:line="280" w:lineRule="auto"/>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amounts shown are the estimated present value of insurance continuation and were calculated using a discount rate of 5.39% and a discount factor of 5.75%.</w:t>
      </w:r>
    </w:p>
    <w:p>
      <w:pPr>
        <w:spacing w:after="0" w:line="50" w:lineRule="exact"/>
        <w:rPr>
          <w:rFonts w:ascii="Arial" w:cs="Arial" w:eastAsia="Arial" w:hAnsi="Arial"/>
          <w:sz w:val="17"/>
          <w:szCs w:val="17"/>
          <w:color w:val="auto"/>
        </w:rPr>
      </w:pPr>
    </w:p>
    <w:p>
      <w:pPr>
        <w:ind w:left="1620" w:right="20" w:hanging="492"/>
        <w:spacing w:after="0" w:line="247" w:lineRule="auto"/>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amounts shown are equal to the total number of Time Restricted Shares that would have vested upon the occurrence of the specified event, other than a change in control with an adverse employment action, multiplied by the closing stock price on the last business day of the year (December 31, 2025) of $48.44. The amounts shown for a change in control with an adverse employment action include all unvested Time Restricted Shares and Performance Restricted Shares that would have vested upon the occurrence of this event, multiplied by the closing stock price on the last business day of the year (December 31, 2025) of $48.44.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143510</wp:posOffset>
            </wp:positionV>
            <wp:extent cx="6337300" cy="825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620"/>
          </w:cols>
          <w:pgMar w:left="320" w:top="470" w:right="9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Definition of Change of Control, Cause &amp;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-135890</wp:posOffset>
            </wp:positionV>
            <wp:extent cx="2772410" cy="62134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772410" cy="6213475"/>
                    </a:xfrm>
                    <a:prstGeom prst="rect">
                      <a:avLst/>
                    </a:prstGeom>
                    <a:noFill/>
                  </pic:spPr>
                </pic:pic>
              </a:graphicData>
            </a:graphic>
          </wp:anchor>
        </w:drawing>
      </w:r>
    </w:p>
    <w:p>
      <w:pPr>
        <w:spacing w:after="0" w:line="76" w:lineRule="exact"/>
        <w:rPr>
          <w:sz w:val="20"/>
          <w:szCs w:val="20"/>
          <w:color w:val="auto"/>
        </w:rPr>
      </w:pPr>
    </w:p>
    <w:p>
      <w:pPr>
        <w:ind w:left="640" w:right="5260"/>
        <w:spacing w:after="0" w:line="235" w:lineRule="auto"/>
        <w:rPr>
          <w:sz w:val="20"/>
          <w:szCs w:val="20"/>
          <w:color w:val="auto"/>
        </w:rPr>
      </w:pPr>
      <w:r>
        <w:rPr>
          <w:rFonts w:ascii="Arial" w:cs="Arial" w:eastAsia="Arial" w:hAnsi="Arial"/>
          <w:sz w:val="21"/>
          <w:szCs w:val="21"/>
          <w:color w:val="auto"/>
        </w:rPr>
        <w:t>A “change of control” has the same definition in the Change of Control Agreements, the SERP, the DC Plan, and the Third Amended Stock Plan, with the exception of Article (iv) as noted. Should the change of control be approved by shareholders, and if the Board determines the approved transaction will not be completed and is abandoned prior to any termination of the employee’s employment, a change of control shall no longer be in effect and the provisions of any Change of Control Agreement shall continue as if a change of control had not occurred.</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Cause</w:t>
      </w:r>
    </w:p>
    <w:p>
      <w:pPr>
        <w:spacing w:after="0" w:line="96" w:lineRule="exact"/>
        <w:rPr>
          <w:sz w:val="20"/>
          <w:szCs w:val="20"/>
          <w:color w:val="auto"/>
        </w:rPr>
      </w:pPr>
    </w:p>
    <w:p>
      <w:pPr>
        <w:ind w:left="640" w:right="5280"/>
        <w:spacing w:after="0" w:line="248" w:lineRule="auto"/>
        <w:rPr>
          <w:sz w:val="20"/>
          <w:szCs w:val="20"/>
          <w:color w:val="auto"/>
        </w:rPr>
      </w:pPr>
      <w:r>
        <w:rPr>
          <w:rFonts w:ascii="Arial" w:cs="Arial" w:eastAsia="Arial" w:hAnsi="Arial"/>
          <w:sz w:val="21"/>
          <w:szCs w:val="21"/>
          <w:color w:val="auto"/>
        </w:rPr>
        <w:t>“Cause” is defined in the Change of Control Agreements as the occurrence of any of the events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135255</wp:posOffset>
            </wp:positionV>
            <wp:extent cx="2772410" cy="153479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77241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Good Reason</w:t>
      </w:r>
    </w:p>
    <w:p>
      <w:pPr>
        <w:spacing w:after="0" w:line="96" w:lineRule="exact"/>
        <w:rPr>
          <w:sz w:val="20"/>
          <w:szCs w:val="20"/>
          <w:color w:val="auto"/>
        </w:rPr>
      </w:pPr>
    </w:p>
    <w:p>
      <w:pPr>
        <w:ind w:left="640" w:right="5240"/>
        <w:spacing w:after="0" w:line="237" w:lineRule="auto"/>
        <w:rPr>
          <w:sz w:val="20"/>
          <w:szCs w:val="20"/>
          <w:color w:val="auto"/>
        </w:rPr>
      </w:pPr>
      <w:r>
        <w:rPr>
          <w:rFonts w:ascii="Arial" w:cs="Arial" w:eastAsia="Arial" w:hAnsi="Arial"/>
          <w:sz w:val="21"/>
          <w:szCs w:val="21"/>
          <w:color w:val="auto"/>
        </w:rPr>
        <w:t>“Good reason” is defined in the Change of Control Agreements as noted below. None of the events listed below will constitute “good reason” unless the employee has given written notice to us, specifying the event relied upon for such termination within 90 days after the occurrence of the event and we have not remedied the event within 30 days of receipt of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389255</wp:posOffset>
            </wp:positionV>
            <wp:extent cx="6337300" cy="825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620"/>
          </w:cols>
          <w:pgMar w:left="320" w:top="470" w:right="9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436360" cy="23679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436360" cy="236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Employment Agreement of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69850</wp:posOffset>
            </wp:positionV>
            <wp:extent cx="633730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85" w:lineRule="exact"/>
        <w:rPr>
          <w:sz w:val="20"/>
          <w:szCs w:val="20"/>
          <w:color w:val="auto"/>
        </w:rPr>
      </w:pPr>
    </w:p>
    <w:p>
      <w:pPr>
        <w:ind w:left="640" w:right="160"/>
        <w:spacing w:after="0" w:line="243" w:lineRule="auto"/>
        <w:rPr>
          <w:sz w:val="20"/>
          <w:szCs w:val="20"/>
          <w:color w:val="auto"/>
        </w:rPr>
      </w:pPr>
      <w:r>
        <w:rPr>
          <w:rFonts w:ascii="Arial" w:cs="Arial" w:eastAsia="Arial" w:hAnsi="Arial"/>
          <w:sz w:val="21"/>
          <w:szCs w:val="21"/>
          <w:color w:val="auto"/>
        </w:rPr>
        <w:t>Mr. Meissner’s Employment Agreement provides that (i) it does not affect his rights or obligations under the Change of Control Agreement (“Mr. Meissner’s CC Agreement”) and (ii) as long as Mr. Meissner’s CC Agreement is not in effect, it does not affect the Employment Agreement or Mr. Meissner’s rights or obligations under the Employment Agreement.</w:t>
      </w:r>
    </w:p>
    <w:p>
      <w:pPr>
        <w:spacing w:after="0" w:line="191" w:lineRule="exact"/>
        <w:rPr>
          <w:sz w:val="20"/>
          <w:szCs w:val="20"/>
          <w:color w:val="auto"/>
        </w:rPr>
      </w:pPr>
    </w:p>
    <w:p>
      <w:pPr>
        <w:ind w:left="640" w:right="3960"/>
        <w:spacing w:after="0" w:line="251" w:lineRule="auto"/>
        <w:rPr>
          <w:sz w:val="20"/>
          <w:szCs w:val="20"/>
          <w:color w:val="auto"/>
        </w:rPr>
      </w:pPr>
      <w:r>
        <w:rPr>
          <w:rFonts w:ascii="Arial" w:cs="Arial" w:eastAsia="Arial" w:hAnsi="Arial"/>
          <w:sz w:val="20"/>
          <w:szCs w:val="20"/>
          <w:color w:val="auto"/>
        </w:rPr>
        <w:t xml:space="preserve">As discussed in the section entitled </w:t>
      </w:r>
      <w:r>
        <w:rPr>
          <w:rFonts w:ascii="Arial" w:cs="Arial" w:eastAsia="Arial" w:hAnsi="Arial"/>
          <w:sz w:val="20"/>
          <w:szCs w:val="20"/>
          <w:i w:val="1"/>
          <w:iCs w:val="1"/>
          <w:color w:val="auto"/>
        </w:rPr>
        <w:t>Compensation –</w:t>
      </w:r>
      <w:r>
        <w:rPr>
          <w:rFonts w:ascii="Arial" w:cs="Arial" w:eastAsia="Arial" w:hAnsi="Arial"/>
          <w:sz w:val="20"/>
          <w:szCs w:val="20"/>
          <w:color w:val="auto"/>
        </w:rPr>
        <w:t xml:space="preserve"> </w:t>
      </w:r>
      <w:r>
        <w:rPr>
          <w:rFonts w:ascii="Arial" w:cs="Arial" w:eastAsia="Arial" w:hAnsi="Arial"/>
          <w:sz w:val="20"/>
          <w:szCs w:val="20"/>
          <w:i w:val="1"/>
          <w:iCs w:val="1"/>
          <w:color w:val="auto"/>
        </w:rPr>
        <w:t>Compensation of Named Executive Officers—Potential Payments Upon Termination or Change of Control</w:t>
      </w:r>
      <w:r>
        <w:rPr>
          <w:rFonts w:ascii="Arial" w:cs="Arial" w:eastAsia="Arial" w:hAnsi="Arial"/>
          <w:sz w:val="20"/>
          <w:szCs w:val="20"/>
          <w:color w:val="auto"/>
        </w:rPr>
        <w:t>, Mr. Meissner’s CC</w:t>
      </w:r>
      <w:r>
        <w:rPr>
          <w:rFonts w:ascii="Arial" w:cs="Arial" w:eastAsia="Arial" w:hAnsi="Arial"/>
          <w:sz w:val="20"/>
          <w:szCs w:val="20"/>
          <w:i w:val="1"/>
          <w:iCs w:val="1"/>
          <w:color w:val="auto"/>
        </w:rPr>
        <w:t xml:space="preserve"> </w:t>
      </w:r>
      <w:r>
        <w:rPr>
          <w:rFonts w:ascii="Arial" w:cs="Arial" w:eastAsia="Arial" w:hAnsi="Arial"/>
          <w:sz w:val="20"/>
          <w:szCs w:val="20"/>
          <w:color w:val="auto"/>
        </w:rPr>
        <w:t>provides for severance benefits upon termination of employment following a change in control of the Company. Mr. Meissner’s CC also provides that, if it becomes effective due to a change in control, it will supersede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-1051560</wp:posOffset>
            </wp:positionV>
            <wp:extent cx="2351405" cy="1022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351405" cy="1022985"/>
                    </a:xfrm>
                    <a:prstGeom prst="rect">
                      <a:avLst/>
                    </a:prstGeom>
                    <a:noFill/>
                  </pic:spPr>
                </pic:pic>
              </a:graphicData>
            </a:graphic>
          </wp:anchor>
        </w:drawing>
      </w:r>
    </w:p>
    <w:p>
      <w:pPr>
        <w:spacing w:after="0" w:line="142" w:lineRule="exact"/>
        <w:rPr>
          <w:sz w:val="20"/>
          <w:szCs w:val="20"/>
          <w:color w:val="auto"/>
        </w:rPr>
      </w:pPr>
    </w:p>
    <w:p>
      <w:pPr>
        <w:ind w:left="640" w:right="100"/>
        <w:spacing w:after="0" w:line="235" w:lineRule="auto"/>
        <w:rPr>
          <w:sz w:val="20"/>
          <w:szCs w:val="20"/>
          <w:color w:val="auto"/>
        </w:rPr>
      </w:pPr>
      <w:r>
        <w:rPr>
          <w:rFonts w:ascii="Arial" w:cs="Arial" w:eastAsia="Arial" w:hAnsi="Arial"/>
          <w:sz w:val="21"/>
          <w:szCs w:val="21"/>
          <w:color w:val="auto"/>
        </w:rPr>
        <w:t>Under the terms of the Employment Agreement, we may terminate Mr. Meissner’s employment for any reason. If Mr. Meissner’s employment is terminated by us during the term of the Employment Agreement for any reason other than death, disability or cause, or if Mr. Meissner terminates his employment with good reason, then we shall pay Mr. Meissner (i) all accrued and unpaid salary, bonus and expense reimbursements, (ii) a lump sum cash payment equal to the present value of 24 monthly payments of base salary (as in effect at the time of termination), (iii) a lump sum cash payment equal to the present value of two annual bonus payments (assuming each bonus payment is an amount equal to the average of the annual bonus amounts received by Mr. Meissner in the two calendar years preceding the year of termination), and (iv) a lump sum cash amount equal to the present value of the cost that we would have incurred to provide group medical, dental and life insurance coverage to Mr. Meissner and his eligible dependents for two years. The Employment Agreement contains no tax gross up provisions whatsoever. The estimated amounts of the lump sum payments as of December 31, 2025, are shown in the table to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152400</wp:posOffset>
            </wp:positionV>
            <wp:extent cx="6337300" cy="825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620"/>
          </w:cols>
          <w:pgMar w:left="320" w:top="470" w:right="9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21"/>
          <w:szCs w:val="21"/>
          <w:b w:val="1"/>
          <w:bCs w:val="1"/>
          <w:color w:val="auto"/>
        </w:rPr>
        <w:t>Definitions Under the Employment Agreement</w:t>
      </w:r>
    </w:p>
    <w:p>
      <w:pPr>
        <w:spacing w:after="0" w:line="96" w:lineRule="exact"/>
        <w:rPr>
          <w:sz w:val="20"/>
          <w:szCs w:val="20"/>
          <w:color w:val="auto"/>
        </w:rPr>
      </w:pPr>
    </w:p>
    <w:p>
      <w:pPr>
        <w:ind w:left="640" w:right="260"/>
        <w:spacing w:after="0" w:line="264" w:lineRule="auto"/>
        <w:rPr>
          <w:sz w:val="20"/>
          <w:szCs w:val="20"/>
          <w:color w:val="auto"/>
        </w:rPr>
      </w:pPr>
      <w:r>
        <w:rPr>
          <w:rFonts w:ascii="Arial" w:cs="Arial" w:eastAsia="Arial" w:hAnsi="Arial"/>
          <w:sz w:val="21"/>
          <w:szCs w:val="21"/>
          <w:color w:val="auto"/>
        </w:rPr>
        <w:t>“Cause” and “good reason” are defined under the Employment Agreement as noted below.</w:t>
      </w:r>
    </w:p>
    <w:p>
      <w:pPr>
        <w:spacing w:after="0" w:line="144" w:lineRule="exact"/>
        <w:rPr>
          <w:sz w:val="20"/>
          <w:szCs w:val="20"/>
          <w:color w:val="auto"/>
        </w:rPr>
      </w:pPr>
    </w:p>
    <w:p>
      <w:pPr>
        <w:ind w:left="640"/>
        <w:spacing w:after="0" w:line="239" w:lineRule="auto"/>
        <w:rPr>
          <w:sz w:val="20"/>
          <w:szCs w:val="20"/>
          <w:color w:val="auto"/>
        </w:rPr>
      </w:pPr>
      <w:r>
        <w:rPr>
          <w:rFonts w:ascii="Arial" w:cs="Arial" w:eastAsia="Arial" w:hAnsi="Arial"/>
          <w:sz w:val="21"/>
          <w:szCs w:val="21"/>
          <w:color w:val="auto"/>
        </w:rPr>
        <w:t>None of the events noted will constitute “good reason” unless the executive gives us notice of his termination for good reason within 90 days of the initial existence of the event and the executive gives us 30 days prior written notice and we fail to cure the event condition within the 30-day period.</w:t>
      </w:r>
    </w:p>
    <w:p>
      <w:pPr>
        <w:spacing w:after="0" w:line="168" w:lineRule="exact"/>
        <w:rPr>
          <w:sz w:val="20"/>
          <w:szCs w:val="20"/>
          <w:color w:val="auto"/>
        </w:rPr>
      </w:pPr>
    </w:p>
    <w:p>
      <w:pPr>
        <w:ind w:left="640" w:right="80"/>
        <w:spacing w:after="0" w:line="237" w:lineRule="auto"/>
        <w:rPr>
          <w:sz w:val="20"/>
          <w:szCs w:val="20"/>
          <w:color w:val="auto"/>
        </w:rPr>
      </w:pPr>
      <w:r>
        <w:rPr>
          <w:rFonts w:ascii="Arial" w:cs="Arial" w:eastAsia="Arial" w:hAnsi="Arial"/>
          <w:sz w:val="21"/>
          <w:szCs w:val="21"/>
          <w:color w:val="auto"/>
        </w:rPr>
        <w:t>If Mr. Meissner terminates his employment for any reason other than “good reason,” or if his employment is terminated due to his death, or if we terminate Mr. Meissner’s employment as a result of disability or cause, we shall have no obligation under the Employment Agreement except for accrued and unpaid salary, bonus and expense reimbursement.</w:t>
      </w:r>
    </w:p>
    <w:p>
      <w:pPr>
        <w:spacing w:after="0" w:line="171" w:lineRule="exact"/>
        <w:rPr>
          <w:sz w:val="20"/>
          <w:szCs w:val="20"/>
          <w:color w:val="auto"/>
        </w:rPr>
      </w:pPr>
    </w:p>
    <w:p>
      <w:pPr>
        <w:ind w:left="640" w:right="80"/>
        <w:spacing w:after="0" w:line="234" w:lineRule="auto"/>
        <w:rPr>
          <w:sz w:val="20"/>
          <w:szCs w:val="20"/>
          <w:color w:val="auto"/>
        </w:rPr>
      </w:pPr>
      <w:r>
        <w:rPr>
          <w:rFonts w:ascii="Arial" w:cs="Arial" w:eastAsia="Arial" w:hAnsi="Arial"/>
          <w:sz w:val="21"/>
          <w:szCs w:val="21"/>
          <w:color w:val="auto"/>
        </w:rPr>
        <w:t>The Employment Agreement also contains provisions that prohibit Mr. Meissner from engaging in any business that is competitive with our business, soliciting any employee to leave the employment of Unitil for employment with a competitive company, or diverting any of our business to a competitive company, in each case for a period of 12 months following termination. Mr. Meissner is also prohibited under the terms of the Employment Agreement from disclosing any confidential information at any time or for any reason, and from disclosing any negative, adverse or derogatory information about us, our management, or about any product or service that we provide, or about our prospects for the future at any time or for any reason, except, in each case, Mr. Meissner may report possible violations of federal law or regulations and make disclosures protected under whistleblower provisions of federal law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294005</wp:posOffset>
            </wp:positionV>
            <wp:extent cx="292100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921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CAUSE: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-788035</wp:posOffset>
            </wp:positionV>
            <wp:extent cx="7179310" cy="539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-210820</wp:posOffset>
            </wp:positionV>
            <wp:extent cx="3102610" cy="40017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102610" cy="4001770"/>
                    </a:xfrm>
                    <a:prstGeom prst="rect">
                      <a:avLst/>
                    </a:prstGeom>
                    <a:noFill/>
                  </pic:spPr>
                </pic:pic>
              </a:graphicData>
            </a:graphic>
          </wp:anchor>
        </w:drawing>
      </w:r>
    </w:p>
    <w:p>
      <w:pPr>
        <w:spacing w:after="0" w:line="59" w:lineRule="exact"/>
        <w:rPr>
          <w:sz w:val="20"/>
          <w:szCs w:val="20"/>
          <w:color w:val="auto"/>
        </w:rPr>
      </w:pPr>
    </w:p>
    <w:p>
      <w:pPr>
        <w:ind w:left="320" w:right="140" w:hanging="311"/>
        <w:spacing w:after="0" w:line="259" w:lineRule="auto"/>
        <w:rPr>
          <w:sz w:val="20"/>
          <w:szCs w:val="20"/>
          <w:color w:val="auto"/>
        </w:rPr>
      </w:pPr>
      <w:r>
        <w:rPr>
          <w:rFonts w:ascii="Arial" w:cs="Arial" w:eastAsia="Arial" w:hAnsi="Arial"/>
          <w:sz w:val="17"/>
          <w:szCs w:val="17"/>
          <w:color w:val="auto"/>
        </w:rPr>
        <w:t>(i)    the failure by the executive to substantially perform his duties under the Employment Agreement other than due to his incapacity or physical or mental illness;</w:t>
      </w:r>
    </w:p>
    <w:p>
      <w:pPr>
        <w:spacing w:after="0" w:line="30" w:lineRule="exact"/>
        <w:rPr>
          <w:sz w:val="20"/>
          <w:szCs w:val="20"/>
          <w:color w:val="auto"/>
        </w:rPr>
      </w:pPr>
    </w:p>
    <w:p>
      <w:pPr>
        <w:ind w:left="320" w:right="120" w:hanging="311"/>
        <w:spacing w:after="0" w:line="280" w:lineRule="auto"/>
        <w:rPr>
          <w:sz w:val="20"/>
          <w:szCs w:val="20"/>
          <w:color w:val="auto"/>
        </w:rPr>
      </w:pPr>
      <w:r>
        <w:rPr>
          <w:rFonts w:ascii="Arial" w:cs="Arial" w:eastAsia="Arial" w:hAnsi="Arial"/>
          <w:sz w:val="17"/>
          <w:szCs w:val="17"/>
          <w:color w:val="auto"/>
        </w:rPr>
        <w:t>(ii)   the willful violation by the executive of any of his material obligations under the Employment Agreement;</w:t>
      </w:r>
    </w:p>
    <w:p>
      <w:pPr>
        <w:spacing w:after="0" w:line="12" w:lineRule="exact"/>
        <w:rPr>
          <w:sz w:val="20"/>
          <w:szCs w:val="20"/>
          <w:color w:val="auto"/>
        </w:rPr>
      </w:pPr>
    </w:p>
    <w:p>
      <w:pPr>
        <w:jc w:val="both"/>
        <w:ind w:left="320" w:right="80" w:hanging="311"/>
        <w:spacing w:after="0" w:line="259" w:lineRule="auto"/>
        <w:rPr>
          <w:sz w:val="20"/>
          <w:szCs w:val="20"/>
          <w:color w:val="auto"/>
        </w:rPr>
      </w:pPr>
      <w:r>
        <w:rPr>
          <w:rFonts w:ascii="Arial" w:cs="Arial" w:eastAsia="Arial" w:hAnsi="Arial"/>
          <w:sz w:val="17"/>
          <w:szCs w:val="17"/>
          <w:color w:val="auto"/>
        </w:rPr>
        <w:t>(iii)  the willful engaging by the executive in misconduct which is materially injurious to the business or reputation of the Company or any of its affiliates; or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(iv)  the executive’s conviction of a felony.</w:t>
      </w:r>
    </w:p>
    <w:p>
      <w:pPr>
        <w:spacing w:after="0" w:line="36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GOOD REASON: EMPLOYMENT AGREEMENT</w:t>
      </w:r>
    </w:p>
    <w:p>
      <w:pPr>
        <w:spacing w:after="0" w:line="43" w:lineRule="exact"/>
        <w:rPr>
          <w:sz w:val="20"/>
          <w:szCs w:val="20"/>
          <w:color w:val="auto"/>
        </w:rPr>
      </w:pPr>
    </w:p>
    <w:p>
      <w:pPr>
        <w:ind w:left="320" w:right="40" w:hanging="311"/>
        <w:spacing w:after="0" w:line="251" w:lineRule="auto"/>
        <w:rPr>
          <w:sz w:val="20"/>
          <w:szCs w:val="20"/>
          <w:color w:val="auto"/>
        </w:rPr>
      </w:pPr>
      <w:r>
        <w:rPr>
          <w:rFonts w:ascii="Arial" w:cs="Arial" w:eastAsia="Arial" w:hAnsi="Arial"/>
          <w:sz w:val="17"/>
          <w:szCs w:val="17"/>
          <w:color w:val="auto"/>
        </w:rPr>
        <w:t>(i)    a material diminution in the executive’s authority, duties or responsibilities or the Company requiring the executive to report to a corporate officer or employee rather than reporting directly to the Board;</w:t>
      </w:r>
    </w:p>
    <w:p>
      <w:pPr>
        <w:spacing w:after="0" w:line="37" w:lineRule="exact"/>
        <w:rPr>
          <w:sz w:val="20"/>
          <w:szCs w:val="20"/>
          <w:color w:val="auto"/>
        </w:rPr>
      </w:pPr>
    </w:p>
    <w:p>
      <w:pPr>
        <w:ind w:left="320" w:right="20" w:hanging="311"/>
        <w:spacing w:after="0" w:line="246" w:lineRule="auto"/>
        <w:rPr>
          <w:sz w:val="20"/>
          <w:szCs w:val="20"/>
          <w:color w:val="auto"/>
        </w:rPr>
      </w:pPr>
      <w:r>
        <w:rPr>
          <w:rFonts w:ascii="Arial" w:cs="Arial" w:eastAsia="Arial" w:hAnsi="Arial"/>
          <w:sz w:val="17"/>
          <w:szCs w:val="17"/>
          <w:color w:val="auto"/>
        </w:rPr>
        <w:t>(ii)   a material change in the geographic location at which the executive must perform services, which the Company has determined to include a change in the executive’s principal place of employment by the Company from the location of the Company’s principal place of business on the date of the Employment Agreement to a location more than 50 miles from such principal place of business;</w:t>
      </w:r>
    </w:p>
    <w:p>
      <w:pPr>
        <w:spacing w:after="0" w:line="1" w:lineRule="exact"/>
        <w:rPr>
          <w:sz w:val="20"/>
          <w:szCs w:val="20"/>
          <w:color w:val="auto"/>
        </w:rPr>
      </w:pPr>
    </w:p>
    <w:p>
      <w:pPr>
        <w:ind w:left="320" w:right="1060" w:hanging="311"/>
        <w:spacing w:after="0" w:line="263" w:lineRule="auto"/>
        <w:rPr>
          <w:sz w:val="20"/>
          <w:szCs w:val="20"/>
          <w:color w:val="auto"/>
        </w:rPr>
      </w:pPr>
      <w:r>
        <w:rPr>
          <w:rFonts w:ascii="Arial" w:cs="Arial" w:eastAsia="Arial" w:hAnsi="Arial"/>
          <w:sz w:val="17"/>
          <w:szCs w:val="17"/>
          <w:color w:val="auto"/>
        </w:rPr>
        <w:t>(iii)  a material diminution in the executive’s base compensation; or</w:t>
      </w:r>
    </w:p>
    <w:p>
      <w:pPr>
        <w:ind w:left="320" w:right="180" w:hanging="311"/>
        <w:spacing w:after="0" w:line="280" w:lineRule="auto"/>
        <w:rPr>
          <w:sz w:val="20"/>
          <w:szCs w:val="20"/>
          <w:color w:val="auto"/>
        </w:rPr>
      </w:pPr>
      <w:r>
        <w:rPr>
          <w:rFonts w:ascii="Arial" w:cs="Arial" w:eastAsia="Arial" w:hAnsi="Arial"/>
          <w:sz w:val="17"/>
          <w:szCs w:val="17"/>
          <w:color w:val="auto"/>
        </w:rPr>
        <w:t>(iv)  any other action or inaction that constitutes a material breach by the Company of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2295525</wp:posOffset>
            </wp:positionV>
            <wp:extent cx="3325495" cy="908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325495" cy="9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95</w:t>
      </w:r>
    </w:p>
    <w:p>
      <w:pPr>
        <w:sectPr>
          <w:pgSz w:w="11900" w:h="16838" w:orient="portrait"/>
          <w:cols w:equalWidth="0" w:num="2">
            <w:col w:w="5420" w:space="420"/>
            <w:col w:w="4780"/>
          </w:cols>
          <w:pgMar w:left="320" w:top="470" w:right="9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69850</wp:posOffset>
            </wp:positionV>
            <wp:extent cx="633730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5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following table shows the compensation received by the members of the Board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160655</wp:posOffset>
            </wp:positionV>
            <wp:extent cx="6337300" cy="21463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337300" cy="214630"/>
                    </a:xfrm>
                    <a:prstGeom prst="rect">
                      <a:avLst/>
                    </a:prstGeom>
                    <a:noFill/>
                  </pic:spPr>
                </pic:pic>
              </a:graphicData>
            </a:graphic>
          </wp:anchor>
        </w:drawing>
      </w:r>
    </w:p>
    <w:p>
      <w:pPr>
        <w:spacing w:after="0" w:line="271" w:lineRule="exact"/>
        <w:rPr>
          <w:sz w:val="20"/>
          <w:szCs w:val="20"/>
          <w:color w:val="auto"/>
        </w:rPr>
      </w:pPr>
    </w:p>
    <w:p>
      <w:pPr>
        <w:ind w:left="3740"/>
        <w:spacing w:after="0"/>
        <w:rPr>
          <w:sz w:val="20"/>
          <w:szCs w:val="20"/>
          <w:color w:val="auto"/>
        </w:rPr>
      </w:pPr>
      <w:r>
        <w:rPr>
          <w:rFonts w:ascii="Arial" w:cs="Arial" w:eastAsia="Arial" w:hAnsi="Arial"/>
          <w:sz w:val="21"/>
          <w:szCs w:val="21"/>
          <w:b w:val="1"/>
          <w:bCs w:val="1"/>
          <w:color w:val="FFFFFF"/>
        </w:rPr>
        <w:t>DIRECTORS’ COMPENSATION - 2025</w:t>
      </w:r>
    </w:p>
    <w:p>
      <w:pPr>
        <w:spacing w:after="0" w:line="43" w:lineRule="exact"/>
        <w:rPr>
          <w:sz w:val="20"/>
          <w:szCs w:val="20"/>
          <w:color w:val="auto"/>
        </w:rPr>
      </w:pPr>
    </w:p>
    <w:tbl>
      <w:tblPr>
        <w:tblLayout w:type="fixed"/>
        <w:tblInd w:w="640" w:type="dxa"/>
        <w:tblCellMar>
          <w:top w:w="0" w:type="dxa"/>
          <w:left w:w="0" w:type="dxa"/>
          <w:bottom w:w="0" w:type="dxa"/>
          <w:right w:w="0" w:type="dxa"/>
        </w:tblCellMar>
      </w:tblPr>
      <w:tr>
        <w:trPr>
          <w:trHeight w:val="193"/>
        </w:trPr>
        <w:tc>
          <w:tcPr>
            <w:tcW w:w="2320" w:type="dxa"/>
            <w:vAlign w:val="bottom"/>
            <w:tcBorders>
              <w:top w:val="single" w:sz="8" w:color="auto"/>
              <w:right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spacing w:after="0"/>
              <w:rPr>
                <w:sz w:val="16"/>
                <w:szCs w:val="16"/>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Change in</w:t>
            </w:r>
          </w:p>
        </w:tc>
        <w:tc>
          <w:tcPr>
            <w:tcW w:w="1280" w:type="dxa"/>
            <w:vAlign w:val="bottom"/>
            <w:tcBorders>
              <w:top w:val="single" w:sz="8" w:color="auto"/>
              <w:right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r>
      <w:tr>
        <w:trPr>
          <w:trHeight w:val="156"/>
        </w:trPr>
        <w:tc>
          <w:tcPr>
            <w:tcW w:w="232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Pension Value</w:t>
            </w:r>
          </w:p>
        </w:tc>
        <w:tc>
          <w:tcPr>
            <w:tcW w:w="12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6"/>
        </w:trPr>
        <w:tc>
          <w:tcPr>
            <w:tcW w:w="232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9"/>
              </w:rPr>
              <w:t>Non-Equity</w:t>
            </w:r>
          </w:p>
        </w:tc>
        <w:tc>
          <w:tcPr>
            <w:tcW w:w="118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4"/>
                <w:szCs w:val="14"/>
                <w:b w:val="1"/>
                <w:bCs w:val="1"/>
                <w:color w:val="auto"/>
              </w:rPr>
              <w:t>&amp; Non-qualified</w:t>
            </w:r>
          </w:p>
        </w:tc>
        <w:tc>
          <w:tcPr>
            <w:tcW w:w="12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6"/>
        </w:trPr>
        <w:tc>
          <w:tcPr>
            <w:tcW w:w="232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Incentive</w:t>
            </w:r>
          </w:p>
        </w:tc>
        <w:tc>
          <w:tcPr>
            <w:tcW w:w="11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7"/>
              </w:rPr>
              <w:t>Deferred</w:t>
            </w:r>
          </w:p>
        </w:tc>
        <w:tc>
          <w:tcPr>
            <w:tcW w:w="12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232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8"/>
              </w:rPr>
              <w:t>Fees Earned</w:t>
            </w:r>
          </w:p>
        </w:tc>
        <w:tc>
          <w:tcPr>
            <w:tcW w:w="160" w:type="dxa"/>
            <w:vAlign w:val="bottom"/>
          </w:tcPr>
          <w:p>
            <w:pPr>
              <w:spacing w:after="0"/>
              <w:rPr>
                <w:sz w:val="13"/>
                <w:szCs w:val="13"/>
                <w:color w:val="auto"/>
              </w:rPr>
            </w:pPr>
          </w:p>
        </w:tc>
        <w:tc>
          <w:tcPr>
            <w:tcW w:w="800" w:type="dxa"/>
            <w:vAlign w:val="bottom"/>
            <w:tcBorders>
              <w:right w:val="single" w:sz="8" w:color="auto"/>
            </w:tcBorders>
          </w:tcPr>
          <w:p>
            <w:pPr>
              <w:jc w:val="center"/>
              <w:ind w:right="136"/>
              <w:spacing w:after="0" w:line="154" w:lineRule="exact"/>
              <w:rPr>
                <w:sz w:val="20"/>
                <w:szCs w:val="20"/>
                <w:color w:val="auto"/>
              </w:rPr>
            </w:pPr>
            <w:r>
              <w:rPr>
                <w:rFonts w:ascii="Arial" w:cs="Arial" w:eastAsia="Arial" w:hAnsi="Arial"/>
                <w:sz w:val="14"/>
                <w:szCs w:val="14"/>
                <w:b w:val="1"/>
                <w:bCs w:val="1"/>
                <w:color w:val="auto"/>
                <w:w w:val="99"/>
              </w:rPr>
              <w:t>Stock</w:t>
            </w:r>
          </w:p>
        </w:tc>
        <w:tc>
          <w:tcPr>
            <w:tcW w:w="8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7"/>
              </w:rPr>
              <w:t>Option</w:t>
            </w:r>
          </w:p>
        </w:tc>
        <w:tc>
          <w:tcPr>
            <w:tcW w:w="12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Plan</w:t>
            </w:r>
          </w:p>
        </w:tc>
        <w:tc>
          <w:tcPr>
            <w:tcW w:w="11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8"/>
              </w:rPr>
              <w:t>Compensation</w:t>
            </w:r>
          </w:p>
        </w:tc>
        <w:tc>
          <w:tcPr>
            <w:tcW w:w="12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8"/>
              </w:rPr>
              <w:t>All Other</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32"/>
        </w:trPr>
        <w:tc>
          <w:tcPr>
            <w:tcW w:w="23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 xml:space="preserve"> Name </w:t>
            </w:r>
            <w:r>
              <w:rPr>
                <w:rFonts w:ascii="Arial" w:cs="Arial" w:eastAsia="Arial" w:hAnsi="Arial"/>
                <w:sz w:val="20"/>
                <w:szCs w:val="20"/>
                <w:b w:val="1"/>
                <w:bCs w:val="1"/>
                <w:i w:val="1"/>
                <w:iCs w:val="1"/>
                <w:color w:val="auto"/>
                <w:vertAlign w:val="superscript"/>
              </w:rPr>
              <w:t>(1)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or Paid in Cash </w:t>
            </w:r>
          </w:p>
        </w:tc>
        <w:tc>
          <w:tcPr>
            <w:tcW w:w="9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 xml:space="preserve">Awards </w:t>
            </w:r>
            <w:r>
              <w:rPr>
                <w:rFonts w:ascii="Arial" w:cs="Arial" w:eastAsia="Arial" w:hAnsi="Arial"/>
                <w:sz w:val="20"/>
                <w:szCs w:val="20"/>
                <w:i w:val="1"/>
                <w:iCs w:val="1"/>
                <w:color w:val="auto"/>
                <w:w w:val="96"/>
                <w:vertAlign w:val="superscript"/>
              </w:rPr>
              <w:t>(2)</w:t>
            </w:r>
            <w:r>
              <w:rPr>
                <w:rFonts w:ascii="Arial" w:cs="Arial" w:eastAsia="Arial" w:hAnsi="Arial"/>
                <w:sz w:val="14"/>
                <w:szCs w:val="14"/>
                <w:b w:val="1"/>
                <w:bCs w:val="1"/>
                <w:color w:val="auto"/>
                <w:w w:val="96"/>
              </w:rPr>
              <w:t xml:space="preserve"> </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Awards </w:t>
            </w:r>
            <w:r>
              <w:rPr>
                <w:rFonts w:ascii="Arial" w:cs="Arial" w:eastAsia="Arial" w:hAnsi="Arial"/>
                <w:sz w:val="20"/>
                <w:szCs w:val="20"/>
                <w:i w:val="1"/>
                <w:iCs w:val="1"/>
                <w:color w:val="auto"/>
                <w:w w:val="96"/>
                <w:vertAlign w:val="superscript"/>
              </w:rPr>
              <w:t>(3)</w:t>
            </w:r>
            <w:r>
              <w:rPr>
                <w:rFonts w:ascii="Arial" w:cs="Arial" w:eastAsia="Arial" w:hAnsi="Arial"/>
                <w:sz w:val="14"/>
                <w:szCs w:val="14"/>
                <w:b w:val="1"/>
                <w:bCs w:val="1"/>
                <w:color w:val="auto"/>
                <w:w w:val="96"/>
              </w:rPr>
              <w:t xml:space="preserve"> </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Compensation </w:t>
            </w:r>
            <w:r>
              <w:rPr>
                <w:rFonts w:ascii="Arial" w:cs="Arial" w:eastAsia="Arial" w:hAnsi="Arial"/>
                <w:sz w:val="20"/>
                <w:szCs w:val="20"/>
                <w:i w:val="1"/>
                <w:iCs w:val="1"/>
                <w:color w:val="auto"/>
                <w:w w:val="98"/>
                <w:vertAlign w:val="superscript"/>
              </w:rPr>
              <w:t>(3)</w:t>
            </w:r>
            <w:r>
              <w:rPr>
                <w:rFonts w:ascii="Arial" w:cs="Arial" w:eastAsia="Arial" w:hAnsi="Arial"/>
                <w:sz w:val="14"/>
                <w:szCs w:val="14"/>
                <w:b w:val="1"/>
                <w:bCs w:val="1"/>
                <w:color w:val="auto"/>
                <w:w w:val="98"/>
              </w:rPr>
              <w:t xml:space="preserve"> </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Earnings </w:t>
            </w:r>
            <w:r>
              <w:rPr>
                <w:rFonts w:ascii="Arial" w:cs="Arial" w:eastAsia="Arial" w:hAnsi="Arial"/>
                <w:sz w:val="20"/>
                <w:szCs w:val="20"/>
                <w:i w:val="1"/>
                <w:iCs w:val="1"/>
                <w:color w:val="auto"/>
                <w:w w:val="92"/>
                <w:vertAlign w:val="superscript"/>
              </w:rPr>
              <w:t>(4)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Compensation </w:t>
            </w:r>
            <w:r>
              <w:rPr>
                <w:rFonts w:ascii="Arial" w:cs="Arial" w:eastAsia="Arial" w:hAnsi="Arial"/>
                <w:sz w:val="20"/>
                <w:szCs w:val="20"/>
                <w:b w:val="1"/>
                <w:bCs w:val="1"/>
                <w:i w:val="1"/>
                <w:iCs w:val="1"/>
                <w:color w:val="auto"/>
                <w:w w:val="98"/>
                <w:vertAlign w:val="superscript"/>
              </w:rPr>
              <w:t>(5)</w:t>
            </w:r>
            <w:r>
              <w:rPr>
                <w:rFonts w:ascii="Arial" w:cs="Arial" w:eastAsia="Arial" w:hAnsi="Arial"/>
                <w:sz w:val="14"/>
                <w:szCs w:val="14"/>
                <w:b w:val="1"/>
                <w:bCs w:val="1"/>
                <w:color w:val="auto"/>
                <w:w w:val="98"/>
              </w:rPr>
              <w:t xml:space="preserve"> </w:t>
            </w:r>
          </w:p>
        </w:tc>
        <w:tc>
          <w:tcPr>
            <w:tcW w:w="260" w:type="dxa"/>
            <w:vAlign w:val="bottom"/>
          </w:tcPr>
          <w:p>
            <w:pPr>
              <w:spacing w:after="0"/>
              <w:rPr>
                <w:sz w:val="20"/>
                <w:szCs w:val="20"/>
                <w:color w:val="auto"/>
              </w:rPr>
            </w:pPr>
          </w:p>
        </w:tc>
        <w:tc>
          <w:tcPr>
            <w:tcW w:w="72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182"/>
        </w:trPr>
        <w:tc>
          <w:tcPr>
            <w:tcW w:w="2320" w:type="dxa"/>
            <w:vAlign w:val="bottom"/>
            <w:tcBorders>
              <w:right w:val="single" w:sz="8" w:color="314A72"/>
            </w:tcBorders>
            <w:shd w:val="clear" w:color="auto" w:fill="314A72"/>
          </w:tcPr>
          <w:p>
            <w:pPr>
              <w:ind w:left="1060"/>
              <w:spacing w:after="0"/>
              <w:rPr>
                <w:sz w:val="20"/>
                <w:szCs w:val="20"/>
                <w:color w:val="auto"/>
              </w:rPr>
            </w:pPr>
            <w:r>
              <w:rPr>
                <w:rFonts w:ascii="Arial" w:cs="Arial" w:eastAsia="Arial" w:hAnsi="Arial"/>
                <w:sz w:val="13"/>
                <w:szCs w:val="13"/>
                <w:b w:val="1"/>
                <w:bCs w:val="1"/>
                <w:color w:val="FFFFFF"/>
              </w:rPr>
              <w:t>(a)</w:t>
            </w:r>
          </w:p>
        </w:tc>
        <w:tc>
          <w:tcPr>
            <w:tcW w:w="1160" w:type="dxa"/>
            <w:vAlign w:val="bottom"/>
            <w:tcBorders>
              <w:right w:val="single" w:sz="8" w:color="314A72"/>
            </w:tcBorders>
            <w:shd w:val="clear" w:color="auto" w:fill="314A72"/>
          </w:tcPr>
          <w:p>
            <w:pPr>
              <w:jc w:val="center"/>
              <w:spacing w:after="0"/>
              <w:rPr>
                <w:sz w:val="20"/>
                <w:szCs w:val="20"/>
                <w:color w:val="auto"/>
              </w:rPr>
            </w:pPr>
            <w:r>
              <w:rPr>
                <w:rFonts w:ascii="Arial" w:cs="Arial" w:eastAsia="Arial" w:hAnsi="Arial"/>
                <w:sz w:val="13"/>
                <w:szCs w:val="13"/>
                <w:b w:val="1"/>
                <w:bCs w:val="1"/>
                <w:color w:val="FFFFFF"/>
                <w:w w:val="96"/>
              </w:rPr>
              <w:t>(b)</w:t>
            </w:r>
          </w:p>
        </w:tc>
        <w:tc>
          <w:tcPr>
            <w:tcW w:w="160" w:type="dxa"/>
            <w:vAlign w:val="bottom"/>
            <w:shd w:val="clear" w:color="auto" w:fill="314A72"/>
          </w:tcPr>
          <w:p>
            <w:pPr>
              <w:spacing w:after="0"/>
              <w:rPr>
                <w:sz w:val="15"/>
                <w:szCs w:val="15"/>
                <w:color w:val="auto"/>
              </w:rPr>
            </w:pPr>
          </w:p>
        </w:tc>
        <w:tc>
          <w:tcPr>
            <w:tcW w:w="800" w:type="dxa"/>
            <w:vAlign w:val="bottom"/>
            <w:tcBorders>
              <w:right w:val="single" w:sz="8" w:color="314A72"/>
            </w:tcBorders>
            <w:shd w:val="clear" w:color="auto" w:fill="314A72"/>
          </w:tcPr>
          <w:p>
            <w:pPr>
              <w:jc w:val="center"/>
              <w:ind w:right="116"/>
              <w:spacing w:after="0"/>
              <w:rPr>
                <w:sz w:val="20"/>
                <w:szCs w:val="20"/>
                <w:color w:val="auto"/>
              </w:rPr>
            </w:pPr>
            <w:r>
              <w:rPr>
                <w:rFonts w:ascii="Arial" w:cs="Arial" w:eastAsia="Arial" w:hAnsi="Arial"/>
                <w:sz w:val="13"/>
                <w:szCs w:val="13"/>
                <w:b w:val="1"/>
                <w:bCs w:val="1"/>
                <w:color w:val="FFFFFF"/>
              </w:rPr>
              <w:t>(c)</w:t>
            </w:r>
          </w:p>
        </w:tc>
        <w:tc>
          <w:tcPr>
            <w:tcW w:w="820" w:type="dxa"/>
            <w:vAlign w:val="bottom"/>
            <w:tcBorders>
              <w:right w:val="single" w:sz="8" w:color="314A72"/>
            </w:tcBorders>
            <w:shd w:val="clear" w:color="auto" w:fill="314A72"/>
          </w:tcPr>
          <w:p>
            <w:pPr>
              <w:jc w:val="center"/>
              <w:spacing w:after="0"/>
              <w:rPr>
                <w:sz w:val="20"/>
                <w:szCs w:val="20"/>
                <w:color w:val="auto"/>
              </w:rPr>
            </w:pPr>
            <w:r>
              <w:rPr>
                <w:rFonts w:ascii="Arial" w:cs="Arial" w:eastAsia="Arial" w:hAnsi="Arial"/>
                <w:sz w:val="13"/>
                <w:szCs w:val="13"/>
                <w:b w:val="1"/>
                <w:bCs w:val="1"/>
                <w:color w:val="FFFFFF"/>
                <w:w w:val="96"/>
              </w:rPr>
              <w:t>(d)</w:t>
            </w:r>
          </w:p>
        </w:tc>
        <w:tc>
          <w:tcPr>
            <w:tcW w:w="1280" w:type="dxa"/>
            <w:vAlign w:val="bottom"/>
            <w:tcBorders>
              <w:right w:val="single" w:sz="8" w:color="314A72"/>
            </w:tcBorders>
            <w:shd w:val="clear" w:color="auto" w:fill="314A72"/>
          </w:tcPr>
          <w:p>
            <w:pPr>
              <w:jc w:val="center"/>
              <w:spacing w:after="0"/>
              <w:rPr>
                <w:sz w:val="20"/>
                <w:szCs w:val="20"/>
                <w:color w:val="auto"/>
              </w:rPr>
            </w:pPr>
            <w:r>
              <w:rPr>
                <w:rFonts w:ascii="Arial" w:cs="Arial" w:eastAsia="Arial" w:hAnsi="Arial"/>
                <w:sz w:val="13"/>
                <w:szCs w:val="13"/>
                <w:b w:val="1"/>
                <w:bCs w:val="1"/>
                <w:color w:val="FFFFFF"/>
              </w:rPr>
              <w:t>(e)</w:t>
            </w:r>
          </w:p>
        </w:tc>
        <w:tc>
          <w:tcPr>
            <w:tcW w:w="1180" w:type="dxa"/>
            <w:vAlign w:val="bottom"/>
            <w:tcBorders>
              <w:right w:val="single" w:sz="8" w:color="314A72"/>
            </w:tcBorders>
            <w:shd w:val="clear" w:color="auto" w:fill="314A72"/>
          </w:tcPr>
          <w:p>
            <w:pPr>
              <w:jc w:val="center"/>
              <w:spacing w:after="0"/>
              <w:rPr>
                <w:sz w:val="20"/>
                <w:szCs w:val="20"/>
                <w:color w:val="auto"/>
              </w:rPr>
            </w:pPr>
            <w:r>
              <w:rPr>
                <w:rFonts w:ascii="Arial" w:cs="Arial" w:eastAsia="Arial" w:hAnsi="Arial"/>
                <w:sz w:val="13"/>
                <w:szCs w:val="13"/>
                <w:b w:val="1"/>
                <w:bCs w:val="1"/>
                <w:color w:val="FFFFFF"/>
              </w:rPr>
              <w:t>(f)</w:t>
            </w:r>
          </w:p>
        </w:tc>
        <w:tc>
          <w:tcPr>
            <w:tcW w:w="1280" w:type="dxa"/>
            <w:vAlign w:val="bottom"/>
            <w:tcBorders>
              <w:right w:val="single" w:sz="8" w:color="314A72"/>
            </w:tcBorders>
            <w:shd w:val="clear" w:color="auto" w:fill="314A72"/>
          </w:tcPr>
          <w:p>
            <w:pPr>
              <w:jc w:val="center"/>
              <w:spacing w:after="0"/>
              <w:rPr>
                <w:sz w:val="20"/>
                <w:szCs w:val="20"/>
                <w:color w:val="auto"/>
              </w:rPr>
            </w:pPr>
            <w:r>
              <w:rPr>
                <w:rFonts w:ascii="Arial" w:cs="Arial" w:eastAsia="Arial" w:hAnsi="Arial"/>
                <w:sz w:val="13"/>
                <w:szCs w:val="13"/>
                <w:b w:val="1"/>
                <w:bCs w:val="1"/>
                <w:color w:val="FFFFFF"/>
              </w:rPr>
              <w:t>(g)</w:t>
            </w:r>
          </w:p>
        </w:tc>
        <w:tc>
          <w:tcPr>
            <w:tcW w:w="260" w:type="dxa"/>
            <w:vAlign w:val="bottom"/>
            <w:shd w:val="clear" w:color="auto" w:fill="314A72"/>
          </w:tcPr>
          <w:p>
            <w:pPr>
              <w:spacing w:after="0"/>
              <w:rPr>
                <w:sz w:val="15"/>
                <w:szCs w:val="15"/>
                <w:color w:val="auto"/>
              </w:rPr>
            </w:pPr>
          </w:p>
        </w:tc>
        <w:tc>
          <w:tcPr>
            <w:tcW w:w="720" w:type="dxa"/>
            <w:vAlign w:val="bottom"/>
            <w:shd w:val="clear" w:color="auto" w:fill="314A72"/>
          </w:tcPr>
          <w:p>
            <w:pPr>
              <w:jc w:val="right"/>
              <w:ind w:right="336"/>
              <w:spacing w:after="0"/>
              <w:rPr>
                <w:sz w:val="20"/>
                <w:szCs w:val="20"/>
                <w:color w:val="auto"/>
              </w:rPr>
            </w:pPr>
            <w:r>
              <w:rPr>
                <w:rFonts w:ascii="Arial" w:cs="Arial" w:eastAsia="Arial" w:hAnsi="Arial"/>
                <w:sz w:val="13"/>
                <w:szCs w:val="13"/>
                <w:b w:val="1"/>
                <w:bCs w:val="1"/>
                <w:color w:val="FFFFFF"/>
              </w:rPr>
              <w:t>(h)</w:t>
            </w:r>
          </w:p>
        </w:tc>
      </w:tr>
      <w:tr>
        <w:trPr>
          <w:trHeight w:val="298"/>
        </w:trPr>
        <w:tc>
          <w:tcPr>
            <w:tcW w:w="2320" w:type="dxa"/>
            <w:vAlign w:val="bottom"/>
            <w:tcBorders>
              <w:right w:val="single" w:sz="8" w:color="auto"/>
            </w:tcBorders>
            <w:shd w:val="clear" w:color="auto" w:fill="F7AB6C"/>
          </w:tcPr>
          <w:p>
            <w:pPr>
              <w:ind w:left="40"/>
              <w:spacing w:after="0"/>
              <w:rPr>
                <w:sz w:val="20"/>
                <w:szCs w:val="20"/>
                <w:color w:val="auto"/>
              </w:rPr>
            </w:pPr>
            <w:r>
              <w:rPr>
                <w:rFonts w:ascii="Arial" w:cs="Arial" w:eastAsia="Arial" w:hAnsi="Arial"/>
                <w:sz w:val="17"/>
                <w:szCs w:val="17"/>
                <w:b w:val="1"/>
                <w:bCs w:val="1"/>
                <w:color w:val="auto"/>
              </w:rPr>
              <w:t xml:space="preserve">Anne L. Alonzo </w:t>
            </w:r>
            <w:r>
              <w:rPr>
                <w:rFonts w:ascii="Arial" w:cs="Arial" w:eastAsia="Arial" w:hAnsi="Arial"/>
                <w:sz w:val="11"/>
                <w:szCs w:val="11"/>
                <w:b w:val="1"/>
                <w:bCs w:val="1"/>
                <w:i w:val="1"/>
                <w:iCs w:val="1"/>
                <w:color w:val="auto"/>
              </w:rPr>
              <w:t>(6)</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  94,000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auto"/>
            </w:tcBorders>
          </w:tcPr>
          <w:p>
            <w:pPr>
              <w:jc w:val="right"/>
              <w:ind w:right="16"/>
              <w:spacing w:after="0"/>
              <w:rPr>
                <w:sz w:val="20"/>
                <w:szCs w:val="20"/>
                <w:color w:val="auto"/>
              </w:rPr>
            </w:pPr>
            <w:r>
              <w:rPr>
                <w:rFonts w:ascii="Arial" w:cs="Arial" w:eastAsia="Arial" w:hAnsi="Arial"/>
                <w:sz w:val="17"/>
                <w:szCs w:val="17"/>
                <w:color w:val="auto"/>
              </w:rPr>
              <w:t>114,981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80" w:type="dxa"/>
            <w:vAlign w:val="bottom"/>
            <w:tcBorders>
              <w:right w:val="single" w:sz="8" w:color="auto"/>
            </w:tcBorders>
          </w:tcPr>
          <w:p>
            <w:pPr>
              <w:jc w:val="right"/>
              <w:ind w:right="277"/>
              <w:spacing w:after="0"/>
              <w:rPr>
                <w:sz w:val="20"/>
                <w:szCs w:val="20"/>
                <w:color w:val="auto"/>
              </w:rPr>
            </w:pPr>
            <w:r>
              <w:rPr>
                <w:rFonts w:ascii="Arial" w:cs="Arial" w:eastAsia="Arial" w:hAnsi="Arial"/>
                <w:sz w:val="17"/>
                <w:szCs w:val="17"/>
                <w:color w:val="auto"/>
              </w:rPr>
              <w:t>$1,096 </w:t>
            </w:r>
          </w:p>
        </w:tc>
        <w:tc>
          <w:tcPr>
            <w:tcW w:w="2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w w:val="97"/>
              </w:rPr>
              <w:t>210,076</w:t>
            </w:r>
          </w:p>
        </w:tc>
      </w:tr>
      <w:tr>
        <w:trPr>
          <w:trHeight w:val="66"/>
        </w:trPr>
        <w:tc>
          <w:tcPr>
            <w:tcW w:w="2320" w:type="dxa"/>
            <w:vAlign w:val="bottom"/>
            <w:tcBorders>
              <w:bottom w:val="single" w:sz="8" w:color="auto"/>
              <w:right w:val="single" w:sz="8" w:color="auto"/>
            </w:tcBorders>
            <w:shd w:val="clear" w:color="auto" w:fill="F7AB6C"/>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78"/>
        </w:trPr>
        <w:tc>
          <w:tcPr>
            <w:tcW w:w="2320" w:type="dxa"/>
            <w:vAlign w:val="bottom"/>
            <w:tcBorders>
              <w:right w:val="single" w:sz="8" w:color="auto"/>
            </w:tcBorders>
            <w:shd w:val="clear" w:color="auto" w:fill="F7AB6C"/>
          </w:tcPr>
          <w:p>
            <w:pPr>
              <w:ind w:left="40"/>
              <w:spacing w:after="0"/>
              <w:rPr>
                <w:sz w:val="20"/>
                <w:szCs w:val="20"/>
                <w:color w:val="auto"/>
              </w:rPr>
            </w:pPr>
            <w:r>
              <w:rPr>
                <w:rFonts w:ascii="Arial" w:cs="Arial" w:eastAsia="Arial" w:hAnsi="Arial"/>
                <w:sz w:val="17"/>
                <w:szCs w:val="17"/>
                <w:b w:val="1"/>
                <w:bCs w:val="1"/>
                <w:color w:val="auto"/>
              </w:rPr>
              <w:t xml:space="preserve">Neveen F. Awad </w:t>
            </w:r>
            <w:r>
              <w:rPr>
                <w:rFonts w:ascii="Arial" w:cs="Arial" w:eastAsia="Arial" w:hAnsi="Arial"/>
                <w:sz w:val="11"/>
                <w:szCs w:val="11"/>
                <w:b w:val="1"/>
                <w:bCs w:val="1"/>
                <w:i w:val="1"/>
                <w:iCs w:val="1"/>
                <w:color w:val="auto"/>
              </w:rPr>
              <w:t>(7)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  94,000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auto"/>
            </w:tcBorders>
          </w:tcPr>
          <w:p>
            <w:pPr>
              <w:jc w:val="right"/>
              <w:ind w:right="16"/>
              <w:spacing w:after="0"/>
              <w:rPr>
                <w:sz w:val="20"/>
                <w:szCs w:val="20"/>
                <w:color w:val="auto"/>
              </w:rPr>
            </w:pPr>
            <w:r>
              <w:rPr>
                <w:rFonts w:ascii="Arial" w:cs="Arial" w:eastAsia="Arial" w:hAnsi="Arial"/>
                <w:sz w:val="17"/>
                <w:szCs w:val="17"/>
                <w:color w:val="auto"/>
              </w:rPr>
              <w:t>114,981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80" w:type="dxa"/>
            <w:vAlign w:val="bottom"/>
            <w:tcBorders>
              <w:right w:val="single" w:sz="8" w:color="auto"/>
            </w:tcBorders>
          </w:tcPr>
          <w:p>
            <w:pPr>
              <w:jc w:val="right"/>
              <w:ind w:right="277"/>
              <w:spacing w:after="0"/>
              <w:rPr>
                <w:sz w:val="20"/>
                <w:szCs w:val="20"/>
                <w:color w:val="auto"/>
              </w:rPr>
            </w:pPr>
            <w:r>
              <w:rPr>
                <w:rFonts w:ascii="Arial" w:cs="Arial" w:eastAsia="Arial" w:hAnsi="Arial"/>
                <w:sz w:val="17"/>
                <w:szCs w:val="17"/>
                <w:color w:val="auto"/>
              </w:rPr>
              <w:t>$1,096 </w:t>
            </w:r>
          </w:p>
        </w:tc>
        <w:tc>
          <w:tcPr>
            <w:tcW w:w="2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w w:val="97"/>
              </w:rPr>
              <w:t>210,076</w:t>
            </w:r>
          </w:p>
        </w:tc>
      </w:tr>
      <w:tr>
        <w:trPr>
          <w:trHeight w:val="66"/>
        </w:trPr>
        <w:tc>
          <w:tcPr>
            <w:tcW w:w="2320" w:type="dxa"/>
            <w:vAlign w:val="bottom"/>
            <w:tcBorders>
              <w:bottom w:val="single" w:sz="8" w:color="auto"/>
              <w:right w:val="single" w:sz="8" w:color="auto"/>
            </w:tcBorders>
            <w:shd w:val="clear" w:color="auto" w:fill="F7AB6C"/>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78"/>
        </w:trPr>
        <w:tc>
          <w:tcPr>
            <w:tcW w:w="2320" w:type="dxa"/>
            <w:vAlign w:val="bottom"/>
            <w:tcBorders>
              <w:right w:val="single" w:sz="8" w:color="auto"/>
            </w:tcBorders>
            <w:shd w:val="clear" w:color="auto" w:fill="F7AB6C"/>
          </w:tcPr>
          <w:p>
            <w:pPr>
              <w:ind w:left="40"/>
              <w:spacing w:after="0"/>
              <w:rPr>
                <w:sz w:val="20"/>
                <w:szCs w:val="20"/>
                <w:color w:val="auto"/>
              </w:rPr>
            </w:pPr>
            <w:r>
              <w:rPr>
                <w:rFonts w:ascii="Arial" w:cs="Arial" w:eastAsia="Arial" w:hAnsi="Arial"/>
                <w:sz w:val="17"/>
                <w:szCs w:val="17"/>
                <w:b w:val="1"/>
                <w:bCs w:val="1"/>
                <w:color w:val="auto"/>
              </w:rPr>
              <w:t xml:space="preserve">Winfield S. Brown </w:t>
            </w:r>
            <w:r>
              <w:rPr>
                <w:rFonts w:ascii="Arial" w:cs="Arial" w:eastAsia="Arial" w:hAnsi="Arial"/>
                <w:sz w:val="11"/>
                <w:szCs w:val="11"/>
                <w:b w:val="1"/>
                <w:bCs w:val="1"/>
                <w:i w:val="1"/>
                <w:iCs w:val="1"/>
                <w:color w:val="auto"/>
              </w:rPr>
              <w:t>(8)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$106,000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auto"/>
            </w:tcBorders>
          </w:tcPr>
          <w:p>
            <w:pPr>
              <w:jc w:val="right"/>
              <w:ind w:right="16"/>
              <w:spacing w:after="0"/>
              <w:rPr>
                <w:sz w:val="20"/>
                <w:szCs w:val="20"/>
                <w:color w:val="auto"/>
              </w:rPr>
            </w:pPr>
            <w:r>
              <w:rPr>
                <w:rFonts w:ascii="Arial" w:cs="Arial" w:eastAsia="Arial" w:hAnsi="Arial"/>
                <w:sz w:val="17"/>
                <w:szCs w:val="17"/>
                <w:color w:val="auto"/>
              </w:rPr>
              <w:t>114,981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80" w:type="dxa"/>
            <w:vAlign w:val="bottom"/>
            <w:tcBorders>
              <w:right w:val="single" w:sz="8" w:color="auto"/>
            </w:tcBorders>
          </w:tcPr>
          <w:p>
            <w:pPr>
              <w:jc w:val="right"/>
              <w:ind w:right="277"/>
              <w:spacing w:after="0"/>
              <w:rPr>
                <w:sz w:val="20"/>
                <w:szCs w:val="20"/>
                <w:color w:val="auto"/>
              </w:rPr>
            </w:pPr>
            <w:r>
              <w:rPr>
                <w:rFonts w:ascii="Arial" w:cs="Arial" w:eastAsia="Arial" w:hAnsi="Arial"/>
                <w:sz w:val="17"/>
                <w:szCs w:val="17"/>
                <w:color w:val="auto"/>
              </w:rPr>
              <w:t>$1,096 </w:t>
            </w:r>
          </w:p>
        </w:tc>
        <w:tc>
          <w:tcPr>
            <w:tcW w:w="2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w w:val="97"/>
              </w:rPr>
              <w:t>222,076</w:t>
            </w:r>
          </w:p>
        </w:tc>
      </w:tr>
      <w:tr>
        <w:trPr>
          <w:trHeight w:val="66"/>
        </w:trPr>
        <w:tc>
          <w:tcPr>
            <w:tcW w:w="2320" w:type="dxa"/>
            <w:vAlign w:val="bottom"/>
            <w:tcBorders>
              <w:bottom w:val="single" w:sz="8" w:color="auto"/>
              <w:right w:val="single" w:sz="8" w:color="auto"/>
            </w:tcBorders>
            <w:shd w:val="clear" w:color="auto" w:fill="F7AB6C"/>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344"/>
        </w:trPr>
        <w:tc>
          <w:tcPr>
            <w:tcW w:w="2320" w:type="dxa"/>
            <w:vAlign w:val="bottom"/>
            <w:tcBorders>
              <w:bottom w:val="single" w:sz="8" w:color="auto"/>
              <w:right w:val="single" w:sz="8" w:color="auto"/>
            </w:tcBorders>
            <w:shd w:val="clear" w:color="auto" w:fill="F7AB6C"/>
          </w:tcPr>
          <w:p>
            <w:pPr>
              <w:ind w:left="40"/>
              <w:spacing w:after="0"/>
              <w:rPr>
                <w:sz w:val="20"/>
                <w:szCs w:val="20"/>
                <w:color w:val="auto"/>
              </w:rPr>
            </w:pPr>
            <w:r>
              <w:rPr>
                <w:rFonts w:ascii="Arial" w:cs="Arial" w:eastAsia="Arial" w:hAnsi="Arial"/>
                <w:sz w:val="17"/>
                <w:szCs w:val="17"/>
                <w:b w:val="1"/>
                <w:bCs w:val="1"/>
                <w:color w:val="auto"/>
              </w:rPr>
              <w:t xml:space="preserve">Mark H. Collin </w:t>
            </w:r>
            <w:r>
              <w:rPr>
                <w:rFonts w:ascii="Arial" w:cs="Arial" w:eastAsia="Arial" w:hAnsi="Arial"/>
                <w:sz w:val="11"/>
                <w:szCs w:val="11"/>
                <w:b w:val="1"/>
                <w:bCs w:val="1"/>
                <w:i w:val="1"/>
                <w:iCs w:val="1"/>
                <w:color w:val="auto"/>
              </w:rPr>
              <w:t>(9)</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$104,500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7"/>
                <w:szCs w:val="17"/>
                <w:color w:val="auto"/>
              </w:rPr>
              <w:t>114,981</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$8,682</w:t>
            </w:r>
            <w:r>
              <w:rPr>
                <w:rFonts w:ascii="Arial" w:cs="Arial" w:eastAsia="Arial" w:hAnsi="Arial"/>
                <w:sz w:val="25"/>
                <w:szCs w:val="25"/>
                <w:i w:val="1"/>
                <w:iCs w:val="1"/>
                <w:color w:val="auto"/>
                <w:w w:val="93"/>
                <w:vertAlign w:val="superscript"/>
              </w:rPr>
              <w:t>(10)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 xml:space="preserve">$254,508 </w:t>
            </w:r>
            <w:r>
              <w:rPr>
                <w:rFonts w:ascii="Arial" w:cs="Arial" w:eastAsia="Arial" w:hAnsi="Arial"/>
                <w:sz w:val="25"/>
                <w:szCs w:val="25"/>
                <w:i w:val="1"/>
                <w:iCs w:val="1"/>
                <w:color w:val="auto"/>
                <w:w w:val="93"/>
                <w:vertAlign w:val="superscript"/>
              </w:rPr>
              <w:t>(11)</w:t>
            </w: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97"/>
              </w:rPr>
              <w:t>483,094</w:t>
            </w:r>
          </w:p>
        </w:tc>
      </w:tr>
      <w:tr>
        <w:trPr>
          <w:trHeight w:val="344"/>
        </w:trPr>
        <w:tc>
          <w:tcPr>
            <w:tcW w:w="2320" w:type="dxa"/>
            <w:vAlign w:val="bottom"/>
            <w:tcBorders>
              <w:bottom w:val="single" w:sz="8" w:color="auto"/>
              <w:right w:val="single" w:sz="8" w:color="auto"/>
            </w:tcBorders>
            <w:shd w:val="clear" w:color="auto" w:fill="F7AB6C"/>
          </w:tcPr>
          <w:p>
            <w:pPr>
              <w:ind w:left="40"/>
              <w:spacing w:after="0"/>
              <w:rPr>
                <w:sz w:val="20"/>
                <w:szCs w:val="20"/>
                <w:color w:val="auto"/>
              </w:rPr>
            </w:pPr>
            <w:r>
              <w:rPr>
                <w:rFonts w:ascii="Arial" w:cs="Arial" w:eastAsia="Arial" w:hAnsi="Arial"/>
                <w:sz w:val="17"/>
                <w:szCs w:val="17"/>
                <w:b w:val="1"/>
                <w:bCs w:val="1"/>
                <w:color w:val="auto"/>
              </w:rPr>
              <w:t xml:space="preserve">Suzanne Foster </w:t>
            </w:r>
            <w:r>
              <w:rPr>
                <w:rFonts w:ascii="Arial" w:cs="Arial" w:eastAsia="Arial" w:hAnsi="Arial"/>
                <w:sz w:val="25"/>
                <w:szCs w:val="25"/>
                <w:color w:val="auto"/>
                <w:vertAlign w:val="superscript"/>
              </w:rPr>
              <w:t>(</w:t>
            </w:r>
            <w:r>
              <w:rPr>
                <w:rFonts w:ascii="Arial" w:cs="Arial" w:eastAsia="Arial" w:hAnsi="Arial"/>
                <w:sz w:val="11"/>
                <w:szCs w:val="11"/>
                <w:b w:val="1"/>
                <w:bCs w:val="1"/>
                <w:i w:val="1"/>
                <w:iCs w:val="1"/>
                <w:color w:val="auto"/>
              </w:rPr>
              <w:t>12)</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  94,000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7"/>
                <w:szCs w:val="17"/>
                <w:color w:val="auto"/>
              </w:rPr>
              <w:t>114,981</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7"/>
                <w:szCs w:val="17"/>
                <w:color w:val="auto"/>
              </w:rPr>
              <w:t>$1,096 </w:t>
            </w: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97"/>
              </w:rPr>
              <w:t>210,076</w:t>
            </w:r>
          </w:p>
        </w:tc>
      </w:tr>
      <w:tr>
        <w:trPr>
          <w:trHeight w:val="344"/>
        </w:trPr>
        <w:tc>
          <w:tcPr>
            <w:tcW w:w="2320" w:type="dxa"/>
            <w:vAlign w:val="bottom"/>
            <w:tcBorders>
              <w:bottom w:val="single" w:sz="8" w:color="auto"/>
              <w:right w:val="single" w:sz="8" w:color="auto"/>
            </w:tcBorders>
            <w:shd w:val="clear" w:color="auto" w:fill="F7AB6C"/>
          </w:tcPr>
          <w:p>
            <w:pPr>
              <w:ind w:left="40"/>
              <w:spacing w:after="0"/>
              <w:rPr>
                <w:sz w:val="20"/>
                <w:szCs w:val="20"/>
                <w:color w:val="auto"/>
              </w:rPr>
            </w:pPr>
            <w:r>
              <w:rPr>
                <w:rFonts w:ascii="Arial" w:cs="Arial" w:eastAsia="Arial" w:hAnsi="Arial"/>
                <w:sz w:val="17"/>
                <w:szCs w:val="17"/>
                <w:b w:val="1"/>
                <w:bCs w:val="1"/>
                <w:color w:val="auto"/>
              </w:rPr>
              <w:t xml:space="preserve">Edward F. Godfrey </w:t>
            </w:r>
            <w:r>
              <w:rPr>
                <w:rFonts w:ascii="Arial" w:cs="Arial" w:eastAsia="Arial" w:hAnsi="Arial"/>
                <w:sz w:val="25"/>
                <w:szCs w:val="25"/>
                <w:color w:val="auto"/>
                <w:vertAlign w:val="superscript"/>
              </w:rPr>
              <w:t>(</w:t>
            </w:r>
            <w:r>
              <w:rPr>
                <w:rFonts w:ascii="Arial" w:cs="Arial" w:eastAsia="Arial" w:hAnsi="Arial"/>
                <w:sz w:val="11"/>
                <w:szCs w:val="11"/>
                <w:b w:val="1"/>
                <w:bCs w:val="1"/>
                <w:i w:val="1"/>
                <w:iCs w:val="1"/>
                <w:color w:val="auto"/>
              </w:rPr>
              <w:t>13)</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  47,000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7"/>
                <w:szCs w:val="17"/>
                <w:color w:val="auto"/>
              </w:rPr>
              <w:t>38,925</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 $365</w:t>
            </w: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85,660</w:t>
            </w:r>
          </w:p>
        </w:tc>
      </w:tr>
      <w:tr>
        <w:trPr>
          <w:trHeight w:val="344"/>
        </w:trPr>
        <w:tc>
          <w:tcPr>
            <w:tcW w:w="2320" w:type="dxa"/>
            <w:vAlign w:val="bottom"/>
            <w:tcBorders>
              <w:bottom w:val="single" w:sz="8" w:color="auto"/>
              <w:right w:val="single" w:sz="8" w:color="auto"/>
            </w:tcBorders>
            <w:shd w:val="clear" w:color="auto" w:fill="F7AB6C"/>
          </w:tcPr>
          <w:p>
            <w:pPr>
              <w:ind w:left="40"/>
              <w:spacing w:after="0"/>
              <w:rPr>
                <w:sz w:val="20"/>
                <w:szCs w:val="20"/>
                <w:color w:val="auto"/>
              </w:rPr>
            </w:pPr>
            <w:r>
              <w:rPr>
                <w:rFonts w:ascii="Arial" w:cs="Arial" w:eastAsia="Arial" w:hAnsi="Arial"/>
                <w:sz w:val="17"/>
                <w:szCs w:val="17"/>
                <w:b w:val="1"/>
                <w:bCs w:val="1"/>
                <w:color w:val="auto"/>
              </w:rPr>
              <w:t xml:space="preserve">Michael B. Green </w:t>
            </w:r>
            <w:r>
              <w:rPr>
                <w:rFonts w:ascii="Arial" w:cs="Arial" w:eastAsia="Arial" w:hAnsi="Arial"/>
                <w:sz w:val="25"/>
                <w:szCs w:val="25"/>
                <w:color w:val="auto"/>
                <w:vertAlign w:val="superscript"/>
              </w:rPr>
              <w:t>(</w:t>
            </w:r>
            <w:r>
              <w:rPr>
                <w:rFonts w:ascii="Arial" w:cs="Arial" w:eastAsia="Arial" w:hAnsi="Arial"/>
                <w:sz w:val="11"/>
                <w:szCs w:val="11"/>
                <w:b w:val="1"/>
                <w:bCs w:val="1"/>
                <w:i w:val="1"/>
                <w:iCs w:val="1"/>
                <w:color w:val="auto"/>
              </w:rPr>
              <w:t>14)</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$122,000</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7"/>
                <w:szCs w:val="17"/>
                <w:color w:val="auto"/>
                <w:w w:val="95"/>
              </w:rPr>
              <w:t>$114,981</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7"/>
                <w:szCs w:val="17"/>
                <w:color w:val="auto"/>
              </w:rPr>
              <w:t>$1,096 </w:t>
            </w: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97"/>
              </w:rPr>
              <w:t>238,076</w:t>
            </w:r>
          </w:p>
        </w:tc>
      </w:tr>
      <w:tr>
        <w:trPr>
          <w:trHeight w:val="344"/>
        </w:trPr>
        <w:tc>
          <w:tcPr>
            <w:tcW w:w="2320" w:type="dxa"/>
            <w:vAlign w:val="bottom"/>
            <w:tcBorders>
              <w:bottom w:val="single" w:sz="8" w:color="auto"/>
              <w:right w:val="single" w:sz="8" w:color="auto"/>
            </w:tcBorders>
            <w:shd w:val="clear" w:color="auto" w:fill="F7AB6C"/>
          </w:tcPr>
          <w:p>
            <w:pPr>
              <w:ind w:left="40"/>
              <w:spacing w:after="0"/>
              <w:rPr>
                <w:sz w:val="20"/>
                <w:szCs w:val="20"/>
                <w:color w:val="auto"/>
              </w:rPr>
            </w:pPr>
            <w:r>
              <w:rPr>
                <w:rFonts w:ascii="Arial" w:cs="Arial" w:eastAsia="Arial" w:hAnsi="Arial"/>
                <w:sz w:val="17"/>
                <w:szCs w:val="17"/>
                <w:b w:val="1"/>
                <w:bCs w:val="1"/>
                <w:color w:val="auto"/>
              </w:rPr>
              <w:t xml:space="preserve">Katherine Kountze </w:t>
            </w:r>
            <w:r>
              <w:rPr>
                <w:rFonts w:ascii="Arial" w:cs="Arial" w:eastAsia="Arial" w:hAnsi="Arial"/>
                <w:sz w:val="25"/>
                <w:szCs w:val="25"/>
                <w:color w:val="auto"/>
                <w:vertAlign w:val="superscript"/>
              </w:rPr>
              <w:t>(</w:t>
            </w:r>
            <w:r>
              <w:rPr>
                <w:rFonts w:ascii="Arial" w:cs="Arial" w:eastAsia="Arial" w:hAnsi="Arial"/>
                <w:sz w:val="11"/>
                <w:szCs w:val="11"/>
                <w:b w:val="1"/>
                <w:bCs w:val="1"/>
                <w:i w:val="1"/>
                <w:iCs w:val="1"/>
                <w:color w:val="auto"/>
              </w:rPr>
              <w:t>15)</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  58,029</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jc w:val="right"/>
              <w:ind w:right="56"/>
              <w:spacing w:after="0"/>
              <w:rPr>
                <w:sz w:val="20"/>
                <w:szCs w:val="20"/>
                <w:color w:val="auto"/>
              </w:rPr>
            </w:pPr>
            <w:r>
              <w:rPr>
                <w:rFonts w:ascii="Arial" w:cs="Arial" w:eastAsia="Arial" w:hAnsi="Arial"/>
                <w:sz w:val="17"/>
                <w:szCs w:val="17"/>
                <w:color w:val="auto"/>
              </w:rPr>
              <w:t>$76,685</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 $731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97"/>
              </w:rPr>
              <w:t>135,445</w:t>
            </w:r>
          </w:p>
        </w:tc>
      </w:tr>
      <w:tr>
        <w:trPr>
          <w:trHeight w:val="344"/>
        </w:trPr>
        <w:tc>
          <w:tcPr>
            <w:tcW w:w="2320" w:type="dxa"/>
            <w:vAlign w:val="bottom"/>
            <w:tcBorders>
              <w:bottom w:val="single" w:sz="8" w:color="auto"/>
              <w:right w:val="single" w:sz="8" w:color="auto"/>
            </w:tcBorders>
            <w:shd w:val="clear" w:color="auto" w:fill="F7AB6C"/>
          </w:tcPr>
          <w:p>
            <w:pPr>
              <w:ind w:left="40"/>
              <w:spacing w:after="0"/>
              <w:rPr>
                <w:sz w:val="20"/>
                <w:szCs w:val="20"/>
                <w:color w:val="auto"/>
              </w:rPr>
            </w:pPr>
            <w:r>
              <w:rPr>
                <w:rFonts w:ascii="Arial" w:cs="Arial" w:eastAsia="Arial" w:hAnsi="Arial"/>
                <w:sz w:val="17"/>
                <w:szCs w:val="17"/>
                <w:b w:val="1"/>
                <w:bCs w:val="1"/>
                <w:color w:val="auto"/>
              </w:rPr>
              <w:t xml:space="preserve">Jane Lewis-Raymond </w:t>
            </w:r>
            <w:r>
              <w:rPr>
                <w:rFonts w:ascii="Arial" w:cs="Arial" w:eastAsia="Arial" w:hAnsi="Arial"/>
                <w:sz w:val="25"/>
                <w:szCs w:val="25"/>
                <w:color w:val="auto"/>
                <w:vertAlign w:val="superscript"/>
              </w:rPr>
              <w:t>(</w:t>
            </w:r>
            <w:r>
              <w:rPr>
                <w:rFonts w:ascii="Arial" w:cs="Arial" w:eastAsia="Arial" w:hAnsi="Arial"/>
                <w:sz w:val="11"/>
                <w:szCs w:val="11"/>
                <w:b w:val="1"/>
                <w:bCs w:val="1"/>
                <w:i w:val="1"/>
                <w:iCs w:val="1"/>
                <w:color w:val="auto"/>
              </w:rPr>
              <w:t>16)</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  87,000</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7"/>
                <w:szCs w:val="17"/>
                <w:color w:val="auto"/>
                <w:w w:val="95"/>
              </w:rPr>
              <w:t>$114,981</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$1,096 </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97"/>
              </w:rPr>
              <w:t>203,076</w:t>
            </w:r>
          </w:p>
        </w:tc>
      </w:tr>
      <w:tr>
        <w:trPr>
          <w:trHeight w:val="344"/>
        </w:trPr>
        <w:tc>
          <w:tcPr>
            <w:tcW w:w="2320" w:type="dxa"/>
            <w:vAlign w:val="bottom"/>
            <w:tcBorders>
              <w:bottom w:val="single" w:sz="8" w:color="auto"/>
              <w:right w:val="single" w:sz="8" w:color="auto"/>
            </w:tcBorders>
            <w:shd w:val="clear" w:color="auto" w:fill="F7AB6C"/>
          </w:tcPr>
          <w:p>
            <w:pPr>
              <w:ind w:left="40"/>
              <w:spacing w:after="0"/>
              <w:rPr>
                <w:sz w:val="20"/>
                <w:szCs w:val="20"/>
                <w:color w:val="auto"/>
              </w:rPr>
            </w:pPr>
            <w:r>
              <w:rPr>
                <w:rFonts w:ascii="Arial" w:cs="Arial" w:eastAsia="Arial" w:hAnsi="Arial"/>
                <w:sz w:val="17"/>
                <w:szCs w:val="17"/>
                <w:b w:val="1"/>
                <w:bCs w:val="1"/>
                <w:color w:val="auto"/>
              </w:rPr>
              <w:t xml:space="preserve">Thomas P. Meissner, Jr. </w:t>
            </w:r>
            <w:r>
              <w:rPr>
                <w:rFonts w:ascii="Arial" w:cs="Arial" w:eastAsia="Arial" w:hAnsi="Arial"/>
                <w:sz w:val="25"/>
                <w:szCs w:val="25"/>
                <w:color w:val="auto"/>
                <w:vertAlign w:val="superscript"/>
              </w:rPr>
              <w:t>(</w:t>
            </w:r>
            <w:r>
              <w:rPr>
                <w:rFonts w:ascii="Arial" w:cs="Arial" w:eastAsia="Arial" w:hAnsi="Arial"/>
                <w:sz w:val="11"/>
                <w:szCs w:val="11"/>
                <w:b w:val="1"/>
                <w:bCs w:val="1"/>
                <w:i w:val="1"/>
                <w:iCs w:val="1"/>
                <w:color w:val="auto"/>
              </w:rPr>
              <w:t>17)</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r>
      <w:tr>
        <w:trPr>
          <w:trHeight w:val="344"/>
        </w:trPr>
        <w:tc>
          <w:tcPr>
            <w:tcW w:w="2320" w:type="dxa"/>
            <w:vAlign w:val="bottom"/>
            <w:tcBorders>
              <w:bottom w:val="single" w:sz="8" w:color="auto"/>
              <w:right w:val="single" w:sz="8" w:color="auto"/>
            </w:tcBorders>
            <w:shd w:val="clear" w:color="auto" w:fill="F7AB6C"/>
          </w:tcPr>
          <w:p>
            <w:pPr>
              <w:ind w:left="40"/>
              <w:spacing w:after="0"/>
              <w:rPr>
                <w:sz w:val="20"/>
                <w:szCs w:val="20"/>
                <w:color w:val="auto"/>
              </w:rPr>
            </w:pPr>
            <w:r>
              <w:rPr>
                <w:rFonts w:ascii="Arial" w:cs="Arial" w:eastAsia="Arial" w:hAnsi="Arial"/>
                <w:sz w:val="17"/>
                <w:szCs w:val="17"/>
                <w:b w:val="1"/>
                <w:bCs w:val="1"/>
                <w:color w:val="auto"/>
              </w:rPr>
              <w:t xml:space="preserve">Justine Vogel </w:t>
            </w:r>
            <w:r>
              <w:rPr>
                <w:rFonts w:ascii="Arial" w:cs="Arial" w:eastAsia="Arial" w:hAnsi="Arial"/>
                <w:sz w:val="25"/>
                <w:szCs w:val="25"/>
                <w:color w:val="auto"/>
                <w:vertAlign w:val="superscript"/>
              </w:rPr>
              <w:t>(</w:t>
            </w:r>
            <w:r>
              <w:rPr>
                <w:rFonts w:ascii="Arial" w:cs="Arial" w:eastAsia="Arial" w:hAnsi="Arial"/>
                <w:sz w:val="11"/>
                <w:szCs w:val="11"/>
                <w:b w:val="1"/>
                <w:bCs w:val="1"/>
                <w:i w:val="1"/>
                <w:iCs w:val="1"/>
                <w:color w:val="auto"/>
              </w:rPr>
              <w:t>18)</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$106,000</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7"/>
                <w:szCs w:val="17"/>
                <w:color w:val="auto"/>
                <w:w w:val="95"/>
              </w:rPr>
              <w:t>$114,981</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7"/>
                <w:szCs w:val="17"/>
                <w:color w:val="auto"/>
              </w:rPr>
              <w:t>$1,096</w:t>
            </w: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97"/>
              </w:rPr>
              <w:t>222,076</w:t>
            </w:r>
          </w:p>
        </w:tc>
      </w:tr>
      <w:tr>
        <w:trPr>
          <w:trHeight w:val="344"/>
        </w:trPr>
        <w:tc>
          <w:tcPr>
            <w:tcW w:w="2320" w:type="dxa"/>
            <w:vAlign w:val="bottom"/>
            <w:tcBorders>
              <w:bottom w:val="single" w:sz="8" w:color="auto"/>
              <w:right w:val="single" w:sz="8" w:color="auto"/>
            </w:tcBorders>
            <w:shd w:val="clear" w:color="auto" w:fill="F7AB6C"/>
          </w:tcPr>
          <w:p>
            <w:pPr>
              <w:ind w:left="40"/>
              <w:spacing w:after="0"/>
              <w:rPr>
                <w:sz w:val="20"/>
                <w:szCs w:val="20"/>
                <w:color w:val="auto"/>
              </w:rPr>
            </w:pPr>
            <w:r>
              <w:rPr>
                <w:rFonts w:ascii="Arial" w:cs="Arial" w:eastAsia="Arial" w:hAnsi="Arial"/>
                <w:sz w:val="17"/>
                <w:szCs w:val="17"/>
                <w:b w:val="1"/>
                <w:bCs w:val="1"/>
                <w:color w:val="auto"/>
              </w:rPr>
              <w:t xml:space="preserve">David A. Whiteley </w:t>
            </w:r>
            <w:r>
              <w:rPr>
                <w:rFonts w:ascii="Arial" w:cs="Arial" w:eastAsia="Arial" w:hAnsi="Arial"/>
                <w:sz w:val="25"/>
                <w:szCs w:val="25"/>
                <w:color w:val="auto"/>
                <w:vertAlign w:val="superscript"/>
              </w:rPr>
              <w:t>(</w:t>
            </w:r>
            <w:r>
              <w:rPr>
                <w:rFonts w:ascii="Arial" w:cs="Arial" w:eastAsia="Arial" w:hAnsi="Arial"/>
                <w:sz w:val="11"/>
                <w:szCs w:val="11"/>
                <w:b w:val="1"/>
                <w:bCs w:val="1"/>
                <w:i w:val="1"/>
                <w:iCs w:val="1"/>
                <w:color w:val="auto"/>
              </w:rPr>
              <w:t>19)</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$106,000</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7"/>
                <w:szCs w:val="17"/>
                <w:color w:val="auto"/>
                <w:w w:val="95"/>
              </w:rPr>
              <w:t>$114,981</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7"/>
                <w:szCs w:val="17"/>
                <w:color w:val="auto"/>
              </w:rPr>
              <w:t>$1,096</w:t>
            </w: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97"/>
              </w:rPr>
              <w:t>222,076</w:t>
            </w:r>
          </w:p>
        </w:tc>
      </w:tr>
      <w:tr>
        <w:trPr>
          <w:trHeight w:val="123"/>
        </w:trPr>
        <w:tc>
          <w:tcPr>
            <w:tcW w:w="2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r>
        <w:trPr>
          <w:trHeight w:val="244"/>
        </w:trPr>
        <w:tc>
          <w:tcPr>
            <w:tcW w:w="2320" w:type="dxa"/>
            <w:vAlign w:val="bottom"/>
          </w:tcPr>
          <w:p>
            <w:pPr>
              <w:spacing w:after="0"/>
              <w:rPr>
                <w:sz w:val="20"/>
                <w:szCs w:val="20"/>
                <w:color w:val="auto"/>
              </w:rPr>
            </w:pPr>
            <w:r>
              <w:rPr>
                <w:rFonts w:ascii="Arial" w:cs="Arial" w:eastAsia="Arial" w:hAnsi="Arial"/>
                <w:sz w:val="17"/>
                <w:szCs w:val="17"/>
                <w:color w:val="auto"/>
              </w:rPr>
              <w:t>NOTES:</w:t>
            </w: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-3145790</wp:posOffset>
            </wp:positionV>
            <wp:extent cx="8255" cy="1155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115570"/>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-3145790</wp:posOffset>
            </wp:positionV>
            <wp:extent cx="8255" cy="1155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11557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-3145790</wp:posOffset>
            </wp:positionV>
            <wp:extent cx="8255" cy="1155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115570"/>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-3145790</wp:posOffset>
            </wp:positionV>
            <wp:extent cx="8255" cy="1155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11557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-3145790</wp:posOffset>
            </wp:positionV>
            <wp:extent cx="8255" cy="11557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11557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-3145790</wp:posOffset>
            </wp:positionV>
            <wp:extent cx="8255" cy="1155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115570"/>
                    </a:xfrm>
                    <a:prstGeom prst="rect">
                      <a:avLst/>
                    </a:prstGeom>
                    <a:noFill/>
                  </pic:spPr>
                </pic:pic>
              </a:graphicData>
            </a:graphic>
          </wp:anchor>
        </w:drawing>
      </w:r>
    </w:p>
    <w:p>
      <w:pPr>
        <w:spacing w:after="0" w:line="63" w:lineRule="exact"/>
        <w:rPr>
          <w:sz w:val="20"/>
          <w:szCs w:val="20"/>
          <w:color w:val="auto"/>
        </w:rPr>
      </w:pPr>
    </w:p>
    <w:p>
      <w:pPr>
        <w:ind w:left="1620" w:right="20" w:hanging="499"/>
        <w:spacing w:after="0" w:line="252" w:lineRule="auto"/>
        <w:tabs>
          <w:tab w:leader="none" w:pos="1600" w:val="left"/>
        </w:tabs>
        <w:rPr>
          <w:sz w:val="20"/>
          <w:szCs w:val="20"/>
          <w:color w:val="auto"/>
        </w:rPr>
      </w:pPr>
      <w:r>
        <w:rPr>
          <w:rFonts w:ascii="Arial" w:cs="Arial" w:eastAsia="Arial" w:hAnsi="Arial"/>
          <w:sz w:val="17"/>
          <w:szCs w:val="17"/>
          <w:color w:val="auto"/>
        </w:rPr>
        <w:t> (1)</w:t>
        <w:tab/>
        <w:t xml:space="preserve">With the exception of Mr. Meissner, no member of the Board had any unvested stock awards or unexercised option awards outstanding as of December 31, 2025. Mr. Meissner’s unvested stock awards are reflected in the Outstanding Equity Awards at Fiscal Year End Table, which is in the section entitled </w:t>
      </w:r>
      <w:r>
        <w:rPr>
          <w:rFonts w:ascii="Arial" w:cs="Arial" w:eastAsia="Arial" w:hAnsi="Arial"/>
          <w:sz w:val="17"/>
          <w:szCs w:val="17"/>
          <w:i w:val="1"/>
          <w:iCs w:val="1"/>
          <w:color w:val="auto"/>
        </w:rPr>
        <w:t>Compensation – Compensation of Named</w:t>
      </w:r>
      <w:r>
        <w:rPr>
          <w:rFonts w:ascii="Arial" w:cs="Arial" w:eastAsia="Arial" w:hAnsi="Arial"/>
          <w:sz w:val="17"/>
          <w:szCs w:val="17"/>
          <w:color w:val="auto"/>
        </w:rPr>
        <w:t xml:space="preserve"> </w:t>
      </w:r>
      <w:r>
        <w:rPr>
          <w:rFonts w:ascii="Arial" w:cs="Arial" w:eastAsia="Arial" w:hAnsi="Arial"/>
          <w:sz w:val="17"/>
          <w:szCs w:val="17"/>
          <w:i w:val="1"/>
          <w:iCs w:val="1"/>
          <w:color w:val="auto"/>
        </w:rPr>
        <w:t>Executive Officers</w:t>
      </w:r>
      <w:r>
        <w:rPr>
          <w:rFonts w:ascii="Arial" w:cs="Arial" w:eastAsia="Arial" w:hAnsi="Arial"/>
          <w:sz w:val="17"/>
          <w:szCs w:val="17"/>
          <w:color w:val="auto"/>
        </w:rPr>
        <w:t>.</w:t>
      </w:r>
    </w:p>
    <w:p>
      <w:pPr>
        <w:spacing w:after="0" w:line="76" w:lineRule="exact"/>
        <w:rPr>
          <w:sz w:val="20"/>
          <w:szCs w:val="20"/>
          <w:color w:val="auto"/>
        </w:rPr>
      </w:pPr>
    </w:p>
    <w:p>
      <w:pPr>
        <w:ind w:left="1620" w:right="60" w:hanging="499"/>
        <w:spacing w:after="0" w:line="246" w:lineRule="auto"/>
        <w:tabs>
          <w:tab w:leader="none" w:pos="1600" w:val="left"/>
        </w:tabs>
        <w:rPr>
          <w:sz w:val="20"/>
          <w:szCs w:val="20"/>
          <w:color w:val="auto"/>
        </w:rPr>
      </w:pPr>
      <w:r>
        <w:rPr>
          <w:rFonts w:ascii="Arial" w:cs="Arial" w:eastAsia="Arial" w:hAnsi="Arial"/>
          <w:sz w:val="17"/>
          <w:szCs w:val="17"/>
          <w:color w:val="auto"/>
        </w:rPr>
        <w:t> (2)</w:t>
        <w:tab/>
        <w:t>Stock awards are the equity-based component of the annual retainer for Board service, and may be paid in the form of common stock or RSUs, as elected by each Director. The amount reflected is the grant date fair value of 2,435 shares of both common stock and RSUs, which is calculated in accordance with Financial Accounting Standards Board Accounting Standards Codification Topic 718, by dividing $115,000 by the closing market price of our common stock on October 1, 2025, rounded down to the nearest whole share or RSU, pursuant to the terms and conditions of the Third Amended Stock Plan. RSUs will settle as 70% stock and 30% cash upon retirement or other separation from the Board.</w:t>
      </w:r>
    </w:p>
    <w:p>
      <w:pPr>
        <w:spacing w:after="0" w:line="79" w:lineRule="exact"/>
        <w:rPr>
          <w:sz w:val="20"/>
          <w:szCs w:val="20"/>
          <w:color w:val="auto"/>
        </w:rPr>
      </w:pPr>
    </w:p>
    <w:p>
      <w:pPr>
        <w:jc w:val="both"/>
        <w:ind w:left="1620" w:right="200" w:hanging="499"/>
        <w:spacing w:after="0" w:line="259" w:lineRule="auto"/>
        <w:tabs>
          <w:tab w:leader="none" w:pos="1600" w:val="left"/>
        </w:tabs>
        <w:rPr>
          <w:sz w:val="20"/>
          <w:szCs w:val="20"/>
          <w:color w:val="auto"/>
        </w:rPr>
      </w:pPr>
      <w:r>
        <w:rPr>
          <w:rFonts w:ascii="Arial" w:cs="Arial" w:eastAsia="Arial" w:hAnsi="Arial"/>
          <w:sz w:val="17"/>
          <w:szCs w:val="17"/>
          <w:color w:val="auto"/>
        </w:rPr>
        <w:t> (3)</w:t>
        <w:tab/>
        <w:t xml:space="preserve">Members of the Board do not receive option awards, and, with the exception of Mr. Meissner, did not participate in any non-equity incentive compensation plans. Mr. Meissner’s non-equity compensation is reflected in the Summary Compensation Table, which is in the section entitled </w:t>
      </w:r>
      <w:r>
        <w:rPr>
          <w:rFonts w:ascii="Arial" w:cs="Arial" w:eastAsia="Arial" w:hAnsi="Arial"/>
          <w:sz w:val="17"/>
          <w:szCs w:val="17"/>
          <w:i w:val="1"/>
          <w:iCs w:val="1"/>
          <w:color w:val="auto"/>
        </w:rPr>
        <w:t>Compensation – Compensation of Named Executive Officers</w:t>
      </w:r>
      <w:r>
        <w:rPr>
          <w:rFonts w:ascii="Arial" w:cs="Arial" w:eastAsia="Arial" w:hAnsi="Arial"/>
          <w:sz w:val="17"/>
          <w:szCs w:val="17"/>
          <w:color w:val="auto"/>
        </w:rPr>
        <w:t>.</w:t>
      </w:r>
    </w:p>
    <w:p>
      <w:pPr>
        <w:spacing w:after="0" w:line="69" w:lineRule="exact"/>
        <w:rPr>
          <w:sz w:val="20"/>
          <w:szCs w:val="20"/>
          <w:color w:val="auto"/>
        </w:rPr>
      </w:pPr>
    </w:p>
    <w:p>
      <w:pPr>
        <w:ind w:left="1620" w:right="260" w:hanging="499"/>
        <w:spacing w:after="0" w:line="252" w:lineRule="auto"/>
        <w:tabs>
          <w:tab w:leader="none" w:pos="1600" w:val="left"/>
        </w:tabs>
        <w:rPr>
          <w:sz w:val="20"/>
          <w:szCs w:val="20"/>
          <w:color w:val="auto"/>
        </w:rPr>
      </w:pPr>
      <w:r>
        <w:rPr>
          <w:rFonts w:ascii="Arial" w:cs="Arial" w:eastAsia="Arial" w:hAnsi="Arial"/>
          <w:sz w:val="17"/>
          <w:szCs w:val="17"/>
          <w:color w:val="auto"/>
        </w:rPr>
        <w:t> (4)</w:t>
        <w:tab/>
        <w:t xml:space="preserve">With the exception of Mr. Meissner and Mr. Collin, members of the Board are not eligible to participate in the Unitil Corporation Retirement Plan or the Non-Qualified Deferred Compensation Plan. Mr. Meissner’s change in pension value is reflected in the Summary Compensation Table, which is in the section entitled </w:t>
      </w:r>
      <w:r>
        <w:rPr>
          <w:rFonts w:ascii="Arial" w:cs="Arial" w:eastAsia="Arial" w:hAnsi="Arial"/>
          <w:sz w:val="17"/>
          <w:szCs w:val="17"/>
          <w:i w:val="1"/>
          <w:iCs w:val="1"/>
          <w:color w:val="auto"/>
        </w:rPr>
        <w:t>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of Named Executive Officers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140970</wp:posOffset>
            </wp:positionV>
            <wp:extent cx="6337300" cy="825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0420"/>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620"/>
          </w:cols>
          <w:pgMar w:left="320" w:top="470" w:right="9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2" w:lineRule="exact"/>
        <w:rPr>
          <w:sz w:val="20"/>
          <w:szCs w:val="20"/>
          <w:color w:val="auto"/>
        </w:rPr>
      </w:pPr>
    </w:p>
    <w:p>
      <w:pPr>
        <w:ind w:left="1620" w:right="280" w:hanging="499"/>
        <w:spacing w:after="0" w:line="280" w:lineRule="auto"/>
        <w:tabs>
          <w:tab w:leader="none" w:pos="1600" w:val="left"/>
        </w:tabs>
        <w:rPr>
          <w:sz w:val="20"/>
          <w:szCs w:val="20"/>
          <w:color w:val="auto"/>
        </w:rPr>
      </w:pPr>
      <w:r>
        <w:rPr>
          <w:rFonts w:ascii="Arial" w:cs="Arial" w:eastAsia="Arial" w:hAnsi="Arial"/>
          <w:sz w:val="17"/>
          <w:szCs w:val="17"/>
          <w:color w:val="auto"/>
        </w:rPr>
        <w:t> (5)</w:t>
        <w:tab/>
        <w:t>All other compensation includes dividends paid in 2025 on common stock, or dividend equivalents paid in 2025 on RSUs, acquired in connection with the stock-based component of the annual retainer for Board service in 2025.</w:t>
      </w:r>
    </w:p>
    <w:p>
      <w:pPr>
        <w:spacing w:after="0" w:line="51"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7"/>
          <w:szCs w:val="17"/>
          <w:color w:val="auto"/>
        </w:rPr>
        <w:t> (6)</w:t>
        <w:tab/>
        <w:t>Ms. Alonzo’s stock award consists of 2,435 RSUs.</w:t>
      </w:r>
    </w:p>
    <w:p>
      <w:pPr>
        <w:spacing w:after="0" w:line="116"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7"/>
          <w:szCs w:val="17"/>
          <w:color w:val="auto"/>
        </w:rPr>
        <w:t> (7)</w:t>
        <w:tab/>
        <w:t>Ms. Awad’s stock award consists of 2,435 RSUs.</w:t>
      </w:r>
    </w:p>
    <w:p>
      <w:pPr>
        <w:spacing w:after="0" w:line="116"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7"/>
          <w:szCs w:val="17"/>
          <w:color w:val="auto"/>
        </w:rPr>
        <w:t> (8)</w:t>
        <w:tab/>
        <w:t>Mr. Brown’s stock award consists of 2,435 shares of common stock.</w:t>
      </w:r>
    </w:p>
    <w:p>
      <w:pPr>
        <w:spacing w:after="0" w:line="116"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7"/>
          <w:szCs w:val="17"/>
          <w:color w:val="auto"/>
        </w:rPr>
        <w:t> (9)</w:t>
        <w:tab/>
        <w:t>Mr. Collin’s stock award consists of 2,435 shares of common stock.</w:t>
      </w:r>
    </w:p>
    <w:p>
      <w:pPr>
        <w:spacing w:after="0" w:line="116" w:lineRule="exact"/>
        <w:rPr>
          <w:sz w:val="20"/>
          <w:szCs w:val="20"/>
          <w:color w:val="auto"/>
        </w:rPr>
      </w:pPr>
    </w:p>
    <w:p>
      <w:pPr>
        <w:ind w:left="1620" w:right="20" w:hanging="499"/>
        <w:spacing w:after="0" w:line="259" w:lineRule="auto"/>
        <w:tabs>
          <w:tab w:leader="none" w:pos="1600" w:val="left"/>
        </w:tabs>
        <w:rPr>
          <w:sz w:val="20"/>
          <w:szCs w:val="20"/>
          <w:color w:val="auto"/>
        </w:rPr>
      </w:pPr>
      <w:r>
        <w:rPr>
          <w:rFonts w:ascii="Arial" w:cs="Arial" w:eastAsia="Arial" w:hAnsi="Arial"/>
          <w:sz w:val="17"/>
          <w:szCs w:val="17"/>
          <w:color w:val="auto"/>
        </w:rPr>
        <w:t> (10)</w:t>
        <w:tab/>
        <w:t>The amount shown reflects the change in SERP value in 2025 for Mr. Collin. The change in Retirement Plan value was negative in 2025. Mr. Collin retired as Senior Vice President of the Company in 2019, but continues to participate in both the Retirement Plan and the SERP as a retired employee.</w:t>
      </w:r>
    </w:p>
    <w:p>
      <w:pPr>
        <w:spacing w:after="0" w:line="69" w:lineRule="exact"/>
        <w:rPr>
          <w:sz w:val="20"/>
          <w:szCs w:val="20"/>
          <w:color w:val="auto"/>
        </w:rPr>
      </w:pPr>
    </w:p>
    <w:p>
      <w:pPr>
        <w:jc w:val="center"/>
        <w:ind w:right="-899"/>
        <w:spacing w:after="0"/>
        <w:tabs>
          <w:tab w:leader="none" w:pos="140" w:val="left"/>
        </w:tabs>
        <w:rPr>
          <w:sz w:val="20"/>
          <w:szCs w:val="20"/>
          <w:color w:val="auto"/>
        </w:rPr>
      </w:pPr>
      <w:r>
        <w:rPr>
          <w:rFonts w:ascii="Arial" w:cs="Arial" w:eastAsia="Arial" w:hAnsi="Arial"/>
          <w:sz w:val="17"/>
          <w:szCs w:val="17"/>
          <w:color w:val="auto"/>
        </w:rPr>
        <w:t> (11)</w:t>
        <w:tab/>
        <w:t>All Other Compensation for Mr. Collin includes Retirement Plan and SERP payments in 2025 (see Note 10 above),</w:t>
      </w:r>
    </w:p>
    <w:p>
      <w:pPr>
        <w:spacing w:after="0" w:line="15" w:lineRule="exact"/>
        <w:rPr>
          <w:sz w:val="20"/>
          <w:szCs w:val="20"/>
          <w:color w:val="auto"/>
        </w:rPr>
      </w:pPr>
    </w:p>
    <w:p>
      <w:pPr>
        <w:ind w:left="1620" w:right="340"/>
        <w:spacing w:after="0" w:line="249" w:lineRule="auto"/>
        <w:rPr>
          <w:sz w:val="20"/>
          <w:szCs w:val="20"/>
          <w:color w:val="auto"/>
        </w:rPr>
      </w:pPr>
      <w:r>
        <w:rPr>
          <w:rFonts w:ascii="Arial" w:cs="Arial" w:eastAsia="Arial" w:hAnsi="Arial"/>
          <w:sz w:val="17"/>
          <w:szCs w:val="17"/>
          <w:color w:val="auto"/>
        </w:rPr>
        <w:t>which are valued at $122,054 and $131,782, respectively, as well as dividends paid in 2025 on the shares of common stock acquired in connection with the stock-based component of the annual retainer for Board service in 2025.</w:t>
      </w:r>
    </w:p>
    <w:p>
      <w:pPr>
        <w:spacing w:after="0" w:line="77"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7"/>
          <w:szCs w:val="17"/>
          <w:color w:val="auto"/>
        </w:rPr>
        <w:t> (12)</w:t>
        <w:tab/>
        <w:t>Ms. Foster’s stock award consists of 2,435 shares of common stock.</w:t>
      </w:r>
    </w:p>
    <w:p>
      <w:pPr>
        <w:spacing w:after="0" w:line="116" w:lineRule="exact"/>
        <w:rPr>
          <w:sz w:val="20"/>
          <w:szCs w:val="20"/>
          <w:color w:val="auto"/>
        </w:rPr>
      </w:pPr>
    </w:p>
    <w:p>
      <w:pPr>
        <w:ind w:left="1620" w:hanging="499"/>
        <w:spacing w:after="0" w:line="280" w:lineRule="auto"/>
        <w:tabs>
          <w:tab w:leader="none" w:pos="1600" w:val="left"/>
        </w:tabs>
        <w:rPr>
          <w:sz w:val="20"/>
          <w:szCs w:val="20"/>
          <w:color w:val="auto"/>
        </w:rPr>
      </w:pPr>
      <w:r>
        <w:rPr>
          <w:rFonts w:ascii="Arial" w:cs="Arial" w:eastAsia="Arial" w:hAnsi="Arial"/>
          <w:sz w:val="17"/>
          <w:szCs w:val="17"/>
          <w:color w:val="auto"/>
        </w:rPr>
        <w:t> (13)</w:t>
        <w:tab/>
        <w:t>Mr. Godfrey’s stock award consists of 811 shares of common stock. Mr. Godfrey retired from the Board on April 30, 2025, and both his cash retainer and his stock award were prorated at 33.3% for four months of service on the Board.</w:t>
      </w:r>
    </w:p>
    <w:p>
      <w:pPr>
        <w:spacing w:after="0" w:line="51"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7"/>
          <w:szCs w:val="17"/>
          <w:color w:val="auto"/>
        </w:rPr>
        <w:t> (14)</w:t>
        <w:tab/>
        <w:t>Mr. Green’s stock award consists of 2,435 RSUs. Mr. Green will retire from the Board on April 29, 2026.</w:t>
      </w:r>
    </w:p>
    <w:p>
      <w:pPr>
        <w:spacing w:after="0" w:line="116" w:lineRule="exact"/>
        <w:rPr>
          <w:sz w:val="20"/>
          <w:szCs w:val="20"/>
          <w:color w:val="auto"/>
        </w:rPr>
      </w:pPr>
    </w:p>
    <w:p>
      <w:pPr>
        <w:ind w:left="1620" w:right="40" w:hanging="499"/>
        <w:spacing w:after="0" w:line="266" w:lineRule="auto"/>
        <w:tabs>
          <w:tab w:leader="none" w:pos="1600" w:val="left"/>
        </w:tabs>
        <w:rPr>
          <w:sz w:val="20"/>
          <w:szCs w:val="20"/>
          <w:color w:val="auto"/>
        </w:rPr>
      </w:pPr>
      <w:r>
        <w:rPr>
          <w:rFonts w:ascii="Arial" w:cs="Arial" w:eastAsia="Arial" w:hAnsi="Arial"/>
          <w:sz w:val="17"/>
          <w:szCs w:val="17"/>
          <w:color w:val="auto"/>
        </w:rPr>
        <w:t> (15)</w:t>
        <w:tab/>
        <w:t>Ms. Kountze’s stock award consists of 1,624 shares of common stock. Ms. Kountze was elected to the Board on April 30, 2025, and both her cash retainer and stock award were prorated at 66.7% for eight months of service on the Board.</w:t>
      </w:r>
    </w:p>
    <w:p>
      <w:pPr>
        <w:spacing w:after="0" w:line="268"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7"/>
          <w:szCs w:val="17"/>
          <w:color w:val="auto"/>
        </w:rPr>
        <w:t> (16)</w:t>
        <w:tab/>
        <w:t>Ms. Lewis-Raymond’s stock award consists of 2,435 RSUs.</w:t>
      </w:r>
    </w:p>
    <w:p>
      <w:pPr>
        <w:spacing w:after="0" w:line="116" w:lineRule="exact"/>
        <w:rPr>
          <w:sz w:val="20"/>
          <w:szCs w:val="20"/>
          <w:color w:val="auto"/>
        </w:rPr>
      </w:pPr>
    </w:p>
    <w:p>
      <w:pPr>
        <w:ind w:left="1620" w:right="100" w:hanging="499"/>
        <w:spacing w:after="0" w:line="252" w:lineRule="auto"/>
        <w:tabs>
          <w:tab w:leader="none" w:pos="1600" w:val="left"/>
        </w:tabs>
        <w:rPr>
          <w:sz w:val="20"/>
          <w:szCs w:val="20"/>
          <w:color w:val="auto"/>
        </w:rPr>
      </w:pPr>
      <w:r>
        <w:rPr>
          <w:rFonts w:ascii="Arial" w:cs="Arial" w:eastAsia="Arial" w:hAnsi="Arial"/>
          <w:sz w:val="17"/>
          <w:szCs w:val="17"/>
          <w:color w:val="auto"/>
        </w:rPr>
        <w:t> (17)</w:t>
        <w:tab/>
        <w:t xml:space="preserve">As chairman of the Board and CEO of the Company, Mr. Meissner receives no separate compensation in the form of cash or equity retainer fees for his service on the Board of Unitil or any subsidiary company. Mr. Meissner’s compensation is reflected in the Summary Compensation Table, which is included in the section entitled </w:t>
      </w:r>
      <w:r>
        <w:rPr>
          <w:rFonts w:ascii="Arial" w:cs="Arial" w:eastAsia="Arial" w:hAnsi="Arial"/>
          <w:sz w:val="17"/>
          <w:szCs w:val="17"/>
          <w:i w:val="1"/>
          <w:iCs w:val="1"/>
          <w:color w:val="auto"/>
        </w:rPr>
        <w:t>Compensation –Compensation of Named Executive Officers</w:t>
      </w:r>
      <w:r>
        <w:rPr>
          <w:rFonts w:ascii="Arial" w:cs="Arial" w:eastAsia="Arial" w:hAnsi="Arial"/>
          <w:sz w:val="17"/>
          <w:szCs w:val="17"/>
          <w:color w:val="auto"/>
        </w:rPr>
        <w:t>.</w:t>
      </w:r>
    </w:p>
    <w:p>
      <w:pPr>
        <w:spacing w:after="0" w:line="76"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7"/>
          <w:szCs w:val="17"/>
          <w:color w:val="auto"/>
        </w:rPr>
        <w:t> (18)</w:t>
        <w:tab/>
        <w:t>Ms. Vogel’s stock award consists of 2,435 shares of common stock.</w:t>
      </w:r>
    </w:p>
    <w:p>
      <w:pPr>
        <w:spacing w:after="0" w:line="116"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7"/>
          <w:szCs w:val="17"/>
          <w:color w:val="auto"/>
        </w:rPr>
        <w:t> (19)</w:t>
        <w:tab/>
        <w:t>Mr. Whiteley’s stock award consists of 2,435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167005</wp:posOffset>
            </wp:positionV>
            <wp:extent cx="6337300" cy="825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620"/>
          </w:cols>
          <w:pgMar w:left="320" w:top="470" w:right="9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Directors’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-69850</wp:posOffset>
            </wp:positionV>
            <wp:extent cx="1666875" cy="142748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666875" cy="1427480"/>
                    </a:xfrm>
                    <a:prstGeom prst="rect">
                      <a:avLst/>
                    </a:prstGeom>
                    <a:noFill/>
                  </pic:spPr>
                </pic:pic>
              </a:graphicData>
            </a:graphic>
          </wp:anchor>
        </w:drawing>
      </w:r>
    </w:p>
    <w:p>
      <w:pPr>
        <w:spacing w:after="0" w:line="206" w:lineRule="exact"/>
        <w:rPr>
          <w:sz w:val="20"/>
          <w:szCs w:val="20"/>
          <w:color w:val="auto"/>
        </w:rPr>
      </w:pPr>
    </w:p>
    <w:p>
      <w:pPr>
        <w:ind w:left="640" w:right="3960"/>
        <w:spacing w:after="0" w:line="237" w:lineRule="auto"/>
        <w:rPr>
          <w:sz w:val="20"/>
          <w:szCs w:val="20"/>
          <w:color w:val="auto"/>
        </w:rPr>
      </w:pPr>
      <w:r>
        <w:rPr>
          <w:rFonts w:ascii="Arial" w:cs="Arial" w:eastAsia="Arial" w:hAnsi="Arial"/>
          <w:sz w:val="21"/>
          <w:szCs w:val="21"/>
          <w:color w:val="auto"/>
        </w:rPr>
        <w:t>We use a combination of cash and stock-based compensation to attract and retain qualified candidates to serve on the Board. In setting compensation for Directors, the significant amount of time that Directors dedicate to the fulfillment of their duties, as well as the skill level required of members of the Board, is considered. All matters concerning Directors’ compensation are subject to approval by the full Board upon the recommendation of the 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150495</wp:posOffset>
            </wp:positionV>
            <wp:extent cx="3671570" cy="207962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671570" cy="2079625"/>
                    </a:xfrm>
                    <a:prstGeom prst="rect">
                      <a:avLst/>
                    </a:prstGeom>
                    <a:noFill/>
                  </pic:spPr>
                </pic:pic>
              </a:graphicData>
            </a:graphic>
          </wp:anchor>
        </w:drawing>
      </w:r>
    </w:p>
    <w:p>
      <w:pPr>
        <w:sectPr>
          <w:pgSz w:w="11900" w:h="16838" w:orient="portrait"/>
          <w:cols w:equalWidth="0" w:num="1">
            <w:col w:w="10620"/>
          </w:cols>
          <w:pgMar w:left="320" w:top="470" w:right="959" w:bottom="1440" w:gutter="0" w:footer="0" w:header="0"/>
        </w:sectPr>
      </w:pPr>
    </w:p>
    <w:p>
      <w:pPr>
        <w:spacing w:after="0" w:line="283"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RESTRICTED STOCK UNITS</w:t>
      </w:r>
    </w:p>
    <w:p>
      <w:pPr>
        <w:spacing w:after="0" w:line="139" w:lineRule="exact"/>
        <w:rPr>
          <w:sz w:val="20"/>
          <w:szCs w:val="20"/>
          <w:color w:val="auto"/>
        </w:rPr>
      </w:pPr>
    </w:p>
    <w:p>
      <w:pPr>
        <w:ind w:left="820"/>
        <w:spacing w:after="0"/>
        <w:rPr>
          <w:sz w:val="20"/>
          <w:szCs w:val="20"/>
          <w:color w:val="auto"/>
        </w:rPr>
      </w:pPr>
      <w:r>
        <w:rPr>
          <w:rFonts w:ascii="Arial" w:cs="Arial" w:eastAsia="Arial" w:hAnsi="Arial"/>
          <w:sz w:val="19"/>
          <w:szCs w:val="19"/>
          <w:color w:val="auto"/>
        </w:rPr>
        <w:t>  100% vested when granted</w:t>
      </w:r>
    </w:p>
    <w:p>
      <w:pPr>
        <w:spacing w:after="0" w:line="223" w:lineRule="exact"/>
        <w:rPr>
          <w:sz w:val="20"/>
          <w:szCs w:val="20"/>
          <w:color w:val="auto"/>
        </w:rPr>
      </w:pPr>
    </w:p>
    <w:p>
      <w:pPr>
        <w:ind w:left="1020" w:hanging="85"/>
        <w:spacing w:after="0" w:line="349" w:lineRule="auto"/>
        <w:rPr>
          <w:sz w:val="20"/>
          <w:szCs w:val="20"/>
          <w:color w:val="auto"/>
        </w:rPr>
      </w:pPr>
      <w:r>
        <w:rPr>
          <w:rFonts w:ascii="Arial" w:cs="Arial" w:eastAsia="Arial" w:hAnsi="Arial"/>
          <w:sz w:val="19"/>
          <w:szCs w:val="19"/>
          <w:color w:val="auto"/>
        </w:rPr>
        <w:t>  Settled by payment to the Director as soon as practicable following the Director’s separation from service to the Company</w:t>
      </w:r>
    </w:p>
    <w:p>
      <w:pPr>
        <w:spacing w:after="0" w:line="14" w:lineRule="exact"/>
        <w:rPr>
          <w:sz w:val="20"/>
          <w:szCs w:val="20"/>
          <w:color w:val="auto"/>
        </w:rPr>
      </w:pPr>
    </w:p>
    <w:p>
      <w:pPr>
        <w:ind w:left="820"/>
        <w:spacing w:after="0"/>
        <w:rPr>
          <w:sz w:val="20"/>
          <w:szCs w:val="20"/>
          <w:color w:val="auto"/>
        </w:rPr>
      </w:pPr>
      <w:r>
        <w:rPr>
          <w:rFonts w:ascii="Arial" w:cs="Arial" w:eastAsia="Arial" w:hAnsi="Arial"/>
          <w:sz w:val="19"/>
          <w:szCs w:val="19"/>
          <w:color w:val="auto"/>
        </w:rPr>
        <w:t>  Upon settlement, paid as (i) 70% of the shares of the</w:t>
      </w:r>
    </w:p>
    <w:p>
      <w:pPr>
        <w:spacing w:after="0" w:line="99" w:lineRule="exact"/>
        <w:rPr>
          <w:sz w:val="20"/>
          <w:szCs w:val="20"/>
          <w:color w:val="auto"/>
        </w:rPr>
      </w:pPr>
    </w:p>
    <w:p>
      <w:pPr>
        <w:ind w:left="1020" w:right="20"/>
        <w:spacing w:after="0" w:line="237" w:lineRule="auto"/>
        <w:rPr>
          <w:sz w:val="20"/>
          <w:szCs w:val="20"/>
          <w:color w:val="auto"/>
        </w:rPr>
      </w:pPr>
      <w:r>
        <w:rPr>
          <w:rFonts w:ascii="Arial" w:cs="Arial" w:eastAsia="Arial" w:hAnsi="Arial"/>
          <w:sz w:val="19"/>
          <w:szCs w:val="19"/>
          <w:color w:val="auto"/>
        </w:rPr>
        <w:t>Company’s common stock underlying the RSUs and (ii) cash in an amount equal to the fair market value of 30% of the shares of the Company’s common stock underlying the RSUs</w:t>
      </w:r>
    </w:p>
    <w:p>
      <w:pPr>
        <w:spacing w:after="0" w:line="101" w:lineRule="exact"/>
        <w:rPr>
          <w:sz w:val="20"/>
          <w:szCs w:val="20"/>
          <w:color w:val="auto"/>
        </w:rPr>
      </w:pPr>
    </w:p>
    <w:p>
      <w:pPr>
        <w:ind w:left="1020" w:right="240" w:hanging="85"/>
        <w:spacing w:after="0" w:line="349" w:lineRule="auto"/>
        <w:rPr>
          <w:sz w:val="20"/>
          <w:szCs w:val="20"/>
          <w:color w:val="auto"/>
        </w:rPr>
      </w:pPr>
      <w:r>
        <w:rPr>
          <w:rFonts w:ascii="Arial" w:cs="Arial" w:eastAsia="Arial" w:hAnsi="Arial"/>
          <w:sz w:val="19"/>
          <w:szCs w:val="19"/>
          <w:color w:val="auto"/>
        </w:rPr>
        <w:t>  May not be sold, assigned, transferred, pledged or otherwise disposed of or encumbered by a Director prior to settlement</w:t>
      </w:r>
    </w:p>
    <w:p>
      <w:pPr>
        <w:spacing w:after="0" w:line="38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Directors’ 2025 Compensation Review</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auto"/>
        </w:rPr>
        <w:t>The stock-based portion of the Directors’ annual retainer may be paid in shares of common stock or in RSUs at the Director’s election. The Director shall have no rights as a shareholder with respect to the RSUs or the shares underlying the RSUs, including the right to vote the RSUs or the underlying shares, or to receive dividends. However, the Director may be entitled to receive dividend equivalents, which are converted to additional RSUs at the time of settlement.</w:t>
      </w:r>
    </w:p>
    <w:p>
      <w:pPr>
        <w:spacing w:after="0" w:line="1111" w:lineRule="exact"/>
        <w:rPr>
          <w:sz w:val="20"/>
          <w:szCs w:val="20"/>
          <w:color w:val="auto"/>
        </w:rPr>
      </w:pPr>
    </w:p>
    <w:p>
      <w:pPr>
        <w:sectPr>
          <w:pgSz w:w="11900" w:h="16838" w:orient="portrait"/>
          <w:cols w:equalWidth="0" w:num="2">
            <w:col w:w="6360" w:space="180"/>
            <w:col w:w="4080"/>
          </w:cols>
          <w:pgMar w:left="320" w:top="470" w:right="959" w:bottom="1440" w:gutter="0" w:footer="0" w:header="0"/>
          <w:type w:val="continuous"/>
        </w:sectPr>
      </w:pPr>
    </w:p>
    <w:p>
      <w:pPr>
        <w:ind w:left="640" w:right="40"/>
        <w:spacing w:after="0" w:line="247" w:lineRule="auto"/>
        <w:rPr>
          <w:sz w:val="20"/>
          <w:szCs w:val="20"/>
          <w:color w:val="auto"/>
        </w:rPr>
      </w:pPr>
      <w:r>
        <w:rPr>
          <w:rFonts w:ascii="Arial" w:cs="Arial" w:eastAsia="Arial" w:hAnsi="Arial"/>
          <w:sz w:val="20"/>
          <w:szCs w:val="20"/>
          <w:color w:val="auto"/>
        </w:rPr>
        <w:t>In October 2024, the Nominating and Governance Committee reviewed Directors’ compensation for the 2025 compensation year as presented in the Willis Towers 2024 Compensation Analysis. Consistent with the Committee’s established guideline, the 25</w:t>
      </w:r>
      <w:r>
        <w:rPr>
          <w:rFonts w:ascii="Arial" w:cs="Arial" w:eastAsia="Arial" w:hAnsi="Arial"/>
          <w:sz w:val="14"/>
          <w:szCs w:val="14"/>
          <w:color w:val="auto"/>
        </w:rPr>
        <w:t>th</w:t>
      </w:r>
      <w:r>
        <w:rPr>
          <w:rFonts w:ascii="Arial" w:cs="Arial" w:eastAsia="Arial" w:hAnsi="Arial"/>
          <w:sz w:val="20"/>
          <w:szCs w:val="20"/>
          <w:color w:val="auto"/>
        </w:rPr>
        <w:t xml:space="preserve"> percentile of our 2024 compensation peer group (the “2024 Peer Group”) was targeted as a benchmark for Directors’ compensation. The Committee also considered the median of the 2024 Peer Group as a secondary benchmark, primarily as the maximum amount for purposes of comparison. The 2024 Compensation Analysis results showed that both the cash portion and the stock-based component of the annual retainer for Board service were not aligned with the 25</w:t>
      </w:r>
      <w:r>
        <w:rPr>
          <w:rFonts w:ascii="Arial" w:cs="Arial" w:eastAsia="Arial" w:hAnsi="Arial"/>
          <w:sz w:val="14"/>
          <w:szCs w:val="14"/>
          <w:color w:val="auto"/>
        </w:rPr>
        <w:t>th</w:t>
      </w:r>
      <w:r>
        <w:rPr>
          <w:rFonts w:ascii="Arial" w:cs="Arial" w:eastAsia="Arial" w:hAnsi="Arial"/>
          <w:sz w:val="20"/>
          <w:szCs w:val="20"/>
          <w:color w:val="auto"/>
        </w:rPr>
        <w:t xml:space="preserve"> percentile of the 2024 Peer Group. The combined total of the cash and stock-based retainer was ranked in the 9</w:t>
      </w:r>
      <w:r>
        <w:rPr>
          <w:rFonts w:ascii="Arial" w:cs="Arial" w:eastAsia="Arial" w:hAnsi="Arial"/>
          <w:sz w:val="14"/>
          <w:szCs w:val="14"/>
          <w:color w:val="auto"/>
        </w:rPr>
        <w:t>th</w:t>
      </w:r>
      <w:r>
        <w:rPr>
          <w:rFonts w:ascii="Arial" w:cs="Arial" w:eastAsia="Arial" w:hAnsi="Arial"/>
          <w:sz w:val="20"/>
          <w:szCs w:val="20"/>
          <w:color w:val="auto"/>
        </w:rPr>
        <w:t xml:space="preserve"> percentile of the 2024 Peer Group as a whole. The Lead Director annual cash retainer premium and the committee (member and chair) annual cash retainer were aligned with the 25</w:t>
      </w:r>
      <w:r>
        <w:rPr>
          <w:rFonts w:ascii="Arial" w:cs="Arial" w:eastAsia="Arial" w:hAnsi="Arial"/>
          <w:sz w:val="14"/>
          <w:szCs w:val="14"/>
          <w:color w:val="auto"/>
        </w:rPr>
        <w:t>th</w:t>
      </w:r>
      <w:r>
        <w:rPr>
          <w:rFonts w:ascii="Arial" w:cs="Arial" w:eastAsia="Arial" w:hAnsi="Arial"/>
          <w:sz w:val="20"/>
          <w:szCs w:val="20"/>
          <w:color w:val="auto"/>
        </w:rPr>
        <w:t xml:space="preserve"> percentile of the 2024 Peer Group. Based on the 2024 Compensation Analysis, the Committee determined that a recommendation to increase the annual cash retainer to $80,000, and the annual stock-based retainer for Board service to $115,000 would be appropriate, effective January 1, 2025. The Board approved the Committee’s recommendation on October 30, 2024. </w:t>
      </w:r>
      <w:r>
        <w:rPr>
          <w:rFonts w:ascii="Arial" w:cs="Arial" w:eastAsia="Arial" w:hAnsi="Arial"/>
          <w:sz w:val="20"/>
          <w:szCs w:val="20"/>
          <w:i w:val="1"/>
          <w:iCs w:val="1"/>
          <w:color w:val="auto"/>
        </w:rPr>
        <w:t>For additional information about the 2024 Compensation Analysis,</w:t>
      </w:r>
      <w:r>
        <w:rPr>
          <w:rFonts w:ascii="Arial" w:cs="Arial" w:eastAsia="Arial" w:hAnsi="Arial"/>
          <w:sz w:val="20"/>
          <w:szCs w:val="20"/>
          <w:color w:val="auto"/>
        </w:rPr>
        <w:t xml:space="preserve"> </w:t>
      </w:r>
      <w:r>
        <w:rPr>
          <w:rFonts w:ascii="Arial" w:cs="Arial" w:eastAsia="Arial" w:hAnsi="Arial"/>
          <w:sz w:val="20"/>
          <w:szCs w:val="20"/>
          <w:i w:val="1"/>
          <w:iCs w:val="1"/>
          <w:color w:val="auto"/>
        </w:rPr>
        <w:t>see the section entitled 2024 Compensation Analysis - Summary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146685</wp:posOffset>
            </wp:positionV>
            <wp:extent cx="6337300" cy="825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620"/>
          </w:cols>
          <w:pgMar w:left="320" w:top="470" w:right="95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Directors’ 2025 Compensation</w:t>
      </w:r>
    </w:p>
    <w:p>
      <w:pPr>
        <w:spacing w:after="0" w:line="200" w:lineRule="exact"/>
        <w:rPr>
          <w:sz w:val="20"/>
          <w:szCs w:val="20"/>
          <w:color w:val="auto"/>
        </w:rPr>
      </w:pPr>
    </w:p>
    <w:p>
      <w:pPr>
        <w:ind w:left="640" w:right="140"/>
        <w:spacing w:after="0" w:line="236" w:lineRule="auto"/>
        <w:rPr>
          <w:sz w:val="20"/>
          <w:szCs w:val="20"/>
          <w:color w:val="auto"/>
        </w:rPr>
      </w:pPr>
      <w:r>
        <w:rPr>
          <w:rFonts w:ascii="Arial" w:cs="Arial" w:eastAsia="Arial" w:hAnsi="Arial"/>
          <w:sz w:val="21"/>
          <w:szCs w:val="21"/>
          <w:color w:val="auto"/>
        </w:rPr>
        <w:t>In 2025, members of the Board who were not officers of Unitil or any of its subsidiaries were paid an annual cash retainer fee in quarterly installments. In addition, members of the Audit Committee, Compensation Committee, and Nominating and Governance Committee (the “Committees”) received an annual cash retainer fee also paid quarterly. In 2025, the stock-based compensation component was paid in shares of common stock or in RSUs as selected by each member of the Board. The number of shares of common stock and the number of RSUs to be issued to satisfy the equity retainer for each Board member was calculated by dividing $115,000 by the closing market price of our common stock on October 1, 2025, rounded down to the nearest whole share or RSU, pursuant to the terms and conditions of the Third Amended Stock Plan.</w:t>
      </w:r>
    </w:p>
    <w:p>
      <w:pPr>
        <w:spacing w:after="0" w:line="202" w:lineRule="exact"/>
        <w:rPr>
          <w:sz w:val="20"/>
          <w:szCs w:val="20"/>
          <w:color w:val="auto"/>
        </w:rPr>
      </w:pPr>
    </w:p>
    <w:p>
      <w:pPr>
        <w:ind w:left="640" w:right="4400"/>
        <w:spacing w:after="0" w:line="233" w:lineRule="auto"/>
        <w:rPr>
          <w:sz w:val="20"/>
          <w:szCs w:val="20"/>
          <w:color w:val="auto"/>
        </w:rPr>
      </w:pPr>
      <w:r>
        <w:rPr>
          <w:rFonts w:ascii="Arial" w:cs="Arial" w:eastAsia="Arial" w:hAnsi="Arial"/>
          <w:sz w:val="21"/>
          <w:szCs w:val="21"/>
          <w:color w:val="auto"/>
        </w:rPr>
        <w:t>Directors who served on the Executive Committee received a meeting fee of $1,500 for each meeting attended. No cash retainer fee was paid to the members or the chair of the Executive Committee. Non-employee members of the Pension Committee, which is not a standing committee of the Board, received an annual retainer of $7,000, and the chair of the Pension Committee received an annual retainer of $16,000. Employee members of the Pension Committee are not compensated separately for service on this committee. No annual retainer fee was paid by Bangor, Fitchburg, Granite, Maine Natural, Northern, or Unitil Energy, and no separate meeting fees are paid for regularly scheduled Board meetings or standing committee meetings, or any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4152900</wp:posOffset>
            </wp:positionH>
            <wp:positionV relativeFrom="paragraph">
              <wp:posOffset>-1769745</wp:posOffset>
            </wp:positionV>
            <wp:extent cx="2450465" cy="16916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450465" cy="1691640"/>
                    </a:xfrm>
                    <a:prstGeom prst="rect">
                      <a:avLst/>
                    </a:prstGeom>
                    <a:noFill/>
                  </pic:spPr>
                </pic:pic>
              </a:graphicData>
            </a:graphic>
          </wp:anchor>
        </w:drawing>
      </w:r>
    </w:p>
    <w:p>
      <w:pPr>
        <w:ind w:left="640" w:right="20"/>
        <w:spacing w:after="0" w:line="252" w:lineRule="auto"/>
        <w:rPr>
          <w:sz w:val="20"/>
          <w:szCs w:val="20"/>
          <w:color w:val="auto"/>
        </w:rPr>
      </w:pPr>
      <w:r>
        <w:rPr>
          <w:rFonts w:ascii="Arial" w:cs="Arial" w:eastAsia="Arial" w:hAnsi="Arial"/>
          <w:sz w:val="20"/>
          <w:szCs w:val="20"/>
          <w:color w:val="auto"/>
        </w:rPr>
        <w:t>of the Bangor, Fitchburg, Granite, Maine Natural, Northern, or Unitil Energy boards of directors. Directors are also entitled to receive a meeting fee of $2,000 for each special meeting attended. There were no special meetings of the Board held in 2025. All Directors were reimbursed for expenses incurred in connection with their attendance at Board meetings and meetings of any Committee upon which they served.</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Directors’ 2026 Compensation Review</w:t>
      </w:r>
    </w:p>
    <w:p>
      <w:pPr>
        <w:spacing w:after="0" w:line="200" w:lineRule="exact"/>
        <w:rPr>
          <w:sz w:val="20"/>
          <w:szCs w:val="20"/>
          <w:color w:val="auto"/>
        </w:rPr>
      </w:pPr>
    </w:p>
    <w:p>
      <w:pPr>
        <w:ind w:left="640" w:right="40"/>
        <w:spacing w:after="0" w:line="235" w:lineRule="auto"/>
        <w:rPr>
          <w:sz w:val="20"/>
          <w:szCs w:val="20"/>
          <w:color w:val="auto"/>
        </w:rPr>
      </w:pPr>
      <w:r>
        <w:rPr>
          <w:rFonts w:ascii="Arial" w:cs="Arial" w:eastAsia="Arial" w:hAnsi="Arial"/>
          <w:sz w:val="21"/>
          <w:szCs w:val="21"/>
          <w:color w:val="auto"/>
        </w:rPr>
        <w:t>In October 2025, the Nominating and Governance Committee reviewed Directors’ compensation for the 2026 compensation year using compensation information data that, at the Committee’s request, was prepared by management using Main Data Group’s Snapshot Data executive compensation benchmarking software platform. The Committee’s established benchmarking guideline is to set Directors’ annual compensation within the range of the 25</w:t>
      </w:r>
      <w:r>
        <w:rPr>
          <w:rFonts w:ascii="Arial" w:cs="Arial" w:eastAsia="Arial" w:hAnsi="Arial"/>
          <w:sz w:val="15"/>
          <w:szCs w:val="15"/>
          <w:color w:val="auto"/>
        </w:rPr>
        <w:t>th</w:t>
      </w:r>
      <w:r>
        <w:rPr>
          <w:rFonts w:ascii="Arial" w:cs="Arial" w:eastAsia="Arial" w:hAnsi="Arial"/>
          <w:sz w:val="21"/>
          <w:szCs w:val="21"/>
          <w:color w:val="auto"/>
        </w:rPr>
        <w:t xml:space="preserve"> percentile and median of our compensation peer group (the “Peer Group”). This guideline was followed and as the target for review of all categories of Directors’ annual compensation. The Committee evaluated the summary research data presented, which showed that cash, equity, committee chair, committee member, and lead director compensation categories were all well aligned within the target range of the 25</w:t>
      </w:r>
      <w:r>
        <w:rPr>
          <w:rFonts w:ascii="Arial" w:cs="Arial" w:eastAsia="Arial" w:hAnsi="Arial"/>
          <w:sz w:val="15"/>
          <w:szCs w:val="15"/>
          <w:color w:val="auto"/>
        </w:rPr>
        <w:t>th</w:t>
      </w:r>
      <w:r>
        <w:rPr>
          <w:rFonts w:ascii="Arial" w:cs="Arial" w:eastAsia="Arial" w:hAnsi="Arial"/>
          <w:sz w:val="21"/>
          <w:szCs w:val="21"/>
          <w:color w:val="auto"/>
        </w:rPr>
        <w:t xml:space="preserve"> percentile and median of the benchmarking peer group. Based on the full alignment with the benchmarking guideline, the Committee determined that Directors’ annual compensation remain unchanged for the 2026 compensation year. The Board approved this recommendation in October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154305</wp:posOffset>
            </wp:positionV>
            <wp:extent cx="6337300" cy="825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620"/>
          </w:cols>
          <w:pgMar w:left="320" w:top="470" w:right="9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3136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337300" cy="313690"/>
                    </a:xfrm>
                    <a:prstGeom prst="rect">
                      <a:avLst/>
                    </a:prstGeom>
                    <a:noFill/>
                  </pic:spPr>
                </pic:pic>
              </a:graphicData>
            </a:graphic>
          </wp:anchor>
        </w:drawing>
      </w:r>
    </w:p>
    <w:p>
      <w:pPr>
        <w:spacing w:after="0" w:line="348" w:lineRule="exact"/>
        <w:rPr>
          <w:sz w:val="20"/>
          <w:szCs w:val="20"/>
          <w:color w:val="auto"/>
        </w:rPr>
      </w:pPr>
    </w:p>
    <w:p>
      <w:pPr>
        <w:ind w:left="2520"/>
        <w:spacing w:after="0"/>
        <w:rPr>
          <w:sz w:val="20"/>
          <w:szCs w:val="20"/>
          <w:color w:val="auto"/>
        </w:rPr>
      </w:pPr>
      <w:r>
        <w:rPr>
          <w:rFonts w:ascii="Arial" w:cs="Arial" w:eastAsia="Arial" w:hAnsi="Arial"/>
          <w:sz w:val="31"/>
          <w:szCs w:val="31"/>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64135</wp:posOffset>
            </wp:positionV>
            <wp:extent cx="633730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01" w:lineRule="exact"/>
        <w:rPr>
          <w:sz w:val="20"/>
          <w:szCs w:val="20"/>
          <w:color w:val="auto"/>
        </w:rPr>
      </w:pPr>
    </w:p>
    <w:p>
      <w:pPr>
        <w:ind w:left="640" w:right="200"/>
        <w:spacing w:after="0" w:line="264" w:lineRule="auto"/>
        <w:rPr>
          <w:sz w:val="20"/>
          <w:szCs w:val="20"/>
          <w:color w:val="auto"/>
        </w:rPr>
      </w:pPr>
      <w:r>
        <w:rPr>
          <w:rFonts w:ascii="Arial" w:cs="Arial" w:eastAsia="Arial" w:hAnsi="Arial"/>
          <w:sz w:val="21"/>
          <w:szCs w:val="21"/>
          <w:color w:val="auto"/>
        </w:rPr>
        <w:t>In Proposal 1, we are asking shareholders to elect three Directors in Class II, each to serve a term of three years.</w:t>
      </w:r>
    </w:p>
    <w:p>
      <w:pPr>
        <w:spacing w:after="0" w:line="144" w:lineRule="exact"/>
        <w:rPr>
          <w:sz w:val="20"/>
          <w:szCs w:val="20"/>
          <w:color w:val="auto"/>
        </w:rPr>
      </w:pPr>
    </w:p>
    <w:p>
      <w:pPr>
        <w:ind w:left="640" w:right="80"/>
        <w:spacing w:after="0" w:line="239" w:lineRule="auto"/>
        <w:rPr>
          <w:sz w:val="20"/>
          <w:szCs w:val="20"/>
          <w:color w:val="auto"/>
        </w:rPr>
      </w:pPr>
      <w:r>
        <w:rPr>
          <w:rFonts w:ascii="Arial" w:cs="Arial" w:eastAsia="Arial" w:hAnsi="Arial"/>
          <w:sz w:val="21"/>
          <w:szCs w:val="21"/>
          <w:color w:val="auto"/>
        </w:rPr>
        <w:t>Article III of our Bylaws and Article 7 of our Articles of Incorporation provide for a Board of between nine and fifteen Directors divided into three classes, and the number of Directors shall be determined by the Board. As of the date of this proxy statement, the size of the Board is 11. Following the Annual Meeting, the size of the Board will be 10, with an average age of 61, and an average tenure of 5.5 years. Our Bylaws further provide that the terms of the three classes of Directors shall be arranged so that the term of office of only one class expires in each year.</w:t>
      </w:r>
    </w:p>
    <w:p>
      <w:pPr>
        <w:spacing w:after="0" w:line="200" w:lineRule="exact"/>
        <w:rPr>
          <w:sz w:val="20"/>
          <w:szCs w:val="20"/>
          <w:color w:val="auto"/>
        </w:rPr>
      </w:pPr>
    </w:p>
    <w:p>
      <w:pPr>
        <w:spacing w:after="0" w:line="388"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EXPECTATIONS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As representatives of our shareholders, members of the Board of Directors are expected to:</w:t>
      </w:r>
    </w:p>
    <w:p>
      <w:pPr>
        <w:spacing w:after="0" w:line="109" w:lineRule="exact"/>
        <w:rPr>
          <w:sz w:val="20"/>
          <w:szCs w:val="20"/>
          <w:color w:val="auto"/>
        </w:rPr>
      </w:pPr>
    </w:p>
    <w:p>
      <w:pPr>
        <w:ind w:left="1420" w:right="100"/>
        <w:spacing w:after="0" w:line="290" w:lineRule="auto"/>
        <w:rPr>
          <w:sz w:val="20"/>
          <w:szCs w:val="20"/>
          <w:color w:val="auto"/>
        </w:rPr>
      </w:pPr>
      <w:r>
        <w:rPr>
          <w:rFonts w:ascii="Arial" w:cs="Arial" w:eastAsia="Arial" w:hAnsi="Arial"/>
          <w:sz w:val="20"/>
          <w:szCs w:val="20"/>
          <w:color w:val="auto"/>
        </w:rPr>
        <w:t>exercise their fiduciary duty to Unitil and our shareholders with proper oversight of the development of policy and strategy, and assessment of operational effectiveness and financial strength;</w:t>
      </w:r>
    </w:p>
    <w:p>
      <w:pPr>
        <w:spacing w:after="0" w:line="28" w:lineRule="exact"/>
        <w:rPr>
          <w:sz w:val="20"/>
          <w:szCs w:val="20"/>
          <w:color w:val="auto"/>
        </w:rPr>
      </w:pPr>
    </w:p>
    <w:p>
      <w:pPr>
        <w:ind w:left="1420" w:right="360"/>
        <w:spacing w:after="0" w:line="290" w:lineRule="auto"/>
        <w:rPr>
          <w:sz w:val="20"/>
          <w:szCs w:val="20"/>
          <w:color w:val="auto"/>
        </w:rPr>
      </w:pPr>
      <w:r>
        <w:rPr>
          <w:rFonts w:ascii="Arial" w:cs="Arial" w:eastAsia="Arial" w:hAnsi="Arial"/>
          <w:sz w:val="20"/>
          <w:szCs w:val="20"/>
          <w:color w:val="auto"/>
        </w:rPr>
        <w:t>exhibit the highest standard of care to ensure the long-term health and overall success of Unitil’s business for the protection of both the short and long-term interests of our shareholders;</w:t>
      </w:r>
    </w:p>
    <w:p>
      <w:pPr>
        <w:spacing w:after="0" w:line="28" w:lineRule="exact"/>
        <w:rPr>
          <w:sz w:val="20"/>
          <w:szCs w:val="20"/>
          <w:color w:val="auto"/>
        </w:rPr>
      </w:pPr>
    </w:p>
    <w:p>
      <w:pPr>
        <w:ind w:left="1420" w:right="60"/>
        <w:spacing w:after="0" w:line="264" w:lineRule="auto"/>
        <w:rPr>
          <w:sz w:val="20"/>
          <w:szCs w:val="20"/>
          <w:color w:val="auto"/>
        </w:rPr>
      </w:pPr>
      <w:r>
        <w:rPr>
          <w:rFonts w:ascii="Arial" w:cs="Arial" w:eastAsia="Arial" w:hAnsi="Arial"/>
          <w:sz w:val="21"/>
          <w:szCs w:val="21"/>
          <w:color w:val="auto"/>
        </w:rPr>
        <w:t>exhibit superior business judgment and leadership, and effectively exercise the duties of loyalty and care for the benefit of all stakeholders;</w:t>
      </w:r>
    </w:p>
    <w:p>
      <w:pPr>
        <w:spacing w:after="0" w:line="53"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demonstrate loyalty to Unitil and avoid any actual or perceived conflict of interest;</w:t>
      </w:r>
    </w:p>
    <w:p>
      <w:pPr>
        <w:spacing w:after="0" w:line="226" w:lineRule="exact"/>
        <w:rPr>
          <w:sz w:val="20"/>
          <w:szCs w:val="20"/>
          <w:color w:val="auto"/>
        </w:rPr>
      </w:pPr>
    </w:p>
    <w:p>
      <w:pPr>
        <w:ind w:left="1420" w:right="280"/>
        <w:spacing w:after="0" w:line="264" w:lineRule="auto"/>
        <w:rPr>
          <w:sz w:val="20"/>
          <w:szCs w:val="20"/>
          <w:color w:val="auto"/>
        </w:rPr>
      </w:pPr>
      <w:r>
        <w:rPr>
          <w:rFonts w:ascii="Arial" w:cs="Arial" w:eastAsia="Arial" w:hAnsi="Arial"/>
          <w:sz w:val="21"/>
          <w:szCs w:val="21"/>
          <w:color w:val="auto"/>
        </w:rPr>
        <w:t>promote a high standard of personal integrity and adhere to the letter and spirit of Unitil’s Code of Ethics;</w:t>
      </w:r>
    </w:p>
    <w:p>
      <w:pPr>
        <w:spacing w:after="0" w:line="53"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exercise the duty to inform, including any conflict of interest that may arise, change in professional</w:t>
      </w:r>
    </w:p>
    <w:p>
      <w:pPr>
        <w:spacing w:after="0" w:line="12" w:lineRule="exact"/>
        <w:rPr>
          <w:sz w:val="20"/>
          <w:szCs w:val="20"/>
          <w:color w:val="auto"/>
        </w:rPr>
      </w:pPr>
    </w:p>
    <w:p>
      <w:pPr>
        <w:ind w:left="1420" w:right="600"/>
        <w:spacing w:after="0" w:line="245" w:lineRule="auto"/>
        <w:rPr>
          <w:sz w:val="20"/>
          <w:szCs w:val="20"/>
          <w:color w:val="auto"/>
        </w:rPr>
      </w:pPr>
      <w:r>
        <w:rPr>
          <w:rFonts w:ascii="Arial" w:cs="Arial" w:eastAsia="Arial" w:hAnsi="Arial"/>
          <w:sz w:val="21"/>
          <w:szCs w:val="21"/>
          <w:color w:val="auto"/>
        </w:rPr>
        <w:t>status, change in position on other boards, any possible compromise to independence, or any contemplated related person transaction;</w:t>
      </w:r>
    </w:p>
    <w:p>
      <w:pPr>
        <w:spacing w:after="0" w:line="71" w:lineRule="exact"/>
        <w:rPr>
          <w:sz w:val="20"/>
          <w:szCs w:val="20"/>
          <w:color w:val="auto"/>
        </w:rPr>
      </w:pPr>
    </w:p>
    <w:p>
      <w:pPr>
        <w:ind w:left="1420" w:right="360"/>
        <w:spacing w:after="0" w:line="264" w:lineRule="auto"/>
        <w:rPr>
          <w:sz w:val="20"/>
          <w:szCs w:val="20"/>
          <w:color w:val="auto"/>
        </w:rPr>
      </w:pPr>
      <w:r>
        <w:rPr>
          <w:rFonts w:ascii="Arial" w:cs="Arial" w:eastAsia="Arial" w:hAnsi="Arial"/>
          <w:sz w:val="21"/>
          <w:szCs w:val="21"/>
          <w:color w:val="auto"/>
        </w:rPr>
        <w:t>think and act independently, support the deliberative process, and willingly share knowledge and expertise;</w:t>
      </w:r>
    </w:p>
    <w:p>
      <w:pPr>
        <w:spacing w:after="0" w:line="53" w:lineRule="exact"/>
        <w:rPr>
          <w:sz w:val="20"/>
          <w:szCs w:val="20"/>
          <w:color w:val="auto"/>
        </w:rPr>
      </w:pPr>
    </w:p>
    <w:p>
      <w:pPr>
        <w:ind w:left="1420" w:right="1080"/>
        <w:spacing w:after="0" w:line="264" w:lineRule="auto"/>
        <w:rPr>
          <w:sz w:val="20"/>
          <w:szCs w:val="20"/>
          <w:color w:val="auto"/>
        </w:rPr>
      </w:pPr>
      <w:r>
        <w:rPr>
          <w:rFonts w:ascii="Arial" w:cs="Arial" w:eastAsia="Arial" w:hAnsi="Arial"/>
          <w:sz w:val="21"/>
          <w:szCs w:val="21"/>
          <w:color w:val="auto"/>
        </w:rPr>
        <w:t>challenge management to commit to the highest attainable goals, and hold management accountable to its commitments; and</w:t>
      </w:r>
    </w:p>
    <w:p>
      <w:pPr>
        <w:spacing w:after="0" w:line="53" w:lineRule="exact"/>
        <w:rPr>
          <w:sz w:val="20"/>
          <w:szCs w:val="20"/>
          <w:color w:val="auto"/>
        </w:rPr>
      </w:pPr>
    </w:p>
    <w:p>
      <w:pPr>
        <w:ind w:left="1020"/>
        <w:spacing w:after="0"/>
        <w:rPr>
          <w:sz w:val="20"/>
          <w:szCs w:val="20"/>
          <w:color w:val="auto"/>
        </w:rPr>
      </w:pPr>
      <w:r>
        <w:rPr>
          <w:rFonts w:ascii="Arial" w:cs="Arial" w:eastAsia="Arial" w:hAnsi="Arial"/>
          <w:sz w:val="21"/>
          <w:szCs w:val="21"/>
          <w:color w:val="auto"/>
        </w:rPr>
        <w:t>attend, prepare for, and participate in all Board and applicable Committee meetings.</w:t>
      </w:r>
    </w:p>
    <w:p>
      <w:pPr>
        <w:spacing w:after="0" w:line="200" w:lineRule="exact"/>
        <w:rPr>
          <w:sz w:val="20"/>
          <w:szCs w:val="20"/>
          <w:color w:val="auto"/>
        </w:rPr>
      </w:pP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Voting Recommendation</w:t>
      </w:r>
    </w:p>
    <w:p>
      <w:pPr>
        <w:spacing w:after="0" w:line="96" w:lineRule="exact"/>
        <w:rPr>
          <w:sz w:val="20"/>
          <w:szCs w:val="20"/>
          <w:color w:val="auto"/>
        </w:rPr>
      </w:pPr>
    </w:p>
    <w:p>
      <w:pPr>
        <w:ind w:left="640" w:right="440"/>
        <w:spacing w:after="0" w:line="290" w:lineRule="auto"/>
        <w:rPr>
          <w:sz w:val="20"/>
          <w:szCs w:val="20"/>
          <w:color w:val="auto"/>
        </w:rPr>
      </w:pPr>
      <w:r>
        <w:rPr>
          <w:rFonts w:ascii="Arial" w:cs="Arial" w:eastAsia="Arial" w:hAnsi="Arial"/>
          <w:sz w:val="20"/>
          <w:szCs w:val="20"/>
          <w:color w:val="auto"/>
        </w:rPr>
        <w:t>The Board believes that the Director nominees standing for election possess the desired qualifications, attributes, skills and experiences to effectively perform their critical role as fiduciaries responsible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117475</wp:posOffset>
            </wp:positionV>
            <wp:extent cx="6337300" cy="908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620"/>
          </w:cols>
          <w:pgMar w:left="320" w:top="470" w:right="9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ind w:left="640" w:right="60"/>
        <w:spacing w:after="0" w:line="243" w:lineRule="auto"/>
        <w:rPr>
          <w:sz w:val="20"/>
          <w:szCs w:val="20"/>
          <w:color w:val="auto"/>
        </w:rPr>
      </w:pPr>
      <w:r>
        <w:rPr>
          <w:rFonts w:ascii="Arial" w:cs="Arial" w:eastAsia="Arial" w:hAnsi="Arial"/>
          <w:sz w:val="21"/>
          <w:szCs w:val="21"/>
          <w:color w:val="auto"/>
        </w:rPr>
        <w:t xml:space="preserve">protection of both the short and long-term interests of shareholders. Further, the Board has selected each Director nominee because he or she exemplifies the expectations of members of the Board outlined above. The Board recommends that shareholders vote </w:t>
      </w:r>
      <w:r>
        <w:rPr>
          <w:rFonts w:ascii="Arial" w:cs="Arial" w:eastAsia="Arial" w:hAnsi="Arial"/>
          <w:sz w:val="21"/>
          <w:szCs w:val="21"/>
          <w:b w:val="1"/>
          <w:bCs w:val="1"/>
          <w:color w:val="auto"/>
        </w:rPr>
        <w:t>FOR</w:t>
      </w:r>
      <w:r>
        <w:rPr>
          <w:rFonts w:ascii="Arial" w:cs="Arial" w:eastAsia="Arial" w:hAnsi="Arial"/>
          <w:sz w:val="21"/>
          <w:szCs w:val="21"/>
          <w:color w:val="auto"/>
        </w:rPr>
        <w:t xml:space="preserve"> the election of the Director nominees listed in Proposal 1 below.</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INFORMATION ABOUT THE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07" w:lineRule="exact"/>
        <w:rPr>
          <w:sz w:val="20"/>
          <w:szCs w:val="20"/>
          <w:color w:val="auto"/>
        </w:rPr>
      </w:pPr>
    </w:p>
    <w:p>
      <w:pPr>
        <w:ind w:left="640" w:right="140"/>
        <w:spacing w:after="0" w:line="238" w:lineRule="auto"/>
        <w:rPr>
          <w:sz w:val="20"/>
          <w:szCs w:val="20"/>
          <w:color w:val="auto"/>
        </w:rPr>
      </w:pPr>
      <w:r>
        <w:rPr>
          <w:rFonts w:ascii="Arial" w:cs="Arial" w:eastAsia="Arial" w:hAnsi="Arial"/>
          <w:sz w:val="21"/>
          <w:szCs w:val="21"/>
          <w:color w:val="auto"/>
        </w:rPr>
        <w:t>Neveen F. Awad, Ph.D., Winfield S. Brown, and Mark H. Collin are standing for re-election to the Board this year upon the recommendation of the members of the Nominating and Governance Committee and the approval of the Board. Except as otherwise noted, each nominee has held his or her present position (or another executive position with the same employer) for more than the past ten years. Each nominee is free of involvement in any Related Person Transaction, and each nominee meets the Board’s independence standard. If elected, each nominee will hold office for a term of three years, and until his or her successor is elected and qualified.</w:t>
      </w:r>
    </w:p>
    <w:p>
      <w:pPr>
        <w:spacing w:after="0" w:line="195" w:lineRule="exact"/>
        <w:rPr>
          <w:sz w:val="20"/>
          <w:szCs w:val="20"/>
          <w:color w:val="auto"/>
        </w:rPr>
      </w:pPr>
    </w:p>
    <w:p>
      <w:pPr>
        <w:ind w:left="640" w:right="4340"/>
        <w:spacing w:after="0" w:line="235" w:lineRule="auto"/>
        <w:rPr>
          <w:sz w:val="20"/>
          <w:szCs w:val="20"/>
          <w:color w:val="auto"/>
        </w:rPr>
      </w:pPr>
      <w:r>
        <w:rPr>
          <w:rFonts w:ascii="Arial" w:cs="Arial" w:eastAsia="Arial" w:hAnsi="Arial"/>
          <w:sz w:val="21"/>
          <w:szCs w:val="21"/>
          <w:color w:val="auto"/>
        </w:rPr>
        <w:t>Proxies will be voted for the nominees listed in Proposal 1 above unless instructed otherwise. We have no reason to believe that any of the nominees will be unable or unwilling to serve if elected. However, if any nominee should become unable, for any reason, or unwilling, for good cause, to serve, proxies may be voted for another person nominated as a substitute by the Board, or the Board may reduce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-1033780</wp:posOffset>
            </wp:positionV>
            <wp:extent cx="2334895" cy="9486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334895" cy="948690"/>
                    </a:xfrm>
                    <a:prstGeom prst="rect">
                      <a:avLst/>
                    </a:prstGeom>
                    <a:noFill/>
                  </pic:spPr>
                </pic:pic>
              </a:graphicData>
            </a:graphic>
          </wp:anchor>
        </w:drawing>
      </w:r>
    </w:p>
    <w:p>
      <w:pPr>
        <w:ind w:left="640" w:right="840"/>
        <w:spacing w:after="0" w:line="245" w:lineRule="auto"/>
        <w:rPr>
          <w:sz w:val="20"/>
          <w:szCs w:val="20"/>
          <w:color w:val="auto"/>
        </w:rPr>
      </w:pPr>
      <w:r>
        <w:rPr>
          <w:rFonts w:ascii="Arial" w:cs="Arial" w:eastAsia="Arial" w:hAnsi="Arial"/>
          <w:sz w:val="21"/>
          <w:szCs w:val="21"/>
          <w:color w:val="auto"/>
        </w:rPr>
        <w:t>number of Directors provided such reduction does not conflict with our Articles of Incorporation. The nominees have consented to being named in this proxy statement and to serve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144780</wp:posOffset>
            </wp:positionV>
            <wp:extent cx="6337300" cy="825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620"/>
          </w:cols>
          <w:pgMar w:left="320" w:top="470" w:right="9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PROPOSAL 1: ELECTION OF THREE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Proposal 1, we are asking shareholders to elect three Directors in Class II each for a term of three years.</w:t>
      </w:r>
    </w:p>
    <w:p>
      <w:pPr>
        <w:spacing w:after="0" w:line="1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The Board recommends that shareholders vote </w:t>
      </w:r>
      <w:r>
        <w:rPr>
          <w:rFonts w:ascii="Arial" w:cs="Arial" w:eastAsia="Arial" w:hAnsi="Arial"/>
          <w:sz w:val="21"/>
          <w:szCs w:val="21"/>
          <w:b w:val="1"/>
          <w:bCs w:val="1"/>
          <w:color w:val="auto"/>
        </w:rPr>
        <w:t>FOR</w:t>
      </w:r>
      <w:r>
        <w:rPr>
          <w:rFonts w:ascii="Arial" w:cs="Arial" w:eastAsia="Arial" w:hAnsi="Arial"/>
          <w:sz w:val="21"/>
          <w:szCs w:val="21"/>
          <w:color w:val="auto"/>
        </w:rPr>
        <w:t xml:space="preserve"> the election of the Director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147955</wp:posOffset>
            </wp:positionV>
            <wp:extent cx="6337300" cy="23939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337300" cy="239395"/>
                    </a:xfrm>
                    <a:prstGeom prst="rect">
                      <a:avLst/>
                    </a:prstGeom>
                    <a:noFill/>
                  </pic:spPr>
                </pic:pic>
              </a:graphicData>
            </a:graphic>
          </wp:anchor>
        </w:drawing>
      </w:r>
    </w:p>
    <w:p>
      <w:pPr>
        <w:spacing w:after="0" w:line="255" w:lineRule="exact"/>
        <w:rPr>
          <w:sz w:val="20"/>
          <w:szCs w:val="20"/>
          <w:color w:val="auto"/>
        </w:rPr>
      </w:pPr>
    </w:p>
    <w:p>
      <w:pPr>
        <w:ind w:left="720"/>
        <w:spacing w:after="0"/>
        <w:rPr>
          <w:sz w:val="20"/>
          <w:szCs w:val="20"/>
          <w:color w:val="auto"/>
        </w:rPr>
      </w:pPr>
      <w:r>
        <w:rPr>
          <w:rFonts w:ascii="Arial" w:cs="Arial" w:eastAsia="Arial" w:hAnsi="Arial"/>
          <w:sz w:val="24"/>
          <w:szCs w:val="24"/>
          <w:b w:val="1"/>
          <w:bCs w:val="1"/>
          <w:color w:val="FFFFFF"/>
        </w:rPr>
        <w:t>Neveen F. Awad, Ph.D.</w:t>
      </w:r>
    </w:p>
    <w:p>
      <w:pPr>
        <w:spacing w:after="0" w:line="143"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6540" w:type="dxa"/>
            <w:vAlign w:val="bottom"/>
          </w:tcPr>
          <w:p>
            <w:pPr>
              <w:ind w:left="80"/>
              <w:spacing w:after="0"/>
              <w:rPr>
                <w:sz w:val="20"/>
                <w:szCs w:val="20"/>
                <w:color w:val="auto"/>
              </w:rPr>
            </w:pPr>
            <w:r>
              <w:rPr>
                <w:rFonts w:ascii="Arial" w:cs="Arial" w:eastAsia="Arial" w:hAnsi="Arial"/>
                <w:sz w:val="17"/>
                <w:szCs w:val="17"/>
                <w:color w:val="auto"/>
              </w:rPr>
              <w:t>Dr. Awad is a senior partner and managing director of the Boston Consulting</w:t>
            </w:r>
          </w:p>
        </w:tc>
        <w:tc>
          <w:tcPr>
            <w:tcW w:w="344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October 2022</w:t>
            </w:r>
          </w:p>
        </w:tc>
        <w:tc>
          <w:tcPr>
            <w:tcW w:w="0" w:type="dxa"/>
            <w:vAlign w:val="bottom"/>
          </w:tcPr>
          <w:p>
            <w:pPr>
              <w:spacing w:after="0"/>
              <w:rPr>
                <w:sz w:val="1"/>
                <w:szCs w:val="1"/>
                <w:color w:val="auto"/>
              </w:rPr>
            </w:pPr>
          </w:p>
        </w:tc>
      </w:tr>
      <w:tr>
        <w:trPr>
          <w:trHeight w:val="195"/>
        </w:trPr>
        <w:tc>
          <w:tcPr>
            <w:tcW w:w="6540" w:type="dxa"/>
            <w:vAlign w:val="bottom"/>
          </w:tcPr>
          <w:p>
            <w:pPr>
              <w:ind w:left="80"/>
              <w:spacing w:after="0"/>
              <w:rPr>
                <w:sz w:val="20"/>
                <w:szCs w:val="20"/>
                <w:color w:val="auto"/>
              </w:rPr>
            </w:pPr>
            <w:r>
              <w:rPr>
                <w:rFonts w:ascii="Arial" w:cs="Arial" w:eastAsia="Arial" w:hAnsi="Arial"/>
                <w:sz w:val="17"/>
                <w:szCs w:val="17"/>
                <w:color w:val="auto"/>
              </w:rPr>
              <w:t>Group (“BCG”), a global management consulting firm. She has been the leader of</w:t>
            </w:r>
          </w:p>
        </w:tc>
        <w:tc>
          <w:tcPr>
            <w:tcW w:w="344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95"/>
        </w:trPr>
        <w:tc>
          <w:tcPr>
            <w:tcW w:w="6540" w:type="dxa"/>
            <w:vAlign w:val="bottom"/>
          </w:tcPr>
          <w:p>
            <w:pPr>
              <w:ind w:left="80"/>
              <w:spacing w:after="0"/>
              <w:rPr>
                <w:sz w:val="20"/>
                <w:szCs w:val="20"/>
                <w:color w:val="auto"/>
              </w:rPr>
            </w:pPr>
            <w:r>
              <w:rPr>
                <w:rFonts w:ascii="Arial" w:cs="Arial" w:eastAsia="Arial" w:hAnsi="Arial"/>
                <w:sz w:val="17"/>
                <w:szCs w:val="17"/>
                <w:color w:val="auto"/>
              </w:rPr>
              <w:t>the BCG office in Detroit, Michigan, since 2011. Prior to consulting, Dr. Awad was</w:t>
            </w:r>
          </w:p>
        </w:tc>
        <w:tc>
          <w:tcPr>
            <w:tcW w:w="344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Class: </w:t>
            </w:r>
            <w:r>
              <w:rPr>
                <w:rFonts w:ascii="Arial" w:cs="Arial" w:eastAsia="Arial" w:hAnsi="Arial"/>
                <w:sz w:val="17"/>
                <w:szCs w:val="17"/>
                <w:color w:val="auto"/>
              </w:rPr>
              <w:t>II</w:t>
            </w:r>
          </w:p>
        </w:tc>
        <w:tc>
          <w:tcPr>
            <w:tcW w:w="0" w:type="dxa"/>
            <w:vAlign w:val="bottom"/>
          </w:tcPr>
          <w:p>
            <w:pPr>
              <w:spacing w:after="0"/>
              <w:rPr>
                <w:sz w:val="1"/>
                <w:szCs w:val="1"/>
                <w:color w:val="auto"/>
              </w:rPr>
            </w:pPr>
          </w:p>
        </w:tc>
      </w:tr>
      <w:tr>
        <w:trPr>
          <w:trHeight w:val="197"/>
        </w:trPr>
        <w:tc>
          <w:tcPr>
            <w:tcW w:w="6540" w:type="dxa"/>
            <w:vAlign w:val="bottom"/>
          </w:tcPr>
          <w:p>
            <w:pPr>
              <w:ind w:left="80"/>
              <w:spacing w:after="0"/>
              <w:rPr>
                <w:sz w:val="20"/>
                <w:szCs w:val="20"/>
                <w:color w:val="auto"/>
              </w:rPr>
            </w:pPr>
            <w:r>
              <w:rPr>
                <w:rFonts w:ascii="Arial" w:cs="Arial" w:eastAsia="Arial" w:hAnsi="Arial"/>
                <w:sz w:val="17"/>
                <w:szCs w:val="17"/>
                <w:color w:val="auto"/>
              </w:rPr>
              <w:t>an assistant professor at the Wayne State University School of Business, a public</w:t>
            </w:r>
          </w:p>
        </w:tc>
        <w:tc>
          <w:tcPr>
            <w:tcW w:w="344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Board Committees: </w:t>
            </w:r>
            <w:r>
              <w:rPr>
                <w:rFonts w:ascii="Arial" w:cs="Arial" w:eastAsia="Arial" w:hAnsi="Arial"/>
                <w:sz w:val="17"/>
                <w:szCs w:val="17"/>
                <w:color w:val="auto"/>
              </w:rPr>
              <w:t>Compensation,</w:t>
            </w:r>
          </w:p>
        </w:tc>
        <w:tc>
          <w:tcPr>
            <w:tcW w:w="0" w:type="dxa"/>
            <w:vAlign w:val="bottom"/>
          </w:tcPr>
          <w:p>
            <w:pPr>
              <w:spacing w:after="0"/>
              <w:rPr>
                <w:sz w:val="1"/>
                <w:szCs w:val="1"/>
                <w:color w:val="auto"/>
              </w:rPr>
            </w:pPr>
          </w:p>
        </w:tc>
      </w:tr>
      <w:tr>
        <w:trPr>
          <w:trHeight w:val="193"/>
        </w:trPr>
        <w:tc>
          <w:tcPr>
            <w:tcW w:w="6540" w:type="dxa"/>
            <w:vAlign w:val="bottom"/>
          </w:tcPr>
          <w:p>
            <w:pPr>
              <w:ind w:left="80"/>
              <w:spacing w:after="0" w:line="193" w:lineRule="exact"/>
              <w:rPr>
                <w:sz w:val="20"/>
                <w:szCs w:val="20"/>
                <w:color w:val="auto"/>
              </w:rPr>
            </w:pPr>
            <w:r>
              <w:rPr>
                <w:rFonts w:ascii="Arial" w:cs="Arial" w:eastAsia="Arial" w:hAnsi="Arial"/>
                <w:sz w:val="17"/>
                <w:szCs w:val="17"/>
                <w:color w:val="auto"/>
              </w:rPr>
              <w:t>research university in Detroit, Michigan. She is active in public speaking</w:t>
            </w:r>
          </w:p>
        </w:tc>
        <w:tc>
          <w:tcPr>
            <w:tcW w:w="3440" w:type="dxa"/>
            <w:vAlign w:val="bottom"/>
            <w:gridSpan w:val="2"/>
          </w:tcPr>
          <w:p>
            <w:pPr>
              <w:ind w:left="240"/>
              <w:spacing w:after="0" w:line="193" w:lineRule="exact"/>
              <w:rPr>
                <w:sz w:val="20"/>
                <w:szCs w:val="20"/>
                <w:color w:val="auto"/>
              </w:rPr>
            </w:pPr>
            <w:r>
              <w:rPr>
                <w:rFonts w:ascii="Arial" w:cs="Arial" w:eastAsia="Arial" w:hAnsi="Arial"/>
                <w:sz w:val="17"/>
                <w:szCs w:val="17"/>
                <w:color w:val="auto"/>
              </w:rPr>
              <w:t>Nominating &amp; Governance</w:t>
            </w:r>
          </w:p>
        </w:tc>
        <w:tc>
          <w:tcPr>
            <w:tcW w:w="0" w:type="dxa"/>
            <w:vAlign w:val="bottom"/>
          </w:tcPr>
          <w:p>
            <w:pPr>
              <w:spacing w:after="0"/>
              <w:rPr>
                <w:sz w:val="1"/>
                <w:szCs w:val="1"/>
                <w:color w:val="auto"/>
              </w:rPr>
            </w:pPr>
          </w:p>
        </w:tc>
      </w:tr>
      <w:tr>
        <w:trPr>
          <w:trHeight w:val="239"/>
        </w:trPr>
        <w:tc>
          <w:tcPr>
            <w:tcW w:w="6540" w:type="dxa"/>
            <w:vAlign w:val="bottom"/>
          </w:tcPr>
          <w:p>
            <w:pPr>
              <w:ind w:left="80"/>
              <w:spacing w:after="0"/>
              <w:rPr>
                <w:sz w:val="20"/>
                <w:szCs w:val="20"/>
                <w:color w:val="auto"/>
              </w:rPr>
            </w:pPr>
            <w:r>
              <w:rPr>
                <w:rFonts w:ascii="Arial" w:cs="Arial" w:eastAsia="Arial" w:hAnsi="Arial"/>
                <w:sz w:val="17"/>
                <w:szCs w:val="17"/>
                <w:color w:val="auto"/>
              </w:rPr>
              <w:t>engagements, including TED Talks, as a strategic technology innovation leader.</w:t>
            </w:r>
          </w:p>
        </w:tc>
        <w:tc>
          <w:tcPr>
            <w:tcW w:w="344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Other Public Company Boards: </w:t>
            </w: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429"/>
        </w:trPr>
        <w:tc>
          <w:tcPr>
            <w:tcW w:w="6540" w:type="dxa"/>
            <w:vAlign w:val="bottom"/>
          </w:tcPr>
          <w:p>
            <w:pPr>
              <w:spacing w:after="0"/>
              <w:rPr>
                <w:sz w:val="24"/>
                <w:szCs w:val="24"/>
                <w:color w:val="auto"/>
              </w:rPr>
            </w:pPr>
          </w:p>
        </w:tc>
        <w:tc>
          <w:tcPr>
            <w:tcW w:w="3440" w:type="dxa"/>
            <w:vAlign w:val="bottom"/>
            <w:gridSpan w:val="2"/>
          </w:tcPr>
          <w:p>
            <w:pPr>
              <w:ind w:left="240"/>
              <w:spacing w:after="0"/>
              <w:rPr>
                <w:sz w:val="20"/>
                <w:szCs w:val="20"/>
                <w:color w:val="auto"/>
              </w:rPr>
            </w:pPr>
            <w:r>
              <w:rPr>
                <w:rFonts w:ascii="Arial" w:cs="Arial" w:eastAsia="Arial" w:hAnsi="Arial"/>
                <w:sz w:val="17"/>
                <w:szCs w:val="17"/>
                <w:b w:val="1"/>
                <w:bCs w:val="1"/>
                <w:color w:val="auto"/>
              </w:rPr>
              <w:t>Individual Skills and Expertise:</w:t>
            </w:r>
          </w:p>
        </w:tc>
        <w:tc>
          <w:tcPr>
            <w:tcW w:w="0" w:type="dxa"/>
            <w:vAlign w:val="bottom"/>
          </w:tcPr>
          <w:p>
            <w:pPr>
              <w:spacing w:after="0"/>
              <w:rPr>
                <w:sz w:val="1"/>
                <w:szCs w:val="1"/>
                <w:color w:val="auto"/>
              </w:rPr>
            </w:pPr>
          </w:p>
        </w:tc>
      </w:tr>
      <w:tr>
        <w:trPr>
          <w:trHeight w:val="336"/>
        </w:trPr>
        <w:tc>
          <w:tcPr>
            <w:tcW w:w="6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0" w:type="dxa"/>
            <w:vAlign w:val="bottom"/>
          </w:tcPr>
          <w:p>
            <w:pPr>
              <w:ind w:left="100"/>
              <w:spacing w:after="0"/>
              <w:rPr>
                <w:sz w:val="20"/>
                <w:szCs w:val="20"/>
                <w:color w:val="auto"/>
              </w:rPr>
            </w:pPr>
            <w:r>
              <w:rPr>
                <w:rFonts w:ascii="Arial" w:cs="Arial" w:eastAsia="Arial" w:hAnsi="Arial"/>
                <w:sz w:val="17"/>
                <w:szCs w:val="17"/>
                <w:color w:val="auto"/>
              </w:rPr>
              <w:t>C-Suite</w:t>
            </w:r>
          </w:p>
        </w:tc>
        <w:tc>
          <w:tcPr>
            <w:tcW w:w="0" w:type="dxa"/>
            <w:vAlign w:val="bottom"/>
          </w:tcPr>
          <w:p>
            <w:pPr>
              <w:spacing w:after="0"/>
              <w:rPr>
                <w:sz w:val="1"/>
                <w:szCs w:val="1"/>
                <w:color w:val="auto"/>
              </w:rPr>
            </w:pPr>
          </w:p>
        </w:tc>
      </w:tr>
      <w:tr>
        <w:trPr>
          <w:trHeight w:val="286"/>
        </w:trPr>
        <w:tc>
          <w:tcPr>
            <w:tcW w:w="6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0" w:type="dxa"/>
            <w:vAlign w:val="bottom"/>
          </w:tcPr>
          <w:p>
            <w:pPr>
              <w:ind w:left="100"/>
              <w:spacing w:after="0"/>
              <w:rPr>
                <w:sz w:val="20"/>
                <w:szCs w:val="20"/>
                <w:color w:val="auto"/>
              </w:rPr>
            </w:pPr>
            <w:r>
              <w:rPr>
                <w:rFonts w:ascii="Arial" w:cs="Arial" w:eastAsia="Arial" w:hAnsi="Arial"/>
                <w:sz w:val="17"/>
                <w:szCs w:val="17"/>
                <w:color w:val="auto"/>
              </w:rPr>
              <w:t>Governance</w:t>
            </w:r>
          </w:p>
        </w:tc>
        <w:tc>
          <w:tcPr>
            <w:tcW w:w="0" w:type="dxa"/>
            <w:vAlign w:val="bottom"/>
          </w:tcPr>
          <w:p>
            <w:pPr>
              <w:spacing w:after="0"/>
              <w:rPr>
                <w:sz w:val="1"/>
                <w:szCs w:val="1"/>
                <w:color w:val="auto"/>
              </w:rPr>
            </w:pPr>
          </w:p>
        </w:tc>
      </w:tr>
      <w:tr>
        <w:trPr>
          <w:trHeight w:val="207"/>
        </w:trPr>
        <w:tc>
          <w:tcPr>
            <w:tcW w:w="6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0" w:type="dxa"/>
            <w:vAlign w:val="bottom"/>
          </w:tcPr>
          <w:p>
            <w:pPr>
              <w:ind w:left="100"/>
              <w:spacing w:after="0"/>
              <w:rPr>
                <w:sz w:val="20"/>
                <w:szCs w:val="20"/>
                <w:color w:val="auto"/>
              </w:rPr>
            </w:pPr>
            <w:r>
              <w:rPr>
                <w:rFonts w:ascii="Arial" w:cs="Arial" w:eastAsia="Arial" w:hAnsi="Arial"/>
                <w:sz w:val="17"/>
                <w:szCs w:val="17"/>
                <w:color w:val="auto"/>
              </w:rPr>
              <w:t>Information</w:t>
            </w:r>
          </w:p>
        </w:tc>
        <w:tc>
          <w:tcPr>
            <w:tcW w:w="0" w:type="dxa"/>
            <w:vAlign w:val="bottom"/>
          </w:tcPr>
          <w:p>
            <w:pPr>
              <w:spacing w:after="0"/>
              <w:rPr>
                <w:sz w:val="1"/>
                <w:szCs w:val="1"/>
                <w:color w:val="auto"/>
              </w:rPr>
            </w:pPr>
          </w:p>
        </w:tc>
      </w:tr>
      <w:tr>
        <w:trPr>
          <w:trHeight w:val="221"/>
        </w:trPr>
        <w:tc>
          <w:tcPr>
            <w:tcW w:w="6540" w:type="dxa"/>
            <w:vAlign w:val="bottom"/>
          </w:tcPr>
          <w:p>
            <w:pPr>
              <w:spacing w:after="0"/>
              <w:rPr>
                <w:sz w:val="19"/>
                <w:szCs w:val="19"/>
                <w:color w:val="auto"/>
              </w:rPr>
            </w:pPr>
          </w:p>
        </w:tc>
        <w:tc>
          <w:tcPr>
            <w:tcW w:w="440" w:type="dxa"/>
            <w:vAlign w:val="bottom"/>
            <w:vMerge w:val="restart"/>
          </w:tcPr>
          <w:p>
            <w:pPr>
              <w:spacing w:after="0"/>
              <w:rPr>
                <w:sz w:val="19"/>
                <w:szCs w:val="19"/>
                <w:color w:val="auto"/>
              </w:rPr>
            </w:pPr>
          </w:p>
        </w:tc>
        <w:tc>
          <w:tcPr>
            <w:tcW w:w="3000" w:type="dxa"/>
            <w:vAlign w:val="bottom"/>
          </w:tcPr>
          <w:p>
            <w:pPr>
              <w:ind w:left="100"/>
              <w:spacing w:after="0"/>
              <w:rPr>
                <w:sz w:val="20"/>
                <w:szCs w:val="20"/>
                <w:color w:val="auto"/>
              </w:rPr>
            </w:pPr>
            <w:r>
              <w:rPr>
                <w:rFonts w:ascii="Arial" w:cs="Arial" w:eastAsia="Arial" w:hAnsi="Arial"/>
                <w:sz w:val="17"/>
                <w:szCs w:val="17"/>
                <w:color w:val="auto"/>
              </w:rPr>
              <w:t>Technology/Cybersecurity</w:t>
            </w:r>
          </w:p>
        </w:tc>
        <w:tc>
          <w:tcPr>
            <w:tcW w:w="0" w:type="dxa"/>
            <w:vAlign w:val="bottom"/>
          </w:tcPr>
          <w:p>
            <w:pPr>
              <w:spacing w:after="0"/>
              <w:rPr>
                <w:sz w:val="1"/>
                <w:szCs w:val="1"/>
                <w:color w:val="auto"/>
              </w:rPr>
            </w:pPr>
          </w:p>
        </w:tc>
      </w:tr>
      <w:tr>
        <w:trPr>
          <w:trHeight w:val="273"/>
        </w:trPr>
        <w:tc>
          <w:tcPr>
            <w:tcW w:w="6540" w:type="dxa"/>
            <w:vAlign w:val="bottom"/>
          </w:tcPr>
          <w:p>
            <w:pPr>
              <w:spacing w:after="0"/>
              <w:rPr>
                <w:sz w:val="23"/>
                <w:szCs w:val="23"/>
                <w:color w:val="auto"/>
              </w:rPr>
            </w:pPr>
          </w:p>
        </w:tc>
        <w:tc>
          <w:tcPr>
            <w:tcW w:w="440" w:type="dxa"/>
            <w:vAlign w:val="bottom"/>
            <w:vMerge w:val="continue"/>
          </w:tcPr>
          <w:p>
            <w:pPr>
              <w:spacing w:after="0"/>
              <w:rPr>
                <w:sz w:val="23"/>
                <w:szCs w:val="23"/>
                <w:color w:val="auto"/>
              </w:rPr>
            </w:pPr>
          </w:p>
        </w:tc>
        <w:tc>
          <w:tcPr>
            <w:tcW w:w="3000" w:type="dxa"/>
            <w:vAlign w:val="bottom"/>
          </w:tcPr>
          <w:p>
            <w:pPr>
              <w:ind w:left="100"/>
              <w:spacing w:after="0"/>
              <w:rPr>
                <w:sz w:val="20"/>
                <w:szCs w:val="20"/>
                <w:color w:val="auto"/>
              </w:rPr>
            </w:pPr>
            <w:r>
              <w:rPr>
                <w:rFonts w:ascii="Arial" w:cs="Arial" w:eastAsia="Arial" w:hAnsi="Arial"/>
                <w:sz w:val="17"/>
                <w:szCs w:val="17"/>
                <w:color w:val="auto"/>
              </w:rPr>
              <w:t>Investor Relations</w:t>
            </w:r>
          </w:p>
        </w:tc>
        <w:tc>
          <w:tcPr>
            <w:tcW w:w="0" w:type="dxa"/>
            <w:vAlign w:val="bottom"/>
          </w:tcPr>
          <w:p>
            <w:pPr>
              <w:spacing w:after="0"/>
              <w:rPr>
                <w:sz w:val="1"/>
                <w:szCs w:val="1"/>
                <w:color w:val="auto"/>
              </w:rPr>
            </w:pPr>
          </w:p>
        </w:tc>
      </w:tr>
      <w:tr>
        <w:trPr>
          <w:trHeight w:val="293"/>
        </w:trPr>
        <w:tc>
          <w:tcPr>
            <w:tcW w:w="6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0" w:type="dxa"/>
            <w:vAlign w:val="bottom"/>
          </w:tcPr>
          <w:p>
            <w:pPr>
              <w:ind w:left="100"/>
              <w:spacing w:after="0"/>
              <w:rPr>
                <w:sz w:val="20"/>
                <w:szCs w:val="20"/>
                <w:color w:val="auto"/>
              </w:rPr>
            </w:pPr>
            <w:r>
              <w:rPr>
                <w:rFonts w:ascii="Arial" w:cs="Arial" w:eastAsia="Arial" w:hAnsi="Arial"/>
                <w:sz w:val="17"/>
                <w:szCs w:val="17"/>
                <w:color w:val="auto"/>
              </w:rPr>
              <w:t>Strategic Planning</w:t>
            </w:r>
          </w:p>
        </w:tc>
        <w:tc>
          <w:tcPr>
            <w:tcW w:w="0" w:type="dxa"/>
            <w:vAlign w:val="bottom"/>
          </w:tcPr>
          <w:p>
            <w:pPr>
              <w:spacing w:after="0"/>
              <w:rPr>
                <w:sz w:val="1"/>
                <w:szCs w:val="1"/>
                <w:color w:val="auto"/>
              </w:rPr>
            </w:pPr>
          </w:p>
        </w:tc>
      </w:tr>
      <w:tr>
        <w:trPr>
          <w:trHeight w:val="450"/>
        </w:trPr>
        <w:tc>
          <w:tcPr>
            <w:tcW w:w="6540" w:type="dxa"/>
            <w:vAlign w:val="bottom"/>
          </w:tcPr>
          <w:p>
            <w:pPr>
              <w:spacing w:after="0"/>
              <w:rPr>
                <w:sz w:val="24"/>
                <w:szCs w:val="24"/>
                <w:color w:val="auto"/>
              </w:rPr>
            </w:pPr>
          </w:p>
        </w:tc>
        <w:tc>
          <w:tcPr>
            <w:tcW w:w="3440" w:type="dxa"/>
            <w:vAlign w:val="bottom"/>
            <w:gridSpan w:val="2"/>
          </w:tcPr>
          <w:p>
            <w:pPr>
              <w:ind w:left="240"/>
              <w:spacing w:after="0"/>
              <w:rPr>
                <w:sz w:val="20"/>
                <w:szCs w:val="20"/>
                <w:color w:val="auto"/>
              </w:rPr>
            </w:pPr>
            <w:r>
              <w:rPr>
                <w:rFonts w:ascii="Arial" w:cs="Arial" w:eastAsia="Arial" w:hAnsi="Arial"/>
                <w:sz w:val="17"/>
                <w:szCs w:val="17"/>
                <w:b w:val="1"/>
                <w:bCs w:val="1"/>
                <w:color w:val="auto"/>
              </w:rPr>
              <w:t>Demographics:</w:t>
            </w: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3440" w:type="dxa"/>
            <w:vAlign w:val="bottom"/>
            <w:gridSpan w:val="2"/>
          </w:tcPr>
          <w:p>
            <w:pPr>
              <w:ind w:left="240"/>
              <w:spacing w:after="0"/>
              <w:rPr>
                <w:sz w:val="20"/>
                <w:szCs w:val="20"/>
                <w:color w:val="auto"/>
              </w:rPr>
            </w:pPr>
            <w:r>
              <w:rPr>
                <w:rFonts w:ascii="Arial" w:cs="Arial" w:eastAsia="Arial" w:hAnsi="Arial"/>
                <w:sz w:val="17"/>
                <w:szCs w:val="17"/>
                <w:color w:val="auto"/>
              </w:rPr>
              <w:t>Female</w:t>
            </w:r>
          </w:p>
        </w:tc>
        <w:tc>
          <w:tcPr>
            <w:tcW w:w="0" w:type="dxa"/>
            <w:vAlign w:val="bottom"/>
          </w:tcPr>
          <w:p>
            <w:pPr>
              <w:spacing w:after="0"/>
              <w:rPr>
                <w:sz w:val="1"/>
                <w:szCs w:val="1"/>
                <w:color w:val="auto"/>
              </w:rPr>
            </w:pPr>
          </w:p>
        </w:tc>
      </w:tr>
      <w:tr>
        <w:trPr>
          <w:trHeight w:val="229"/>
        </w:trPr>
        <w:tc>
          <w:tcPr>
            <w:tcW w:w="6540" w:type="dxa"/>
            <w:vAlign w:val="bottom"/>
          </w:tcPr>
          <w:p>
            <w:pPr>
              <w:spacing w:after="0"/>
              <w:rPr>
                <w:sz w:val="19"/>
                <w:szCs w:val="19"/>
                <w:color w:val="auto"/>
              </w:rPr>
            </w:pPr>
          </w:p>
        </w:tc>
        <w:tc>
          <w:tcPr>
            <w:tcW w:w="3440" w:type="dxa"/>
            <w:vAlign w:val="bottom"/>
            <w:gridSpan w:val="2"/>
          </w:tcPr>
          <w:p>
            <w:pPr>
              <w:ind w:left="240"/>
              <w:spacing w:after="0"/>
              <w:rPr>
                <w:sz w:val="20"/>
                <w:szCs w:val="20"/>
                <w:color w:val="auto"/>
              </w:rPr>
            </w:pPr>
            <w:r>
              <w:rPr>
                <w:rFonts w:ascii="Arial" w:cs="Arial" w:eastAsia="Arial" w:hAnsi="Arial"/>
                <w:sz w:val="17"/>
                <w:szCs w:val="17"/>
                <w:color w:val="auto"/>
              </w:rPr>
              <w:t>Middle Eastern/North African</w:t>
            </w:r>
          </w:p>
        </w:tc>
        <w:tc>
          <w:tcPr>
            <w:tcW w:w="0" w:type="dxa"/>
            <w:vAlign w:val="bottom"/>
          </w:tcPr>
          <w:p>
            <w:pPr>
              <w:spacing w:after="0"/>
              <w:rPr>
                <w:sz w:val="1"/>
                <w:szCs w:val="1"/>
                <w:color w:val="auto"/>
              </w:rPr>
            </w:pPr>
          </w:p>
        </w:tc>
      </w:tr>
      <w:tr>
        <w:trPr>
          <w:trHeight w:val="152"/>
        </w:trPr>
        <w:tc>
          <w:tcPr>
            <w:tcW w:w="6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148590</wp:posOffset>
            </wp:positionV>
            <wp:extent cx="6337300" cy="23939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337300" cy="239395"/>
                    </a:xfrm>
                    <a:prstGeom prst="rect">
                      <a:avLst/>
                    </a:prstGeom>
                    <a:noFill/>
                  </pic:spPr>
                </pic:pic>
              </a:graphicData>
            </a:graphic>
          </wp:anchor>
        </w:drawing>
      </w:r>
    </w:p>
    <w:p>
      <w:pPr>
        <w:spacing w:after="0" w:line="256" w:lineRule="exact"/>
        <w:rPr>
          <w:sz w:val="20"/>
          <w:szCs w:val="20"/>
          <w:color w:val="auto"/>
        </w:rPr>
      </w:pPr>
    </w:p>
    <w:p>
      <w:pPr>
        <w:ind w:left="720"/>
        <w:spacing w:after="0"/>
        <w:rPr>
          <w:sz w:val="20"/>
          <w:szCs w:val="20"/>
          <w:color w:val="auto"/>
        </w:rPr>
      </w:pPr>
      <w:r>
        <w:rPr>
          <w:rFonts w:ascii="Arial" w:cs="Arial" w:eastAsia="Arial" w:hAnsi="Arial"/>
          <w:sz w:val="24"/>
          <w:szCs w:val="24"/>
          <w:b w:val="1"/>
          <w:bCs w:val="1"/>
          <w:color w:val="FFFFFF"/>
        </w:rPr>
        <w:t>Winfield S. Brown</w:t>
      </w:r>
    </w:p>
    <w:p>
      <w:pPr>
        <w:sectPr>
          <w:pgSz w:w="11900" w:h="16838" w:orient="portrait"/>
          <w:cols w:equalWidth="0" w:num="1">
            <w:col w:w="10620"/>
          </w:cols>
          <w:pgMar w:left="320" w:top="470" w:right="959" w:bottom="1440" w:gutter="0" w:footer="0" w:header="0"/>
        </w:sectPr>
      </w:pPr>
    </w:p>
    <w:p>
      <w:pPr>
        <w:spacing w:after="0" w:line="146" w:lineRule="exact"/>
        <w:rPr>
          <w:sz w:val="20"/>
          <w:szCs w:val="20"/>
          <w:color w:val="auto"/>
        </w:rPr>
      </w:pPr>
    </w:p>
    <w:p>
      <w:pPr>
        <w:ind w:left="720" w:right="60"/>
        <w:spacing w:after="0" w:line="243" w:lineRule="auto"/>
        <w:rPr>
          <w:sz w:val="20"/>
          <w:szCs w:val="20"/>
          <w:color w:val="auto"/>
        </w:rPr>
      </w:pPr>
      <w:r>
        <w:rPr>
          <w:rFonts w:ascii="Arial" w:cs="Arial" w:eastAsia="Arial" w:hAnsi="Arial"/>
          <w:sz w:val="17"/>
          <w:szCs w:val="17"/>
          <w:color w:val="auto"/>
        </w:rPr>
        <w:t>Mr. Brown currently serves as the president of St. Mary’s Health System in Lewiston, Maine, and senior vice president of Covenant Health in Andover, Massachusetts. Mr. Brown previously served as the interim chief executive officer of Mt. Ascutney Hospital and Health Center, a non-profit healthcare organization and member of Dartmouth Health from July 2023 until September 2024.</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Mr. Brown formerly served as president and CEO of Heywood Healthcare (“Heywood”), Gardner, Massachusetts, a non-profit healthcare organization, from January 2013 until June 2023, and as president and CEO of Heywood Hospital, Gardner, Massachusetts, from 2011 until 2013. Preceding his roles at Heywood, Mr. Brown served as vice president of administration at Lowell General Hospital in Lowell, Massachusetts, vice president of marketing, planning and development at Northern Berkshire Healthcare in North Adams, Massachusetts, and executive director and vice president of St. Mary’s Foundation – St. Mary’s Health System in Lewiston, Maine. Mr. Brown is a Fellow of the American College of Healthcare Executives. Mr. Brown also served as a board member of the Massachusetts Hospital Association until June 2023, the United Way of North Central Massachusetts until October 2023, a board member and chair of the Boys and Girls Club of Fitchburg and Leominster in Massachusetts until September 2023, and as a board member of Fidelity Cooperative Bank until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598170</wp:posOffset>
            </wp:positionV>
            <wp:extent cx="633730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762635</wp:posOffset>
            </wp:positionV>
            <wp:extent cx="3333750" cy="825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3337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January 2020</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59</w:t>
      </w:r>
    </w:p>
    <w:p>
      <w:pPr>
        <w:spacing w:after="0"/>
        <w:rPr>
          <w:sz w:val="20"/>
          <w:szCs w:val="20"/>
          <w:color w:val="auto"/>
        </w:rPr>
      </w:pPr>
      <w:r>
        <w:rPr>
          <w:rFonts w:ascii="Arial" w:cs="Arial" w:eastAsia="Arial" w:hAnsi="Arial"/>
          <w:sz w:val="17"/>
          <w:szCs w:val="17"/>
          <w:b w:val="1"/>
          <w:bCs w:val="1"/>
          <w:color w:val="auto"/>
        </w:rPr>
        <w:t xml:space="preserve">Class: </w:t>
      </w:r>
      <w:r>
        <w:rPr>
          <w:rFonts w:ascii="Arial" w:cs="Arial" w:eastAsia="Arial" w:hAnsi="Arial"/>
          <w:sz w:val="17"/>
          <w:szCs w:val="17"/>
          <w:color w:val="auto"/>
        </w:rPr>
        <w:t>II</w:t>
      </w:r>
    </w:p>
    <w:p>
      <w:pPr>
        <w:spacing w:after="0"/>
        <w:rPr>
          <w:sz w:val="20"/>
          <w:szCs w:val="20"/>
          <w:color w:val="auto"/>
        </w:rPr>
      </w:pPr>
      <w:r>
        <w:rPr>
          <w:rFonts w:ascii="Arial" w:cs="Arial" w:eastAsia="Arial" w:hAnsi="Arial"/>
          <w:sz w:val="17"/>
          <w:szCs w:val="17"/>
          <w:b w:val="1"/>
          <w:bCs w:val="1"/>
          <w:color w:val="auto"/>
        </w:rPr>
        <w:t xml:space="preserve">Board Committees: </w:t>
      </w:r>
      <w:r>
        <w:rPr>
          <w:rFonts w:ascii="Arial" w:cs="Arial" w:eastAsia="Arial" w:hAnsi="Arial"/>
          <w:sz w:val="17"/>
          <w:szCs w:val="17"/>
          <w:color w:val="auto"/>
        </w:rPr>
        <w:t>Compensation</w:t>
      </w:r>
    </w:p>
    <w:p>
      <w:pPr>
        <w:spacing w:after="0"/>
        <w:rPr>
          <w:sz w:val="20"/>
          <w:szCs w:val="20"/>
          <w:color w:val="auto"/>
        </w:rPr>
      </w:pPr>
      <w:r>
        <w:rPr>
          <w:rFonts w:ascii="Arial" w:cs="Arial" w:eastAsia="Arial" w:hAnsi="Arial"/>
          <w:sz w:val="17"/>
          <w:szCs w:val="17"/>
          <w:color w:val="auto"/>
        </w:rPr>
        <w:t>(chair); Executive, Nominating and</w:t>
      </w:r>
    </w:p>
    <w:p>
      <w:pPr>
        <w:spacing w:after="0"/>
        <w:rPr>
          <w:sz w:val="20"/>
          <w:szCs w:val="20"/>
          <w:color w:val="auto"/>
        </w:rPr>
      </w:pPr>
      <w:r>
        <w:rPr>
          <w:rFonts w:ascii="Arial" w:cs="Arial" w:eastAsia="Arial" w:hAnsi="Arial"/>
          <w:sz w:val="17"/>
          <w:szCs w:val="17"/>
          <w:color w:val="auto"/>
        </w:rPr>
        <w:t>Governance</w:t>
      </w:r>
    </w:p>
    <w:p>
      <w:pPr>
        <w:spacing w:after="0"/>
        <w:rPr>
          <w:sz w:val="20"/>
          <w:szCs w:val="20"/>
          <w:color w:val="auto"/>
        </w:rPr>
      </w:pPr>
      <w:r>
        <w:rPr>
          <w:rFonts w:ascii="Arial" w:cs="Arial" w:eastAsia="Arial" w:hAnsi="Arial"/>
          <w:sz w:val="17"/>
          <w:szCs w:val="17"/>
          <w:b w:val="1"/>
          <w:bCs w:val="1"/>
          <w:color w:val="auto"/>
        </w:rPr>
        <w:t xml:space="preserve">Other Public Company Boards: </w:t>
      </w:r>
      <w:r>
        <w:rPr>
          <w:rFonts w:ascii="Arial" w:cs="Arial" w:eastAsia="Arial" w:hAnsi="Arial"/>
          <w:sz w:val="17"/>
          <w:szCs w:val="17"/>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Individual Skills and Expertise:</w:t>
      </w:r>
    </w:p>
    <w:p>
      <w:pPr>
        <w:spacing w:after="0" w:line="93" w:lineRule="exact"/>
        <w:rPr>
          <w:sz w:val="20"/>
          <w:szCs w:val="20"/>
          <w:color w:val="auto"/>
        </w:rPr>
      </w:pPr>
    </w:p>
    <w:p>
      <w:pPr>
        <w:jc w:val="both"/>
        <w:ind w:left="300" w:right="2280"/>
        <w:spacing w:after="0" w:line="355" w:lineRule="auto"/>
        <w:rPr>
          <w:sz w:val="20"/>
          <w:szCs w:val="20"/>
          <w:color w:val="auto"/>
        </w:rPr>
      </w:pPr>
      <w:r>
        <w:rPr>
          <w:rFonts w:ascii="Arial" w:cs="Arial" w:eastAsia="Arial" w:hAnsi="Arial"/>
          <w:sz w:val="17"/>
          <w:szCs w:val="17"/>
          <w:color w:val="auto"/>
        </w:rPr>
        <w:t>C-Suite Finance</w:t>
      </w:r>
    </w:p>
    <w:p>
      <w:pPr>
        <w:ind w:left="300" w:right="200"/>
        <w:spacing w:after="0" w:line="350" w:lineRule="auto"/>
        <w:rPr>
          <w:sz w:val="20"/>
          <w:szCs w:val="20"/>
          <w:color w:val="auto"/>
        </w:rPr>
      </w:pPr>
      <w:r>
        <w:rPr>
          <w:rFonts w:ascii="Arial" w:cs="Arial" w:eastAsia="Arial" w:hAnsi="Arial"/>
          <w:sz w:val="17"/>
          <w:szCs w:val="17"/>
          <w:color w:val="auto"/>
        </w:rPr>
        <w:t>Labor/Human Capital Management Marketing/Customer Service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Risk Oversight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Strategic Planning</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Demographics: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Male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White/Caucasian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330200</wp:posOffset>
            </wp:positionV>
            <wp:extent cx="291274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420"/>
            <w:col w:w="3200"/>
          </w:cols>
          <w:pgMar w:left="320" w:top="470" w:right="95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10320"/>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620"/>
          </w:cols>
          <w:pgMar w:left="320" w:top="470" w:right="95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23939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337300" cy="239395"/>
                    </a:xfrm>
                    <a:prstGeom prst="rect">
                      <a:avLst/>
                    </a:prstGeom>
                    <a:noFill/>
                  </pic:spPr>
                </pic:pic>
              </a:graphicData>
            </a:graphic>
          </wp:anchor>
        </w:drawing>
      </w:r>
    </w:p>
    <w:p>
      <w:pPr>
        <w:spacing w:after="0" w:line="354" w:lineRule="exact"/>
        <w:rPr>
          <w:sz w:val="20"/>
          <w:szCs w:val="20"/>
          <w:color w:val="auto"/>
        </w:rPr>
      </w:pPr>
    </w:p>
    <w:p>
      <w:pPr>
        <w:ind w:left="720"/>
        <w:spacing w:after="0"/>
        <w:rPr>
          <w:sz w:val="20"/>
          <w:szCs w:val="20"/>
          <w:color w:val="auto"/>
        </w:rPr>
      </w:pPr>
      <w:r>
        <w:rPr>
          <w:rFonts w:ascii="Arial" w:cs="Arial" w:eastAsia="Arial" w:hAnsi="Arial"/>
          <w:sz w:val="24"/>
          <w:szCs w:val="24"/>
          <w:b w:val="1"/>
          <w:bCs w:val="1"/>
          <w:color w:val="FFFFFF"/>
        </w:rPr>
        <w:t>Mark H. Collin</w:t>
      </w:r>
    </w:p>
    <w:p>
      <w:pPr>
        <w:spacing w:after="0" w:line="146" w:lineRule="exact"/>
        <w:rPr>
          <w:sz w:val="20"/>
          <w:szCs w:val="20"/>
          <w:color w:val="auto"/>
        </w:rPr>
      </w:pPr>
    </w:p>
    <w:p>
      <w:pPr>
        <w:ind w:left="720"/>
        <w:spacing w:after="0" w:line="243" w:lineRule="auto"/>
        <w:rPr>
          <w:sz w:val="20"/>
          <w:szCs w:val="20"/>
          <w:color w:val="auto"/>
        </w:rPr>
      </w:pPr>
      <w:r>
        <w:rPr>
          <w:rFonts w:ascii="Arial" w:cs="Arial" w:eastAsia="Arial" w:hAnsi="Arial"/>
          <w:sz w:val="17"/>
          <w:szCs w:val="17"/>
          <w:color w:val="auto"/>
        </w:rPr>
        <w:t>Mr. Collin served as senior vice president of the Company from February 2003 until his retirement from the Company on May 1, 2019. Mr. Collin also served as the Company’s chief financial officer and treasurer from 2003 and 1998, respectively, until March 2019, when he formally stepped down from those executive leadership positions as part of the Company’s long-term succession plan, as well as in connection with his planned retirement in May 2019. Mr. Collin joined Unitil in 1988 and served as the Company’s vice president of finance from 1995 until 2003. Prior to joining Unitil in 1988, Mr. Collin was an economist and utility analyst for the New Hampshire Public Utilities Commission. Mr. Collin also currently serves on the Board of Directors of New Hampshire PBS.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1823720</wp:posOffset>
            </wp:positionV>
            <wp:extent cx="633730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1988185</wp:posOffset>
            </wp:positionV>
            <wp:extent cx="3333750" cy="825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3337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January 2019</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67</w:t>
      </w:r>
    </w:p>
    <w:p>
      <w:pPr>
        <w:spacing w:after="0"/>
        <w:rPr>
          <w:sz w:val="20"/>
          <w:szCs w:val="20"/>
          <w:color w:val="auto"/>
        </w:rPr>
      </w:pPr>
      <w:r>
        <w:rPr>
          <w:rFonts w:ascii="Arial" w:cs="Arial" w:eastAsia="Arial" w:hAnsi="Arial"/>
          <w:sz w:val="17"/>
          <w:szCs w:val="17"/>
          <w:b w:val="1"/>
          <w:bCs w:val="1"/>
          <w:color w:val="auto"/>
        </w:rPr>
        <w:t xml:space="preserve">Class: </w:t>
      </w:r>
      <w:r>
        <w:rPr>
          <w:rFonts w:ascii="Arial" w:cs="Arial" w:eastAsia="Arial" w:hAnsi="Arial"/>
          <w:sz w:val="17"/>
          <w:szCs w:val="17"/>
          <w:color w:val="auto"/>
        </w:rPr>
        <w:t>II</w:t>
      </w:r>
    </w:p>
    <w:p>
      <w:pPr>
        <w:spacing w:after="0"/>
        <w:rPr>
          <w:sz w:val="20"/>
          <w:szCs w:val="20"/>
          <w:color w:val="auto"/>
        </w:rPr>
      </w:pPr>
      <w:r>
        <w:rPr>
          <w:rFonts w:ascii="Arial" w:cs="Arial" w:eastAsia="Arial" w:hAnsi="Arial"/>
          <w:sz w:val="17"/>
          <w:szCs w:val="17"/>
          <w:b w:val="1"/>
          <w:bCs w:val="1"/>
          <w:color w:val="auto"/>
        </w:rPr>
        <w:t xml:space="preserve">Board Committee: </w:t>
      </w:r>
      <w:r>
        <w:rPr>
          <w:rFonts w:ascii="Arial" w:cs="Arial" w:eastAsia="Arial" w:hAnsi="Arial"/>
          <w:sz w:val="17"/>
          <w:szCs w:val="17"/>
          <w:color w:val="auto"/>
        </w:rPr>
        <w:t>Audit</w:t>
      </w:r>
    </w:p>
    <w:p>
      <w:pPr>
        <w:spacing w:after="0"/>
        <w:rPr>
          <w:sz w:val="20"/>
          <w:szCs w:val="20"/>
          <w:color w:val="auto"/>
        </w:rPr>
      </w:pPr>
      <w:r>
        <w:rPr>
          <w:rFonts w:ascii="Arial" w:cs="Arial" w:eastAsia="Arial" w:hAnsi="Arial"/>
          <w:sz w:val="17"/>
          <w:szCs w:val="17"/>
          <w:b w:val="1"/>
          <w:bCs w:val="1"/>
          <w:color w:val="auto"/>
        </w:rPr>
        <w:t xml:space="preserve">Other Public Company Boards: </w:t>
      </w:r>
      <w:r>
        <w:rPr>
          <w:rFonts w:ascii="Arial" w:cs="Arial" w:eastAsia="Arial" w:hAnsi="Arial"/>
          <w:sz w:val="17"/>
          <w:szCs w:val="17"/>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Individual Skills and Expertise:</w:t>
      </w:r>
    </w:p>
    <w:p>
      <w:pPr>
        <w:spacing w:after="0" w:line="93" w:lineRule="exact"/>
        <w:rPr>
          <w:sz w:val="20"/>
          <w:szCs w:val="20"/>
          <w:color w:val="auto"/>
        </w:rPr>
      </w:pPr>
    </w:p>
    <w:p>
      <w:pPr>
        <w:ind w:left="300" w:right="2040"/>
        <w:spacing w:after="0" w:line="355" w:lineRule="auto"/>
        <w:rPr>
          <w:sz w:val="20"/>
          <w:szCs w:val="20"/>
          <w:color w:val="auto"/>
        </w:rPr>
      </w:pPr>
      <w:r>
        <w:rPr>
          <w:rFonts w:ascii="Arial" w:cs="Arial" w:eastAsia="Arial" w:hAnsi="Arial"/>
          <w:sz w:val="17"/>
          <w:szCs w:val="17"/>
          <w:color w:val="auto"/>
        </w:rPr>
        <w:t>Accounting C-Suite</w:t>
      </w:r>
    </w:p>
    <w:p>
      <w:pPr>
        <w:spacing w:after="0"/>
        <w:rPr>
          <w:sz w:val="20"/>
          <w:szCs w:val="20"/>
          <w:color w:val="auto"/>
        </w:rPr>
      </w:pPr>
      <w:r>
        <w:rPr>
          <w:rFonts w:ascii="Arial" w:cs="Arial" w:eastAsia="Arial" w:hAnsi="Arial"/>
          <w:sz w:val="17"/>
          <w:szCs w:val="17"/>
          <w:color w:val="auto"/>
        </w:rPr>
        <w:t>Finance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Governance</w:t>
      </w:r>
    </w:p>
    <w:p>
      <w:pPr>
        <w:spacing w:after="0" w:line="90" w:lineRule="exact"/>
        <w:rPr>
          <w:sz w:val="20"/>
          <w:szCs w:val="20"/>
          <w:color w:val="auto"/>
        </w:rPr>
      </w:pPr>
    </w:p>
    <w:p>
      <w:pPr>
        <w:ind w:left="300" w:right="1520"/>
        <w:spacing w:after="0" w:line="350" w:lineRule="auto"/>
        <w:rPr>
          <w:sz w:val="20"/>
          <w:szCs w:val="20"/>
          <w:color w:val="auto"/>
        </w:rPr>
      </w:pPr>
      <w:r>
        <w:rPr>
          <w:rFonts w:ascii="Arial" w:cs="Arial" w:eastAsia="Arial" w:hAnsi="Arial"/>
          <w:sz w:val="17"/>
          <w:szCs w:val="17"/>
          <w:color w:val="auto"/>
        </w:rPr>
        <w:t>Investor Relations Risk Oversight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Strategic Planning</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Utility Operations/Regulation</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Demographics: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Male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White/Caucasian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330200</wp:posOffset>
            </wp:positionV>
            <wp:extent cx="291274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520"/>
            <w:col w:w="3200"/>
          </w:cols>
          <w:pgMar w:left="320" w:top="470" w:right="95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0320"/>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620"/>
          </w:cols>
          <w:pgMar w:left="320" w:top="470" w:right="95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INFORMATION ABOUT DIRECTORS WITH CONTINUING TERMS OF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69850</wp:posOffset>
            </wp:positionV>
            <wp:extent cx="633730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50" w:lineRule="exact"/>
        <w:rPr>
          <w:sz w:val="20"/>
          <w:szCs w:val="20"/>
          <w:color w:val="auto"/>
        </w:rPr>
      </w:pPr>
    </w:p>
    <w:p>
      <w:pPr>
        <w:ind w:left="640" w:right="360"/>
        <w:spacing w:after="0" w:line="264" w:lineRule="auto"/>
        <w:rPr>
          <w:sz w:val="20"/>
          <w:szCs w:val="20"/>
          <w:color w:val="auto"/>
        </w:rPr>
      </w:pPr>
      <w:r>
        <w:rPr>
          <w:rFonts w:ascii="Arial" w:cs="Arial" w:eastAsia="Arial" w:hAnsi="Arial"/>
          <w:sz w:val="21"/>
          <w:szCs w:val="21"/>
          <w:color w:val="auto"/>
        </w:rPr>
        <w:t>The Directors listed below were elected by shareholders in either 2024 or 2025 for a term three years,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125095</wp:posOffset>
            </wp:positionV>
            <wp:extent cx="6337300" cy="2393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337300" cy="239395"/>
                    </a:xfrm>
                    <a:prstGeom prst="rect">
                      <a:avLst/>
                    </a:prstGeom>
                    <a:noFill/>
                  </pic:spPr>
                </pic:pic>
              </a:graphicData>
            </a:graphic>
          </wp:anchor>
        </w:drawing>
      </w:r>
    </w:p>
    <w:p>
      <w:pPr>
        <w:sectPr>
          <w:pgSz w:w="11900" w:h="16838" w:orient="portrait"/>
          <w:cols w:equalWidth="0" w:num="1">
            <w:col w:w="10620"/>
          </w:cols>
          <w:pgMar w:left="320" w:top="470" w:right="959" w:bottom="1440" w:gutter="0" w:footer="0" w:header="0"/>
        </w:sectPr>
      </w:pPr>
    </w:p>
    <w:p>
      <w:pPr>
        <w:spacing w:after="0" w:line="239" w:lineRule="exact"/>
        <w:rPr>
          <w:sz w:val="20"/>
          <w:szCs w:val="20"/>
          <w:color w:val="auto"/>
        </w:rPr>
      </w:pPr>
    </w:p>
    <w:p>
      <w:pPr>
        <w:ind w:left="720"/>
        <w:spacing w:after="0"/>
        <w:rPr>
          <w:sz w:val="20"/>
          <w:szCs w:val="20"/>
          <w:color w:val="auto"/>
        </w:rPr>
      </w:pPr>
      <w:r>
        <w:rPr>
          <w:rFonts w:ascii="Arial" w:cs="Arial" w:eastAsia="Arial" w:hAnsi="Arial"/>
          <w:sz w:val="24"/>
          <w:szCs w:val="24"/>
          <w:b w:val="1"/>
          <w:bCs w:val="1"/>
          <w:color w:val="FFFFFF"/>
        </w:rPr>
        <w:t>Anne L. Alonzo</w:t>
      </w:r>
    </w:p>
    <w:p>
      <w:pPr>
        <w:spacing w:after="0" w:line="146" w:lineRule="exact"/>
        <w:rPr>
          <w:sz w:val="20"/>
          <w:szCs w:val="20"/>
          <w:color w:val="auto"/>
        </w:rPr>
      </w:pPr>
    </w:p>
    <w:p>
      <w:pPr>
        <w:ind w:left="720"/>
        <w:spacing w:after="0" w:line="241" w:lineRule="auto"/>
        <w:rPr>
          <w:sz w:val="20"/>
          <w:szCs w:val="20"/>
          <w:color w:val="auto"/>
        </w:rPr>
      </w:pPr>
      <w:r>
        <w:rPr>
          <w:rFonts w:ascii="Arial" w:cs="Arial" w:eastAsia="Arial" w:hAnsi="Arial"/>
          <w:sz w:val="17"/>
          <w:szCs w:val="17"/>
          <w:color w:val="auto"/>
        </w:rPr>
        <w:t>Ms. Alonzo has served as Principal of Alonzo Advisory LLC, focused on sustainability, climate change, regenerative agriculture, regulatory, public policy, and other advisory services since November 2021. She also serves on the Board of GRUMA, S.A.B. de C.V., a global tortilla and corn flour producer, headquartered in San Pedro Garza García, Mexico, since April 2025. Ms. Alonzo formerly served as senior vice president, external affairs, and chief sustainability officer of Corteva AgriScience (“Corteva”), a publicly traded agricultural chemical and seed company from March 2020 until her retirement in August 2021. Prior to joining Corteva, Ms. Alonzo was the president and chief executive officer and a member of the Board Executive Committee of the American Egg Board from January 2016 until April 2020. Prior to 2016, Ms. Alonzo served in various senior leadership positions at the U.S. Department of Agriculture, U.S Environmental Protection Agency, and Kraft Foods, Inc. (now Mondelez International, Inc.). Since July 2022, Ms. Alonzo has served as a Board member of Feeding America, the largest charity in the United States. Additionally, Ms. Alonzo is a Fellow at the National Association of Corporate Directors and certified in Climate Leadership by the Diligent Institute. From December 2021 through January 2026, Ms. Alonzo served on the Board, and as a member of the Audit and Nominating Governance Committee(s), at PotlatchDeltic Corporation, a leading timberland real estate investment trust (REIT) company. Ms. Alonzo also served on the Advisory Board of the John L. Weinberg Center for Corporate Governance (a recognized thought leader in the corporate governance field) at the University of Delaware from September 2023 until June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213995</wp:posOffset>
            </wp:positionV>
            <wp:extent cx="633730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379095</wp:posOffset>
            </wp:positionV>
            <wp:extent cx="3333750" cy="825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3337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April 2023</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67</w:t>
      </w:r>
    </w:p>
    <w:p>
      <w:pPr>
        <w:spacing w:after="0"/>
        <w:rPr>
          <w:sz w:val="20"/>
          <w:szCs w:val="20"/>
          <w:color w:val="auto"/>
        </w:rPr>
      </w:pPr>
      <w:r>
        <w:rPr>
          <w:rFonts w:ascii="Arial" w:cs="Arial" w:eastAsia="Arial" w:hAnsi="Arial"/>
          <w:sz w:val="17"/>
          <w:szCs w:val="17"/>
          <w:b w:val="1"/>
          <w:bCs w:val="1"/>
          <w:color w:val="auto"/>
        </w:rPr>
        <w:t xml:space="preserve">Class: </w:t>
      </w:r>
      <w:r>
        <w:rPr>
          <w:rFonts w:ascii="Arial" w:cs="Arial" w:eastAsia="Arial" w:hAnsi="Arial"/>
          <w:sz w:val="17"/>
          <w:szCs w:val="17"/>
          <w:color w:val="auto"/>
        </w:rPr>
        <w:t>I</w:t>
      </w:r>
    </w:p>
    <w:p>
      <w:pPr>
        <w:spacing w:after="0"/>
        <w:rPr>
          <w:sz w:val="20"/>
          <w:szCs w:val="20"/>
          <w:color w:val="auto"/>
        </w:rPr>
      </w:pPr>
      <w:r>
        <w:rPr>
          <w:rFonts w:ascii="Arial" w:cs="Arial" w:eastAsia="Arial" w:hAnsi="Arial"/>
          <w:sz w:val="17"/>
          <w:szCs w:val="17"/>
          <w:b w:val="1"/>
          <w:bCs w:val="1"/>
          <w:color w:val="auto"/>
        </w:rPr>
        <w:t xml:space="preserve">End of Current Term: </w:t>
      </w:r>
      <w:r>
        <w:rPr>
          <w:rFonts w:ascii="Arial" w:cs="Arial" w:eastAsia="Arial" w:hAnsi="Arial"/>
          <w:sz w:val="17"/>
          <w:szCs w:val="17"/>
          <w:color w:val="auto"/>
        </w:rPr>
        <w:t>2028</w:t>
      </w:r>
    </w:p>
    <w:p>
      <w:pPr>
        <w:spacing w:after="0"/>
        <w:rPr>
          <w:sz w:val="20"/>
          <w:szCs w:val="20"/>
          <w:color w:val="auto"/>
        </w:rPr>
      </w:pPr>
      <w:r>
        <w:rPr>
          <w:rFonts w:ascii="Arial" w:cs="Arial" w:eastAsia="Arial" w:hAnsi="Arial"/>
          <w:sz w:val="17"/>
          <w:szCs w:val="17"/>
          <w:b w:val="1"/>
          <w:bCs w:val="1"/>
          <w:color w:val="auto"/>
        </w:rPr>
        <w:t xml:space="preserve">Board Committees: </w:t>
      </w:r>
      <w:r>
        <w:rPr>
          <w:rFonts w:ascii="Arial" w:cs="Arial" w:eastAsia="Arial" w:hAnsi="Arial"/>
          <w:sz w:val="17"/>
          <w:szCs w:val="17"/>
          <w:color w:val="auto"/>
        </w:rPr>
        <w:t>Audit, Compensation</w:t>
      </w:r>
    </w:p>
    <w:p>
      <w:pPr>
        <w:spacing w:after="0"/>
        <w:rPr>
          <w:sz w:val="20"/>
          <w:szCs w:val="20"/>
          <w:color w:val="auto"/>
        </w:rPr>
      </w:pPr>
      <w:r>
        <w:rPr>
          <w:rFonts w:ascii="Arial" w:cs="Arial" w:eastAsia="Arial" w:hAnsi="Arial"/>
          <w:sz w:val="17"/>
          <w:szCs w:val="17"/>
          <w:b w:val="1"/>
          <w:bCs w:val="1"/>
          <w:color w:val="auto"/>
        </w:rPr>
        <w:t xml:space="preserve">Other Public Company Boards: </w:t>
      </w:r>
      <w:r>
        <w:rPr>
          <w:rFonts w:ascii="Arial" w:cs="Arial" w:eastAsia="Arial" w:hAnsi="Arial"/>
          <w:sz w:val="17"/>
          <w:szCs w:val="17"/>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Individual Skills and Expertise: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C-Suite</w:t>
      </w:r>
    </w:p>
    <w:p>
      <w:pPr>
        <w:spacing w:after="0" w:line="97" w:lineRule="exact"/>
        <w:rPr>
          <w:sz w:val="20"/>
          <w:szCs w:val="20"/>
          <w:color w:val="auto"/>
        </w:rPr>
      </w:pPr>
    </w:p>
    <w:p>
      <w:pPr>
        <w:ind w:left="300" w:right="1060"/>
        <w:spacing w:after="0" w:line="350" w:lineRule="auto"/>
        <w:rPr>
          <w:sz w:val="20"/>
          <w:szCs w:val="20"/>
          <w:color w:val="auto"/>
        </w:rPr>
      </w:pPr>
      <w:r>
        <w:rPr>
          <w:rFonts w:ascii="Arial" w:cs="Arial" w:eastAsia="Arial" w:hAnsi="Arial"/>
          <w:sz w:val="17"/>
          <w:szCs w:val="17"/>
          <w:color w:val="auto"/>
        </w:rPr>
        <w:t>Environment/Sustainability Governance</w:t>
      </w:r>
    </w:p>
    <w:p>
      <w:pPr>
        <w:spacing w:after="0" w:line="1" w:lineRule="exact"/>
        <w:rPr>
          <w:sz w:val="20"/>
          <w:szCs w:val="20"/>
          <w:color w:val="auto"/>
        </w:rPr>
      </w:pPr>
    </w:p>
    <w:p>
      <w:pPr>
        <w:ind w:left="300" w:right="660"/>
        <w:spacing w:after="0" w:line="391" w:lineRule="auto"/>
        <w:rPr>
          <w:sz w:val="20"/>
          <w:szCs w:val="20"/>
          <w:color w:val="auto"/>
        </w:rPr>
      </w:pPr>
      <w:r>
        <w:rPr>
          <w:rFonts w:ascii="Arial" w:cs="Arial" w:eastAsia="Arial" w:hAnsi="Arial"/>
          <w:sz w:val="17"/>
          <w:szCs w:val="17"/>
          <w:color w:val="auto"/>
        </w:rPr>
        <w:t>Legal &amp; Public Policy (Attorney) Marketing &amp; Customer Service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Demographics: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Female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Hispanic/Latin 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627380</wp:posOffset>
            </wp:positionV>
            <wp:extent cx="291274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7080" w:space="140"/>
            <w:col w:w="3400"/>
          </w:cols>
          <w:pgMar w:left="320" w:top="470"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320"/>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620"/>
          </w:cols>
          <w:pgMar w:left="320" w:top="470" w:right="95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23939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337300" cy="239395"/>
                    </a:xfrm>
                    <a:prstGeom prst="rect">
                      <a:avLst/>
                    </a:prstGeom>
                    <a:noFill/>
                  </pic:spPr>
                </pic:pic>
              </a:graphicData>
            </a:graphic>
          </wp:anchor>
        </w:drawing>
      </w:r>
    </w:p>
    <w:p>
      <w:pPr>
        <w:spacing w:after="0" w:line="354" w:lineRule="exact"/>
        <w:rPr>
          <w:sz w:val="20"/>
          <w:szCs w:val="20"/>
          <w:color w:val="auto"/>
        </w:rPr>
      </w:pPr>
    </w:p>
    <w:p>
      <w:pPr>
        <w:ind w:left="720"/>
        <w:spacing w:after="0"/>
        <w:rPr>
          <w:sz w:val="20"/>
          <w:szCs w:val="20"/>
          <w:color w:val="auto"/>
        </w:rPr>
      </w:pPr>
      <w:r>
        <w:rPr>
          <w:rFonts w:ascii="Arial" w:cs="Arial" w:eastAsia="Arial" w:hAnsi="Arial"/>
          <w:sz w:val="24"/>
          <w:szCs w:val="24"/>
          <w:b w:val="1"/>
          <w:bCs w:val="1"/>
          <w:color w:val="FFFFFF"/>
        </w:rPr>
        <w:t>Suzanne Foster</w:t>
      </w:r>
    </w:p>
    <w:p>
      <w:pPr>
        <w:spacing w:after="0" w:line="146" w:lineRule="exact"/>
        <w:rPr>
          <w:sz w:val="20"/>
          <w:szCs w:val="20"/>
          <w:color w:val="auto"/>
        </w:rPr>
      </w:pPr>
    </w:p>
    <w:p>
      <w:pPr>
        <w:ind w:left="720"/>
        <w:spacing w:after="0" w:line="241" w:lineRule="auto"/>
        <w:rPr>
          <w:sz w:val="20"/>
          <w:szCs w:val="20"/>
          <w:color w:val="auto"/>
        </w:rPr>
      </w:pPr>
      <w:r>
        <w:rPr>
          <w:rFonts w:ascii="Arial" w:cs="Arial" w:eastAsia="Arial" w:hAnsi="Arial"/>
          <w:sz w:val="17"/>
          <w:szCs w:val="17"/>
          <w:color w:val="auto"/>
        </w:rPr>
        <w:t>Ms. Foster has been the chief executive officer and a member of the board of directors of AdaptHealth Corp. (“AdaptHealth”), a national leading provider of patient-centered, healthcare-at-home solutions including home medical equipment, medical supplies, and related services, Plymouth Meeting, Pennsylvania, since May 2024. Prior to AdaptHealth, Ms. Foster served as president of Beckman Coulter Life Sciences for Danaher Corporation, a global science and technology innovation company, Washington, DC, from April 2022 until May 2024. Ms. Foster also served as president of At Home Solutions for Cardinal Health, Dublin, Ohio, a global, integrated healthcare services and products company, from January 2020 until April 2022, as president of Stanley Healthcare, Waltham, Massachusetts, a healthcare technology operating division of Stanley Black &amp; Decker, from April 2018 until January 2020, and as a general manager of Medtronic Advanced Energy (“Medtronic”), a medical device company, from August 2011 until March 2018. Ms. Foster formerly served as vice president of Global Business Operations at Salient Surgical Technologies, a medical device company later acquired by Medtronic. She was also formerly employed as an attorney at the law firms of Holland &amp; Knight and Wiggin &amp; Nourie, and served as vice president of Legal &amp; Compliance for the Elliot Health System. In 2017, Ms. Foster was appointed to the University System of New Hampshire Board of Trustees by then New Hampshire Governor Chris Sununu. She also currently serves as a board member of Perimeter Medical Imaging AI, Inc. a medical technology company based in Toronto, Canada, since 2018, and on multiple boards of private medical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651510</wp:posOffset>
            </wp:positionV>
            <wp:extent cx="633730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808355</wp:posOffset>
            </wp:positionV>
            <wp:extent cx="6337300" cy="23939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337300" cy="239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January 2019</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56</w:t>
      </w:r>
    </w:p>
    <w:p>
      <w:pPr>
        <w:spacing w:after="0"/>
        <w:rPr>
          <w:sz w:val="20"/>
          <w:szCs w:val="20"/>
          <w:color w:val="auto"/>
        </w:rPr>
      </w:pPr>
      <w:r>
        <w:rPr>
          <w:rFonts w:ascii="Arial" w:cs="Arial" w:eastAsia="Arial" w:hAnsi="Arial"/>
          <w:sz w:val="17"/>
          <w:szCs w:val="17"/>
          <w:b w:val="1"/>
          <w:bCs w:val="1"/>
          <w:color w:val="auto"/>
        </w:rPr>
        <w:t xml:space="preserve">End of Current Term: </w:t>
      </w:r>
      <w:r>
        <w:rPr>
          <w:rFonts w:ascii="Arial" w:cs="Arial" w:eastAsia="Arial" w:hAnsi="Arial"/>
          <w:sz w:val="17"/>
          <w:szCs w:val="17"/>
          <w:color w:val="auto"/>
        </w:rPr>
        <w:t>2027</w:t>
      </w:r>
    </w:p>
    <w:p>
      <w:pPr>
        <w:spacing w:after="0"/>
        <w:rPr>
          <w:sz w:val="20"/>
          <w:szCs w:val="20"/>
          <w:color w:val="auto"/>
        </w:rPr>
      </w:pPr>
      <w:r>
        <w:rPr>
          <w:rFonts w:ascii="Arial" w:cs="Arial" w:eastAsia="Arial" w:hAnsi="Arial"/>
          <w:sz w:val="17"/>
          <w:szCs w:val="17"/>
          <w:b w:val="1"/>
          <w:bCs w:val="1"/>
          <w:color w:val="auto"/>
        </w:rPr>
        <w:t xml:space="preserve">Class: </w:t>
      </w:r>
      <w:r>
        <w:rPr>
          <w:rFonts w:ascii="Arial" w:cs="Arial" w:eastAsia="Arial" w:hAnsi="Arial"/>
          <w:sz w:val="17"/>
          <w:szCs w:val="17"/>
          <w:color w:val="auto"/>
        </w:rPr>
        <w:t>III</w:t>
      </w:r>
    </w:p>
    <w:p>
      <w:pPr>
        <w:spacing w:after="0"/>
        <w:rPr>
          <w:sz w:val="20"/>
          <w:szCs w:val="20"/>
          <w:color w:val="auto"/>
        </w:rPr>
      </w:pPr>
      <w:r>
        <w:rPr>
          <w:rFonts w:ascii="Arial" w:cs="Arial" w:eastAsia="Arial" w:hAnsi="Arial"/>
          <w:sz w:val="17"/>
          <w:szCs w:val="17"/>
          <w:b w:val="1"/>
          <w:bCs w:val="1"/>
          <w:color w:val="auto"/>
        </w:rPr>
        <w:t xml:space="preserve">Board Committee: </w:t>
      </w:r>
      <w:r>
        <w:rPr>
          <w:rFonts w:ascii="Arial" w:cs="Arial" w:eastAsia="Arial" w:hAnsi="Arial"/>
          <w:sz w:val="17"/>
          <w:szCs w:val="17"/>
          <w:color w:val="auto"/>
        </w:rPr>
        <w:t>Nominating and</w:t>
      </w:r>
    </w:p>
    <w:p>
      <w:pPr>
        <w:spacing w:after="0"/>
        <w:rPr>
          <w:sz w:val="20"/>
          <w:szCs w:val="20"/>
          <w:color w:val="auto"/>
        </w:rPr>
      </w:pPr>
      <w:r>
        <w:rPr>
          <w:rFonts w:ascii="Arial" w:cs="Arial" w:eastAsia="Arial" w:hAnsi="Arial"/>
          <w:sz w:val="17"/>
          <w:szCs w:val="17"/>
          <w:color w:val="auto"/>
        </w:rPr>
        <w:t>Governance</w:t>
      </w:r>
    </w:p>
    <w:p>
      <w:pPr>
        <w:spacing w:after="0"/>
        <w:rPr>
          <w:sz w:val="20"/>
          <w:szCs w:val="20"/>
          <w:color w:val="auto"/>
        </w:rPr>
      </w:pPr>
      <w:r>
        <w:rPr>
          <w:rFonts w:ascii="Arial" w:cs="Arial" w:eastAsia="Arial" w:hAnsi="Arial"/>
          <w:sz w:val="17"/>
          <w:szCs w:val="17"/>
          <w:b w:val="1"/>
          <w:bCs w:val="1"/>
          <w:color w:val="auto"/>
        </w:rPr>
        <w:t>Other Public Company Boards:</w:t>
      </w:r>
    </w:p>
    <w:p>
      <w:pPr>
        <w:ind w:right="500"/>
        <w:spacing w:after="0" w:line="260" w:lineRule="auto"/>
        <w:rPr>
          <w:sz w:val="20"/>
          <w:szCs w:val="20"/>
          <w:color w:val="auto"/>
        </w:rPr>
      </w:pPr>
      <w:r>
        <w:rPr>
          <w:rFonts w:ascii="Arial" w:cs="Arial" w:eastAsia="Arial" w:hAnsi="Arial"/>
          <w:sz w:val="17"/>
          <w:szCs w:val="17"/>
          <w:color w:val="auto"/>
        </w:rPr>
        <w:t>Perimeter Medical Imaging AI, Inc.; AdaptHealth Corp.</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Individual Skills and Expertise: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C-Suite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Governance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90" w:lineRule="exact"/>
        <w:rPr>
          <w:sz w:val="20"/>
          <w:szCs w:val="20"/>
          <w:color w:val="auto"/>
        </w:rPr>
      </w:pPr>
    </w:p>
    <w:p>
      <w:pPr>
        <w:ind w:left="300" w:right="200"/>
        <w:spacing w:after="0" w:line="350" w:lineRule="auto"/>
        <w:rPr>
          <w:sz w:val="20"/>
          <w:szCs w:val="20"/>
          <w:color w:val="auto"/>
        </w:rPr>
      </w:pPr>
      <w:r>
        <w:rPr>
          <w:rFonts w:ascii="Arial" w:cs="Arial" w:eastAsia="Arial" w:hAnsi="Arial"/>
          <w:sz w:val="17"/>
          <w:szCs w:val="17"/>
          <w:color w:val="auto"/>
        </w:rPr>
        <w:t>Labor/Human Capital Management Marketing/Customer Service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Risk Oversight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Strategic Planning</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Demographics: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Female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White/Caucasian</w:t>
      </w:r>
    </w:p>
    <w:p>
      <w:pPr>
        <w:spacing w:after="0" w:line="200" w:lineRule="exact"/>
        <w:rPr>
          <w:sz w:val="20"/>
          <w:szCs w:val="20"/>
          <w:color w:val="auto"/>
        </w:rPr>
      </w:pPr>
    </w:p>
    <w:p>
      <w:pPr>
        <w:sectPr>
          <w:pgSz w:w="11900" w:h="16838" w:orient="portrait"/>
          <w:cols w:equalWidth="0" w:num="2">
            <w:col w:w="7020" w:space="400"/>
            <w:col w:w="3200"/>
          </w:cols>
          <w:pgMar w:left="320" w:top="470" w:right="959" w:bottom="1440" w:gutter="0" w:footer="0" w:header="0"/>
        </w:sectPr>
      </w:pPr>
    </w:p>
    <w:p>
      <w:pPr>
        <w:spacing w:after="0" w:line="259" w:lineRule="exact"/>
        <w:rPr>
          <w:sz w:val="20"/>
          <w:szCs w:val="20"/>
          <w:color w:val="auto"/>
        </w:rPr>
      </w:pPr>
    </w:p>
    <w:p>
      <w:pPr>
        <w:ind w:left="720"/>
        <w:spacing w:after="0"/>
        <w:rPr>
          <w:sz w:val="20"/>
          <w:szCs w:val="20"/>
          <w:color w:val="auto"/>
        </w:rPr>
      </w:pPr>
      <w:r>
        <w:rPr>
          <w:rFonts w:ascii="Arial" w:cs="Arial" w:eastAsia="Arial" w:hAnsi="Arial"/>
          <w:sz w:val="24"/>
          <w:szCs w:val="24"/>
          <w:b w:val="1"/>
          <w:bCs w:val="1"/>
          <w:color w:val="FFFFFF"/>
        </w:rPr>
        <w:t>Katherine Kountze</w:t>
      </w:r>
    </w:p>
    <w:p>
      <w:pPr>
        <w:spacing w:after="0" w:line="146" w:lineRule="exact"/>
        <w:rPr>
          <w:sz w:val="20"/>
          <w:szCs w:val="20"/>
          <w:color w:val="auto"/>
        </w:rPr>
      </w:pPr>
    </w:p>
    <w:p>
      <w:pPr>
        <w:ind w:left="720"/>
        <w:spacing w:after="0" w:line="245" w:lineRule="auto"/>
        <w:rPr>
          <w:sz w:val="20"/>
          <w:szCs w:val="20"/>
          <w:color w:val="auto"/>
        </w:rPr>
      </w:pPr>
      <w:r>
        <w:rPr>
          <w:rFonts w:ascii="Arial" w:cs="Arial" w:eastAsia="Arial" w:hAnsi="Arial"/>
          <w:sz w:val="17"/>
          <w:szCs w:val="17"/>
          <w:color w:val="auto"/>
        </w:rPr>
        <w:t>Ms. Kountze has been the chief information officer of Bose Corporation (“Bose”), a consumer retail company that develops sound solutions for entertainment, home audio, aviation, and automotive industries since April 2022. Prior to Bose,</w:t>
      </w:r>
    </w:p>
    <w:p>
      <w:pPr>
        <w:spacing w:after="0" w:line="2" w:lineRule="exact"/>
        <w:rPr>
          <w:sz w:val="20"/>
          <w:szCs w:val="20"/>
          <w:color w:val="auto"/>
        </w:rPr>
      </w:pPr>
    </w:p>
    <w:p>
      <w:pPr>
        <w:ind w:left="720" w:right="20"/>
        <w:spacing w:after="0"/>
        <w:rPr>
          <w:sz w:val="20"/>
          <w:szCs w:val="20"/>
          <w:color w:val="auto"/>
        </w:rPr>
      </w:pPr>
      <w:r>
        <w:rPr>
          <w:rFonts w:ascii="Arial" w:cs="Arial" w:eastAsia="Arial" w:hAnsi="Arial"/>
          <w:sz w:val="17"/>
          <w:szCs w:val="17"/>
          <w:color w:val="auto"/>
        </w:rPr>
        <w:t>Ms. Kountze served as the executive vice president and chief information officer of DentaQuest, a provider of dental and vision benefits administration, from February 2021 until March 2022. Prior to DentaQuest, Ms. Kountze served as the senior vice president and chief information officer at Eversource Energy, a provider of electric and natural gas service to customers in Connecticut, Massachusetts, and New Hampshire from 2010 until January 2022. Prior to Eversource, Ms. Kountze served for nine years in various senior information technology roles at The United Illuminating Company, an electric utility company in Connecticut (now a subsidiary of Avangrid, Inc.), and served as vice president and chief information officer from 2008 until 2010. Ms. Kountze currently serves on the board of directors and audit committee of Bombardier Recreation Products, Inc., a global provider of snowmobiles, all-terrain vehicles, motorcycles, and personal watercraft, based in Quebec, Canada. Ms. Kountze formerly served on the board of The Children’s Place from 2021 until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1290955</wp:posOffset>
            </wp:positionV>
            <wp:extent cx="633730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1456055</wp:posOffset>
            </wp:positionV>
            <wp:extent cx="3333750" cy="825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333750" cy="82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2025</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63</w:t>
      </w:r>
    </w:p>
    <w:p>
      <w:pPr>
        <w:spacing w:after="0"/>
        <w:rPr>
          <w:sz w:val="20"/>
          <w:szCs w:val="20"/>
          <w:color w:val="auto"/>
        </w:rPr>
      </w:pPr>
      <w:r>
        <w:rPr>
          <w:rFonts w:ascii="Arial" w:cs="Arial" w:eastAsia="Arial" w:hAnsi="Arial"/>
          <w:sz w:val="17"/>
          <w:szCs w:val="17"/>
          <w:b w:val="1"/>
          <w:bCs w:val="1"/>
          <w:color w:val="auto"/>
        </w:rPr>
        <w:t xml:space="preserve">Class: </w:t>
      </w:r>
      <w:r>
        <w:rPr>
          <w:rFonts w:ascii="Arial" w:cs="Arial" w:eastAsia="Arial" w:hAnsi="Arial"/>
          <w:sz w:val="17"/>
          <w:szCs w:val="17"/>
          <w:color w:val="auto"/>
        </w:rPr>
        <w:t>I</w:t>
      </w:r>
    </w:p>
    <w:p>
      <w:pPr>
        <w:spacing w:after="0"/>
        <w:rPr>
          <w:sz w:val="20"/>
          <w:szCs w:val="20"/>
          <w:color w:val="auto"/>
        </w:rPr>
      </w:pPr>
      <w:r>
        <w:rPr>
          <w:rFonts w:ascii="Arial" w:cs="Arial" w:eastAsia="Arial" w:hAnsi="Arial"/>
          <w:sz w:val="17"/>
          <w:szCs w:val="17"/>
          <w:b w:val="1"/>
          <w:bCs w:val="1"/>
          <w:color w:val="auto"/>
        </w:rPr>
        <w:t xml:space="preserve">End of Current Term: </w:t>
      </w:r>
      <w:r>
        <w:rPr>
          <w:rFonts w:ascii="Arial" w:cs="Arial" w:eastAsia="Arial" w:hAnsi="Arial"/>
          <w:sz w:val="17"/>
          <w:szCs w:val="17"/>
          <w:color w:val="auto"/>
        </w:rPr>
        <w:t>2028</w:t>
      </w:r>
    </w:p>
    <w:p>
      <w:pPr>
        <w:spacing w:after="0"/>
        <w:rPr>
          <w:sz w:val="20"/>
          <w:szCs w:val="20"/>
          <w:color w:val="auto"/>
        </w:rPr>
      </w:pPr>
      <w:r>
        <w:rPr>
          <w:rFonts w:ascii="Arial" w:cs="Arial" w:eastAsia="Arial" w:hAnsi="Arial"/>
          <w:sz w:val="17"/>
          <w:szCs w:val="17"/>
          <w:b w:val="1"/>
          <w:bCs w:val="1"/>
          <w:color w:val="auto"/>
        </w:rPr>
        <w:t xml:space="preserve">Board Committees: </w:t>
      </w:r>
      <w:r>
        <w:rPr>
          <w:rFonts w:ascii="Arial" w:cs="Arial" w:eastAsia="Arial" w:hAnsi="Arial"/>
          <w:sz w:val="17"/>
          <w:szCs w:val="17"/>
          <w:color w:val="auto"/>
        </w:rPr>
        <w:t>Audit</w:t>
      </w:r>
    </w:p>
    <w:p>
      <w:pPr>
        <w:spacing w:after="0"/>
        <w:rPr>
          <w:sz w:val="20"/>
          <w:szCs w:val="20"/>
          <w:color w:val="auto"/>
        </w:rPr>
      </w:pPr>
      <w:r>
        <w:rPr>
          <w:rFonts w:ascii="Arial" w:cs="Arial" w:eastAsia="Arial" w:hAnsi="Arial"/>
          <w:sz w:val="17"/>
          <w:szCs w:val="17"/>
          <w:b w:val="1"/>
          <w:bCs w:val="1"/>
          <w:color w:val="auto"/>
        </w:rPr>
        <w:t>Other Public Company Boards:</w:t>
      </w:r>
    </w:p>
    <w:p>
      <w:pPr>
        <w:spacing w:after="0"/>
        <w:rPr>
          <w:sz w:val="20"/>
          <w:szCs w:val="20"/>
          <w:color w:val="auto"/>
        </w:rPr>
      </w:pPr>
      <w:r>
        <w:rPr>
          <w:rFonts w:ascii="Arial" w:cs="Arial" w:eastAsia="Arial" w:hAnsi="Arial"/>
          <w:sz w:val="17"/>
          <w:szCs w:val="17"/>
          <w:color w:val="auto"/>
        </w:rPr>
        <w:t>Bombardier Recreation Products Inc.</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Individual Skills and Expertise:</w:t>
      </w:r>
    </w:p>
    <w:p>
      <w:pPr>
        <w:spacing w:after="0" w:line="93" w:lineRule="exact"/>
        <w:rPr>
          <w:sz w:val="20"/>
          <w:szCs w:val="20"/>
          <w:color w:val="auto"/>
        </w:rPr>
      </w:pPr>
    </w:p>
    <w:p>
      <w:pPr>
        <w:ind w:left="300" w:right="2040"/>
        <w:spacing w:after="0" w:line="355" w:lineRule="auto"/>
        <w:rPr>
          <w:sz w:val="20"/>
          <w:szCs w:val="20"/>
          <w:color w:val="auto"/>
        </w:rPr>
      </w:pPr>
      <w:r>
        <w:rPr>
          <w:rFonts w:ascii="Arial" w:cs="Arial" w:eastAsia="Arial" w:hAnsi="Arial"/>
          <w:sz w:val="17"/>
          <w:szCs w:val="17"/>
          <w:color w:val="auto"/>
        </w:rPr>
        <w:t>Accounting C-Suite</w:t>
      </w:r>
    </w:p>
    <w:p>
      <w:pPr>
        <w:ind w:left="300" w:right="920"/>
        <w:spacing w:after="0" w:line="263" w:lineRule="auto"/>
        <w:rPr>
          <w:sz w:val="20"/>
          <w:szCs w:val="20"/>
          <w:color w:val="auto"/>
        </w:rPr>
      </w:pPr>
      <w:r>
        <w:rPr>
          <w:rFonts w:ascii="Arial" w:cs="Arial" w:eastAsia="Arial" w:hAnsi="Arial"/>
          <w:sz w:val="17"/>
          <w:szCs w:val="17"/>
          <w:color w:val="auto"/>
        </w:rPr>
        <w:t>Information Technology/Cybersecurity</w:t>
      </w:r>
    </w:p>
    <w:p>
      <w:pPr>
        <w:spacing w:after="0"/>
        <w:rPr>
          <w:sz w:val="20"/>
          <w:szCs w:val="20"/>
          <w:color w:val="auto"/>
        </w:rPr>
      </w:pPr>
      <w:r>
        <w:rPr>
          <w:rFonts w:ascii="Arial" w:cs="Arial" w:eastAsia="Arial" w:hAnsi="Arial"/>
          <w:sz w:val="17"/>
          <w:szCs w:val="17"/>
          <w:color w:val="auto"/>
        </w:rPr>
        <w:t>Finance</w:t>
      </w:r>
    </w:p>
    <w:p>
      <w:pPr>
        <w:spacing w:after="0" w:line="77" w:lineRule="exact"/>
        <w:rPr>
          <w:sz w:val="20"/>
          <w:szCs w:val="20"/>
          <w:color w:val="auto"/>
        </w:rPr>
      </w:pPr>
    </w:p>
    <w:p>
      <w:pPr>
        <w:ind w:left="300" w:right="1780"/>
        <w:spacing w:after="0" w:line="350" w:lineRule="auto"/>
        <w:rPr>
          <w:sz w:val="20"/>
          <w:szCs w:val="20"/>
          <w:color w:val="auto"/>
        </w:rPr>
      </w:pPr>
      <w:r>
        <w:rPr>
          <w:rFonts w:ascii="Arial" w:cs="Arial" w:eastAsia="Arial" w:hAnsi="Arial"/>
          <w:sz w:val="17"/>
          <w:szCs w:val="17"/>
          <w:color w:val="auto"/>
        </w:rPr>
        <w:t>Governance Risk Oversight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Strategic Planning</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Utility Operations/Regulation</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Demographics: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Female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Black/African 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330200</wp:posOffset>
            </wp:positionV>
            <wp:extent cx="291274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400"/>
            <w:col w:w="3200"/>
          </w:cols>
          <w:pgMar w:left="320" w:top="470" w:right="95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10320"/>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620"/>
          </w:cols>
          <w:pgMar w:left="320" w:top="470" w:right="95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23939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337300" cy="239395"/>
                    </a:xfrm>
                    <a:prstGeom prst="rect">
                      <a:avLst/>
                    </a:prstGeom>
                    <a:noFill/>
                  </pic:spPr>
                </pic:pic>
              </a:graphicData>
            </a:graphic>
          </wp:anchor>
        </w:drawing>
      </w:r>
    </w:p>
    <w:p>
      <w:pPr>
        <w:spacing w:after="0" w:line="354" w:lineRule="exact"/>
        <w:rPr>
          <w:sz w:val="20"/>
          <w:szCs w:val="20"/>
          <w:color w:val="auto"/>
        </w:rPr>
      </w:pPr>
    </w:p>
    <w:p>
      <w:pPr>
        <w:ind w:left="720"/>
        <w:spacing w:after="0"/>
        <w:rPr>
          <w:sz w:val="20"/>
          <w:szCs w:val="20"/>
          <w:color w:val="auto"/>
        </w:rPr>
      </w:pPr>
      <w:r>
        <w:rPr>
          <w:rFonts w:ascii="Arial" w:cs="Arial" w:eastAsia="Arial" w:hAnsi="Arial"/>
          <w:sz w:val="24"/>
          <w:szCs w:val="24"/>
          <w:b w:val="1"/>
          <w:bCs w:val="1"/>
          <w:color w:val="FFFFFF"/>
        </w:rPr>
        <w:t>Jane Lewis-Raymond</w:t>
      </w:r>
    </w:p>
    <w:p>
      <w:pPr>
        <w:spacing w:after="0" w:line="146" w:lineRule="exact"/>
        <w:rPr>
          <w:sz w:val="20"/>
          <w:szCs w:val="20"/>
          <w:color w:val="auto"/>
        </w:rPr>
      </w:pPr>
    </w:p>
    <w:p>
      <w:pPr>
        <w:ind w:left="720"/>
        <w:spacing w:after="0" w:line="242" w:lineRule="auto"/>
        <w:rPr>
          <w:sz w:val="20"/>
          <w:szCs w:val="20"/>
          <w:color w:val="auto"/>
        </w:rPr>
      </w:pPr>
      <w:r>
        <w:rPr>
          <w:rFonts w:ascii="Arial" w:cs="Arial" w:eastAsia="Arial" w:hAnsi="Arial"/>
          <w:sz w:val="17"/>
          <w:szCs w:val="17"/>
          <w:color w:val="auto"/>
        </w:rPr>
        <w:t>Ms. Lewis-Raymond is the principal of Hilltop Strategies (“Hilltop”) providing strategic consulting services to senior executives in a variety of industries since July 2019. At Hilltop, she brings vast experience as a natural gas utility executive, including deep knowledge of corporate governance, community relations, cybersecurity oversight, as well as data privacy, safety, and corporate ESG programs. Prior to Hilltop, Ms. Lewis-Raymond was a partner in the corporate and energy groups at the firm of Parker Poe Adams and Bernstein (“Parker Poe”) from March 2017 until July 2019. Prior to Parker Poe, she served as senior vice president and chief legal, compliance, and external relations officer at Piedmont Natural Gas Company, Inc. (“Piedmont”) from 2006 to 2016, which is now a wholly owned subsidiary of Duke Energy. Prior to Piedmont, she held the position of vice president of regulatory affairs at the American Gas Association from 2004 to 2006, having joined the association in 1996. Ms. Lewis-Raymond also currently serves on the Board of 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1938655</wp:posOffset>
            </wp:positionV>
            <wp:extent cx="633730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2095500</wp:posOffset>
            </wp:positionV>
            <wp:extent cx="6337300" cy="23939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337300" cy="239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October 2024</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59</w:t>
      </w:r>
    </w:p>
    <w:p>
      <w:pPr>
        <w:spacing w:after="0"/>
        <w:rPr>
          <w:sz w:val="20"/>
          <w:szCs w:val="20"/>
          <w:color w:val="auto"/>
        </w:rPr>
      </w:pPr>
      <w:r>
        <w:rPr>
          <w:rFonts w:ascii="Arial" w:cs="Arial" w:eastAsia="Arial" w:hAnsi="Arial"/>
          <w:sz w:val="17"/>
          <w:szCs w:val="17"/>
          <w:b w:val="1"/>
          <w:bCs w:val="1"/>
          <w:color w:val="auto"/>
        </w:rPr>
        <w:t xml:space="preserve">Class: </w:t>
      </w:r>
      <w:r>
        <w:rPr>
          <w:rFonts w:ascii="Arial" w:cs="Arial" w:eastAsia="Arial" w:hAnsi="Arial"/>
          <w:sz w:val="17"/>
          <w:szCs w:val="17"/>
          <w:color w:val="auto"/>
        </w:rPr>
        <w:t>I</w:t>
      </w:r>
    </w:p>
    <w:p>
      <w:pPr>
        <w:spacing w:after="0"/>
        <w:rPr>
          <w:sz w:val="20"/>
          <w:szCs w:val="20"/>
          <w:color w:val="auto"/>
        </w:rPr>
      </w:pPr>
      <w:r>
        <w:rPr>
          <w:rFonts w:ascii="Arial" w:cs="Arial" w:eastAsia="Arial" w:hAnsi="Arial"/>
          <w:sz w:val="17"/>
          <w:szCs w:val="17"/>
          <w:b w:val="1"/>
          <w:bCs w:val="1"/>
          <w:color w:val="auto"/>
        </w:rPr>
        <w:t xml:space="preserve">End of Current Term: </w:t>
      </w:r>
      <w:r>
        <w:rPr>
          <w:rFonts w:ascii="Arial" w:cs="Arial" w:eastAsia="Arial" w:hAnsi="Arial"/>
          <w:sz w:val="17"/>
          <w:szCs w:val="17"/>
          <w:color w:val="auto"/>
        </w:rPr>
        <w:t>2028</w:t>
      </w:r>
    </w:p>
    <w:p>
      <w:pPr>
        <w:spacing w:after="0"/>
        <w:rPr>
          <w:sz w:val="20"/>
          <w:szCs w:val="20"/>
          <w:color w:val="auto"/>
        </w:rPr>
      </w:pPr>
      <w:r>
        <w:rPr>
          <w:rFonts w:ascii="Arial" w:cs="Arial" w:eastAsia="Arial" w:hAnsi="Arial"/>
          <w:sz w:val="17"/>
          <w:szCs w:val="17"/>
          <w:b w:val="1"/>
          <w:bCs w:val="1"/>
          <w:color w:val="auto"/>
        </w:rPr>
        <w:t xml:space="preserve">Board Committee: </w:t>
      </w:r>
      <w:r>
        <w:rPr>
          <w:rFonts w:ascii="Arial" w:cs="Arial" w:eastAsia="Arial" w:hAnsi="Arial"/>
          <w:sz w:val="17"/>
          <w:szCs w:val="17"/>
          <w:color w:val="auto"/>
        </w:rPr>
        <w:t>Compensation</w:t>
      </w:r>
    </w:p>
    <w:p>
      <w:pPr>
        <w:spacing w:after="0"/>
        <w:rPr>
          <w:sz w:val="20"/>
          <w:szCs w:val="20"/>
          <w:color w:val="auto"/>
        </w:rPr>
      </w:pPr>
      <w:r>
        <w:rPr>
          <w:rFonts w:ascii="Arial" w:cs="Arial" w:eastAsia="Arial" w:hAnsi="Arial"/>
          <w:sz w:val="17"/>
          <w:szCs w:val="17"/>
          <w:b w:val="1"/>
          <w:bCs w:val="1"/>
          <w:color w:val="auto"/>
        </w:rPr>
        <w:t>Other Public Company Boards:</w:t>
      </w:r>
    </w:p>
    <w:p>
      <w:pPr>
        <w:spacing w:after="0"/>
        <w:rPr>
          <w:sz w:val="20"/>
          <w:szCs w:val="20"/>
          <w:color w:val="auto"/>
        </w:rPr>
      </w:pPr>
      <w:r>
        <w:rPr>
          <w:rFonts w:ascii="Arial" w:cs="Arial" w:eastAsia="Arial" w:hAnsi="Arial"/>
          <w:sz w:val="17"/>
          <w:szCs w:val="17"/>
          <w:color w:val="auto"/>
        </w:rPr>
        <w:t>Southwest Gas Holdings, Inc.</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Individual Skills and Expertise: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C-Suite</w:t>
      </w:r>
    </w:p>
    <w:p>
      <w:pPr>
        <w:spacing w:after="0" w:line="97" w:lineRule="exact"/>
        <w:rPr>
          <w:sz w:val="20"/>
          <w:szCs w:val="20"/>
          <w:color w:val="auto"/>
        </w:rPr>
      </w:pPr>
    </w:p>
    <w:p>
      <w:pPr>
        <w:ind w:left="300" w:right="1060"/>
        <w:spacing w:after="0" w:line="350" w:lineRule="auto"/>
        <w:rPr>
          <w:sz w:val="20"/>
          <w:szCs w:val="20"/>
          <w:color w:val="auto"/>
        </w:rPr>
      </w:pPr>
      <w:r>
        <w:rPr>
          <w:rFonts w:ascii="Arial" w:cs="Arial" w:eastAsia="Arial" w:hAnsi="Arial"/>
          <w:sz w:val="17"/>
          <w:szCs w:val="17"/>
          <w:color w:val="auto"/>
        </w:rPr>
        <w:t>Environment/Sustainability Governance</w:t>
      </w:r>
    </w:p>
    <w:p>
      <w:pPr>
        <w:spacing w:after="0" w:line="1" w:lineRule="exact"/>
        <w:rPr>
          <w:sz w:val="20"/>
          <w:szCs w:val="20"/>
          <w:color w:val="auto"/>
        </w:rPr>
      </w:pPr>
    </w:p>
    <w:p>
      <w:pPr>
        <w:ind w:left="300" w:right="200"/>
        <w:spacing w:after="0" w:line="350" w:lineRule="auto"/>
        <w:rPr>
          <w:sz w:val="20"/>
          <w:szCs w:val="20"/>
          <w:color w:val="auto"/>
        </w:rPr>
      </w:pPr>
      <w:r>
        <w:rPr>
          <w:rFonts w:ascii="Arial" w:cs="Arial" w:eastAsia="Arial" w:hAnsi="Arial"/>
          <w:sz w:val="17"/>
          <w:szCs w:val="17"/>
          <w:color w:val="auto"/>
        </w:rPr>
        <w:t>Information Technology/Cybersecurity Labor/Human Capital Management Legal &amp; Public Policy (Attorney)</w:t>
      </w:r>
    </w:p>
    <w:p>
      <w:pPr>
        <w:spacing w:after="0" w:line="2" w:lineRule="exact"/>
        <w:rPr>
          <w:sz w:val="20"/>
          <w:szCs w:val="20"/>
          <w:color w:val="auto"/>
        </w:rPr>
      </w:pPr>
    </w:p>
    <w:p>
      <w:pPr>
        <w:ind w:left="300" w:right="920"/>
        <w:spacing w:after="0" w:line="350" w:lineRule="auto"/>
        <w:rPr>
          <w:sz w:val="20"/>
          <w:szCs w:val="20"/>
          <w:color w:val="auto"/>
        </w:rPr>
      </w:pPr>
      <w:r>
        <w:rPr>
          <w:rFonts w:ascii="Arial" w:cs="Arial" w:eastAsia="Arial" w:hAnsi="Arial"/>
          <w:sz w:val="17"/>
          <w:szCs w:val="17"/>
          <w:color w:val="auto"/>
        </w:rPr>
        <w:t>Marketing/Customer Service Risk Oversight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Strategic Planning</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Utility Operations/Regulation</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Demographics: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Female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White/Caucasian</w:t>
      </w:r>
    </w:p>
    <w:p>
      <w:pPr>
        <w:spacing w:after="0" w:line="200" w:lineRule="exact"/>
        <w:rPr>
          <w:sz w:val="20"/>
          <w:szCs w:val="20"/>
          <w:color w:val="auto"/>
        </w:rPr>
      </w:pPr>
    </w:p>
    <w:p>
      <w:pPr>
        <w:sectPr>
          <w:pgSz w:w="11900" w:h="16838" w:orient="portrait"/>
          <w:cols w:equalWidth="0" w:num="2">
            <w:col w:w="7020" w:space="200"/>
            <w:col w:w="3400"/>
          </w:cols>
          <w:pgMar w:left="320" w:top="470" w:right="959" w:bottom="1440" w:gutter="0" w:footer="0" w:header="0"/>
        </w:sectPr>
      </w:pPr>
    </w:p>
    <w:p>
      <w:pPr>
        <w:spacing w:after="0" w:line="259" w:lineRule="exact"/>
        <w:rPr>
          <w:sz w:val="20"/>
          <w:szCs w:val="20"/>
          <w:color w:val="auto"/>
        </w:rPr>
      </w:pPr>
    </w:p>
    <w:p>
      <w:pPr>
        <w:ind w:left="720"/>
        <w:spacing w:after="0"/>
        <w:rPr>
          <w:sz w:val="20"/>
          <w:szCs w:val="20"/>
          <w:color w:val="auto"/>
        </w:rPr>
      </w:pPr>
      <w:r>
        <w:rPr>
          <w:rFonts w:ascii="Arial" w:cs="Arial" w:eastAsia="Arial" w:hAnsi="Arial"/>
          <w:sz w:val="23"/>
          <w:szCs w:val="23"/>
          <w:b w:val="1"/>
          <w:bCs w:val="1"/>
          <w:color w:val="FFFFFF"/>
        </w:rPr>
        <w:t>Thomas P. Meissner, Jr.</w:t>
      </w:r>
    </w:p>
    <w:p>
      <w:pPr>
        <w:sectPr>
          <w:pgSz w:w="11900" w:h="16838" w:orient="portrait"/>
          <w:cols w:equalWidth="0" w:num="1">
            <w:col w:w="10620"/>
          </w:cols>
          <w:pgMar w:left="320" w:top="470" w:right="959" w:bottom="1440" w:gutter="0" w:footer="0" w:header="0"/>
          <w:type w:val="continuous"/>
        </w:sectPr>
      </w:pPr>
    </w:p>
    <w:p>
      <w:pPr>
        <w:spacing w:after="0" w:line="157" w:lineRule="exact"/>
        <w:rPr>
          <w:sz w:val="20"/>
          <w:szCs w:val="20"/>
          <w:color w:val="auto"/>
        </w:rPr>
      </w:pPr>
    </w:p>
    <w:p>
      <w:pPr>
        <w:ind w:left="720"/>
        <w:spacing w:after="0" w:line="243" w:lineRule="auto"/>
        <w:rPr>
          <w:sz w:val="20"/>
          <w:szCs w:val="20"/>
          <w:color w:val="auto"/>
        </w:rPr>
      </w:pPr>
      <w:r>
        <w:rPr>
          <w:rFonts w:ascii="Arial" w:cs="Arial" w:eastAsia="Arial" w:hAnsi="Arial"/>
          <w:sz w:val="17"/>
          <w:szCs w:val="17"/>
          <w:color w:val="auto"/>
        </w:rPr>
        <w:t>Mr. Meissner has been chairman of the board and chief executive officer of Unitil since April 2018. He also served as president from April 2018 until May 2023. Previously, Mr. Meissner held the position of senior vice president and chief operating officer of the Company from 2005 until April 2018. Mr. Meissner also served as Unitil’s senior vice president of operations from 2003 through 2005, and as director of engineering from 1998 until 2003. Mr. Meissner began his career with Unitil in 1994. Prior to joining Unitil, he held a number of engineering and operations positions at Public Service Company of New Hampshire, a predecessor company of Eversource Energy, a multi-state gas and electric utility headquartered in Hartford, Connecticut and Boston, Massachusetts. Mr. Meissner also serves as a director of the Edison Electric Institute since 2018 and as a director of the American Gas Association since 2022.</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2018</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63</w:t>
      </w:r>
    </w:p>
    <w:p>
      <w:pPr>
        <w:spacing w:after="0"/>
        <w:rPr>
          <w:sz w:val="20"/>
          <w:szCs w:val="20"/>
          <w:color w:val="auto"/>
        </w:rPr>
      </w:pPr>
      <w:r>
        <w:rPr>
          <w:rFonts w:ascii="Arial" w:cs="Arial" w:eastAsia="Arial" w:hAnsi="Arial"/>
          <w:sz w:val="17"/>
          <w:szCs w:val="17"/>
          <w:b w:val="1"/>
          <w:bCs w:val="1"/>
          <w:color w:val="auto"/>
        </w:rPr>
        <w:t xml:space="preserve">End of Current Term: </w:t>
      </w:r>
      <w:r>
        <w:rPr>
          <w:rFonts w:ascii="Arial" w:cs="Arial" w:eastAsia="Arial" w:hAnsi="Arial"/>
          <w:sz w:val="17"/>
          <w:szCs w:val="17"/>
          <w:color w:val="auto"/>
        </w:rPr>
        <w:t>2027</w:t>
      </w:r>
    </w:p>
    <w:p>
      <w:pPr>
        <w:spacing w:after="0"/>
        <w:rPr>
          <w:sz w:val="20"/>
          <w:szCs w:val="20"/>
          <w:color w:val="auto"/>
        </w:rPr>
      </w:pPr>
      <w:r>
        <w:rPr>
          <w:rFonts w:ascii="Arial" w:cs="Arial" w:eastAsia="Arial" w:hAnsi="Arial"/>
          <w:sz w:val="17"/>
          <w:szCs w:val="17"/>
          <w:b w:val="1"/>
          <w:bCs w:val="1"/>
          <w:color w:val="auto"/>
        </w:rPr>
        <w:t xml:space="preserve">Class: </w:t>
      </w:r>
      <w:r>
        <w:rPr>
          <w:rFonts w:ascii="Arial" w:cs="Arial" w:eastAsia="Arial" w:hAnsi="Arial"/>
          <w:sz w:val="17"/>
          <w:szCs w:val="17"/>
          <w:color w:val="auto"/>
        </w:rPr>
        <w:t>III</w:t>
      </w:r>
    </w:p>
    <w:p>
      <w:pPr>
        <w:spacing w:after="0"/>
        <w:rPr>
          <w:sz w:val="20"/>
          <w:szCs w:val="20"/>
          <w:color w:val="auto"/>
        </w:rPr>
      </w:pPr>
      <w:r>
        <w:rPr>
          <w:rFonts w:ascii="Arial" w:cs="Arial" w:eastAsia="Arial" w:hAnsi="Arial"/>
          <w:sz w:val="17"/>
          <w:szCs w:val="17"/>
          <w:b w:val="1"/>
          <w:bCs w:val="1"/>
          <w:color w:val="auto"/>
        </w:rPr>
        <w:t xml:space="preserve">Board Committee: </w:t>
      </w:r>
      <w:r>
        <w:rPr>
          <w:rFonts w:ascii="Arial" w:cs="Arial" w:eastAsia="Arial" w:hAnsi="Arial"/>
          <w:sz w:val="17"/>
          <w:szCs w:val="17"/>
          <w:color w:val="auto"/>
        </w:rPr>
        <w:t>Executive</w:t>
      </w:r>
    </w:p>
    <w:p>
      <w:pPr>
        <w:spacing w:after="0"/>
        <w:rPr>
          <w:sz w:val="20"/>
          <w:szCs w:val="20"/>
          <w:color w:val="auto"/>
        </w:rPr>
      </w:pPr>
      <w:r>
        <w:rPr>
          <w:rFonts w:ascii="Arial" w:cs="Arial" w:eastAsia="Arial" w:hAnsi="Arial"/>
          <w:sz w:val="17"/>
          <w:szCs w:val="17"/>
          <w:b w:val="1"/>
          <w:bCs w:val="1"/>
          <w:color w:val="auto"/>
        </w:rPr>
        <w:t xml:space="preserve">Other Public Company Boards: </w:t>
      </w:r>
      <w:r>
        <w:rPr>
          <w:rFonts w:ascii="Arial" w:cs="Arial" w:eastAsia="Arial" w:hAnsi="Arial"/>
          <w:sz w:val="17"/>
          <w:szCs w:val="17"/>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Individual Skills and Expertise: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C-Suite</w:t>
      </w:r>
    </w:p>
    <w:p>
      <w:pPr>
        <w:spacing w:after="0" w:line="97" w:lineRule="exact"/>
        <w:rPr>
          <w:sz w:val="20"/>
          <w:szCs w:val="20"/>
          <w:color w:val="auto"/>
        </w:rPr>
      </w:pPr>
    </w:p>
    <w:p>
      <w:pPr>
        <w:ind w:left="300" w:right="200"/>
        <w:spacing w:after="0" w:line="350" w:lineRule="auto"/>
        <w:rPr>
          <w:sz w:val="20"/>
          <w:szCs w:val="20"/>
          <w:color w:val="auto"/>
        </w:rPr>
      </w:pPr>
      <w:r>
        <w:rPr>
          <w:rFonts w:ascii="Arial" w:cs="Arial" w:eastAsia="Arial" w:hAnsi="Arial"/>
          <w:sz w:val="17"/>
          <w:szCs w:val="17"/>
          <w:color w:val="auto"/>
        </w:rPr>
        <w:t>Labor/Human Capital Management Risk Oversight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Strategic Planning</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Utility Operations/Regulation</w:t>
      </w:r>
    </w:p>
    <w:p>
      <w:pPr>
        <w:spacing w:after="0" w:line="200" w:lineRule="exact"/>
        <w:rPr>
          <w:sz w:val="20"/>
          <w:szCs w:val="20"/>
          <w:color w:val="auto"/>
        </w:rPr>
      </w:pPr>
    </w:p>
    <w:p>
      <w:pPr>
        <w:sectPr>
          <w:pgSz w:w="11900" w:h="16838" w:orient="portrait"/>
          <w:cols w:equalWidth="0" w:num="2">
            <w:col w:w="7000" w:space="420"/>
            <w:col w:w="3200"/>
          </w:cols>
          <w:pgMar w:left="320" w:top="470" w:right="959" w:bottom="1440" w:gutter="0" w:footer="0" w:header="0"/>
          <w:type w:val="continuous"/>
        </w:sectPr>
      </w:pPr>
    </w:p>
    <w:p>
      <w:pPr>
        <w:spacing w:after="0" w:line="101" w:lineRule="exact"/>
        <w:rPr>
          <w:sz w:val="20"/>
          <w:szCs w:val="20"/>
          <w:color w:val="auto"/>
        </w:rPr>
      </w:pPr>
    </w:p>
    <w:p>
      <w:pPr>
        <w:ind w:left="7420"/>
        <w:spacing w:after="0"/>
        <w:rPr>
          <w:sz w:val="20"/>
          <w:szCs w:val="20"/>
          <w:color w:val="auto"/>
        </w:rPr>
      </w:pPr>
      <w:r>
        <w:rPr>
          <w:rFonts w:ascii="Arial" w:cs="Arial" w:eastAsia="Arial" w:hAnsi="Arial"/>
          <w:sz w:val="17"/>
          <w:szCs w:val="17"/>
          <w:b w:val="1"/>
          <w:bCs w:val="1"/>
          <w:color w:val="auto"/>
        </w:rPr>
        <w:t>Demographics:</w:t>
      </w:r>
    </w:p>
    <w:p>
      <w:pPr>
        <w:spacing w:after="0" w:line="79" w:lineRule="exact"/>
        <w:rPr>
          <w:sz w:val="20"/>
          <w:szCs w:val="20"/>
          <w:color w:val="auto"/>
        </w:rPr>
      </w:pPr>
    </w:p>
    <w:p>
      <w:pPr>
        <w:ind w:left="7420"/>
        <w:spacing w:after="0"/>
        <w:rPr>
          <w:sz w:val="20"/>
          <w:szCs w:val="20"/>
          <w:color w:val="auto"/>
        </w:rPr>
      </w:pPr>
      <w:r>
        <w:rPr>
          <w:rFonts w:ascii="Arial" w:cs="Arial" w:eastAsia="Arial" w:hAnsi="Arial"/>
          <w:sz w:val="17"/>
          <w:szCs w:val="17"/>
          <w:color w:val="auto"/>
        </w:rPr>
        <w:t>Male</w:t>
      </w:r>
    </w:p>
    <w:p>
      <w:pPr>
        <w:spacing w:after="0" w:line="15" w:lineRule="exact"/>
        <w:rPr>
          <w:sz w:val="20"/>
          <w:szCs w:val="20"/>
          <w:color w:val="auto"/>
        </w:rPr>
      </w:pPr>
    </w:p>
    <w:p>
      <w:pPr>
        <w:ind w:left="7420"/>
        <w:spacing w:after="0"/>
        <w:rPr>
          <w:sz w:val="20"/>
          <w:szCs w:val="20"/>
          <w:color w:val="auto"/>
        </w:rPr>
      </w:pPr>
      <w:r>
        <w:rPr>
          <w:rFonts w:ascii="Arial" w:cs="Arial" w:eastAsia="Arial" w:hAnsi="Arial"/>
          <w:sz w:val="17"/>
          <w:szCs w:val="17"/>
          <w:color w:val="auto"/>
        </w:rPr>
        <w:t>White/Caucasian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8255</wp:posOffset>
            </wp:positionV>
            <wp:extent cx="633730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173355</wp:posOffset>
            </wp:positionV>
            <wp:extent cx="6337300" cy="825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620"/>
          </w:cols>
          <w:pgMar w:left="320" w:top="470" w:right="95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23939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337300" cy="239395"/>
                    </a:xfrm>
                    <a:prstGeom prst="rect">
                      <a:avLst/>
                    </a:prstGeom>
                    <a:noFill/>
                  </pic:spPr>
                </pic:pic>
              </a:graphicData>
            </a:graphic>
          </wp:anchor>
        </w:drawing>
      </w:r>
    </w:p>
    <w:p>
      <w:pPr>
        <w:spacing w:after="0" w:line="354" w:lineRule="exact"/>
        <w:rPr>
          <w:sz w:val="20"/>
          <w:szCs w:val="20"/>
          <w:color w:val="auto"/>
        </w:rPr>
      </w:pPr>
    </w:p>
    <w:p>
      <w:pPr>
        <w:ind w:left="720"/>
        <w:spacing w:after="0"/>
        <w:rPr>
          <w:sz w:val="20"/>
          <w:szCs w:val="20"/>
          <w:color w:val="auto"/>
        </w:rPr>
      </w:pPr>
      <w:r>
        <w:rPr>
          <w:rFonts w:ascii="Arial" w:cs="Arial" w:eastAsia="Arial" w:hAnsi="Arial"/>
          <w:sz w:val="24"/>
          <w:szCs w:val="24"/>
          <w:b w:val="1"/>
          <w:bCs w:val="1"/>
          <w:color w:val="FFFFFF"/>
        </w:rPr>
        <w:t>Justine Vogel</w:t>
      </w:r>
    </w:p>
    <w:p>
      <w:pPr>
        <w:spacing w:after="0" w:line="146" w:lineRule="exact"/>
        <w:rPr>
          <w:sz w:val="20"/>
          <w:szCs w:val="20"/>
          <w:color w:val="auto"/>
        </w:rPr>
      </w:pPr>
    </w:p>
    <w:p>
      <w:pPr>
        <w:ind w:left="720"/>
        <w:spacing w:after="0" w:line="242" w:lineRule="auto"/>
        <w:rPr>
          <w:sz w:val="20"/>
          <w:szCs w:val="20"/>
          <w:color w:val="auto"/>
        </w:rPr>
      </w:pPr>
      <w:r>
        <w:rPr>
          <w:rFonts w:ascii="Arial" w:cs="Arial" w:eastAsia="Arial" w:hAnsi="Arial"/>
          <w:sz w:val="17"/>
          <w:szCs w:val="17"/>
          <w:color w:val="auto"/>
        </w:rPr>
        <w:t>Ms. Vogel has been the president and chief executive officer of The RiverWoods Group, Exeter, New Hampshire, the parent organization of charitable not-for-profit continuing care retirement communities, since 2011. Prior to The RiverWoods Group, Ms. Vogel was the president and chief executive officer of RiverWoods Exeter from 2007 until 2011, and chief operating officer of RiverWoods Exeter from 2005 until 2007. Ms. Vogel began her professional career in auditing and technical accounting roles, working at Arthur Anderson in New Jersey and Ernst &amp; Young and Chubb Life Insurance in New Hampshire. Ms. Vogel is a certified public accountant in the state of New Jersey. She also currently serves as the vice chair of the Board of Directors and as the chair on the Governance Committee for Caring Communities, a reciprocal risk retention group serving senior living providers, and serves as Treasurer of the Board of Directors for LeadingAge, the national association for nonprofit aging service providers. Ms. Vogel also served on the Board of Directors for City Year NH until 2019, and on the Board of Directors of LeadingAge Maine &amp; New Hampshire until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930275</wp:posOffset>
            </wp:positionV>
            <wp:extent cx="633730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1087120</wp:posOffset>
            </wp:positionV>
            <wp:extent cx="6337300" cy="23939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337300" cy="239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January 2019</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57</w:t>
      </w:r>
    </w:p>
    <w:p>
      <w:pPr>
        <w:spacing w:after="0"/>
        <w:rPr>
          <w:sz w:val="20"/>
          <w:szCs w:val="20"/>
          <w:color w:val="auto"/>
        </w:rPr>
      </w:pPr>
      <w:r>
        <w:rPr>
          <w:rFonts w:ascii="Arial" w:cs="Arial" w:eastAsia="Arial" w:hAnsi="Arial"/>
          <w:sz w:val="17"/>
          <w:szCs w:val="17"/>
          <w:b w:val="1"/>
          <w:bCs w:val="1"/>
          <w:color w:val="auto"/>
        </w:rPr>
        <w:t xml:space="preserve">Class: </w:t>
      </w:r>
      <w:r>
        <w:rPr>
          <w:rFonts w:ascii="Arial" w:cs="Arial" w:eastAsia="Arial" w:hAnsi="Arial"/>
          <w:sz w:val="17"/>
          <w:szCs w:val="17"/>
          <w:color w:val="auto"/>
        </w:rPr>
        <w:t>III</w:t>
      </w:r>
    </w:p>
    <w:p>
      <w:pPr>
        <w:spacing w:after="0"/>
        <w:rPr>
          <w:sz w:val="20"/>
          <w:szCs w:val="20"/>
          <w:color w:val="auto"/>
        </w:rPr>
      </w:pPr>
      <w:r>
        <w:rPr>
          <w:rFonts w:ascii="Arial" w:cs="Arial" w:eastAsia="Arial" w:hAnsi="Arial"/>
          <w:sz w:val="17"/>
          <w:szCs w:val="17"/>
          <w:b w:val="1"/>
          <w:bCs w:val="1"/>
          <w:color w:val="auto"/>
        </w:rPr>
        <w:t xml:space="preserve">End of Current Term: </w:t>
      </w:r>
      <w:r>
        <w:rPr>
          <w:rFonts w:ascii="Arial" w:cs="Arial" w:eastAsia="Arial" w:hAnsi="Arial"/>
          <w:sz w:val="17"/>
          <w:szCs w:val="17"/>
          <w:color w:val="auto"/>
        </w:rPr>
        <w:t>2027</w:t>
      </w:r>
    </w:p>
    <w:p>
      <w:pPr>
        <w:spacing w:after="0"/>
        <w:rPr>
          <w:sz w:val="20"/>
          <w:szCs w:val="20"/>
          <w:color w:val="auto"/>
        </w:rPr>
      </w:pPr>
      <w:r>
        <w:rPr>
          <w:rFonts w:ascii="Arial" w:cs="Arial" w:eastAsia="Arial" w:hAnsi="Arial"/>
          <w:sz w:val="17"/>
          <w:szCs w:val="17"/>
          <w:b w:val="1"/>
          <w:bCs w:val="1"/>
          <w:color w:val="auto"/>
        </w:rPr>
        <w:t>Lead Director</w:t>
      </w:r>
    </w:p>
    <w:p>
      <w:pPr>
        <w:spacing w:after="0"/>
        <w:rPr>
          <w:sz w:val="20"/>
          <w:szCs w:val="20"/>
          <w:color w:val="auto"/>
        </w:rPr>
      </w:pPr>
      <w:r>
        <w:rPr>
          <w:rFonts w:ascii="Arial" w:cs="Arial" w:eastAsia="Arial" w:hAnsi="Arial"/>
          <w:sz w:val="17"/>
          <w:szCs w:val="17"/>
          <w:b w:val="1"/>
          <w:bCs w:val="1"/>
          <w:color w:val="auto"/>
        </w:rPr>
        <w:t xml:space="preserve">Board Committees: </w:t>
      </w:r>
      <w:r>
        <w:rPr>
          <w:rFonts w:ascii="Arial" w:cs="Arial" w:eastAsia="Arial" w:hAnsi="Arial"/>
          <w:sz w:val="17"/>
          <w:szCs w:val="17"/>
          <w:color w:val="auto"/>
        </w:rPr>
        <w:t>Audit (chair),</w:t>
      </w:r>
    </w:p>
    <w:p>
      <w:pPr>
        <w:spacing w:after="0"/>
        <w:rPr>
          <w:sz w:val="20"/>
          <w:szCs w:val="20"/>
          <w:color w:val="auto"/>
        </w:rPr>
      </w:pPr>
      <w:r>
        <w:rPr>
          <w:rFonts w:ascii="Arial" w:cs="Arial" w:eastAsia="Arial" w:hAnsi="Arial"/>
          <w:sz w:val="17"/>
          <w:szCs w:val="17"/>
          <w:color w:val="auto"/>
        </w:rPr>
        <w:t>Executive</w:t>
      </w:r>
    </w:p>
    <w:p>
      <w:pPr>
        <w:spacing w:after="0"/>
        <w:rPr>
          <w:sz w:val="20"/>
          <w:szCs w:val="20"/>
          <w:color w:val="auto"/>
        </w:rPr>
      </w:pPr>
      <w:r>
        <w:rPr>
          <w:rFonts w:ascii="Arial" w:cs="Arial" w:eastAsia="Arial" w:hAnsi="Arial"/>
          <w:sz w:val="17"/>
          <w:szCs w:val="17"/>
          <w:b w:val="1"/>
          <w:bCs w:val="1"/>
          <w:color w:val="auto"/>
        </w:rPr>
        <w:t xml:space="preserve">Other Public Company Boards: </w:t>
      </w:r>
      <w:r>
        <w:rPr>
          <w:rFonts w:ascii="Arial" w:cs="Arial" w:eastAsia="Arial" w:hAnsi="Arial"/>
          <w:sz w:val="17"/>
          <w:szCs w:val="17"/>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Individual Skills and Expertise:</w:t>
      </w:r>
    </w:p>
    <w:p>
      <w:pPr>
        <w:spacing w:after="0" w:line="93" w:lineRule="exact"/>
        <w:rPr>
          <w:sz w:val="20"/>
          <w:szCs w:val="20"/>
          <w:color w:val="auto"/>
        </w:rPr>
      </w:pPr>
    </w:p>
    <w:p>
      <w:pPr>
        <w:ind w:left="300" w:right="2040"/>
        <w:spacing w:after="0" w:line="355" w:lineRule="auto"/>
        <w:rPr>
          <w:sz w:val="20"/>
          <w:szCs w:val="20"/>
          <w:color w:val="auto"/>
        </w:rPr>
      </w:pPr>
      <w:r>
        <w:rPr>
          <w:rFonts w:ascii="Arial" w:cs="Arial" w:eastAsia="Arial" w:hAnsi="Arial"/>
          <w:sz w:val="17"/>
          <w:szCs w:val="17"/>
          <w:color w:val="auto"/>
        </w:rPr>
        <w:t>Accounting C-Suite</w:t>
      </w:r>
    </w:p>
    <w:p>
      <w:pPr>
        <w:spacing w:after="0"/>
        <w:rPr>
          <w:sz w:val="20"/>
          <w:szCs w:val="20"/>
          <w:color w:val="auto"/>
        </w:rPr>
      </w:pPr>
      <w:r>
        <w:rPr>
          <w:rFonts w:ascii="Arial" w:cs="Arial" w:eastAsia="Arial" w:hAnsi="Arial"/>
          <w:sz w:val="17"/>
          <w:szCs w:val="17"/>
          <w:color w:val="auto"/>
        </w:rPr>
        <w:t>Finance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Governance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Strategic Planning</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Demographics: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Female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White/Caucasian</w:t>
      </w:r>
    </w:p>
    <w:p>
      <w:pPr>
        <w:spacing w:after="0" w:line="200" w:lineRule="exact"/>
        <w:rPr>
          <w:sz w:val="20"/>
          <w:szCs w:val="20"/>
          <w:color w:val="auto"/>
        </w:rPr>
      </w:pPr>
    </w:p>
    <w:p>
      <w:pPr>
        <w:sectPr>
          <w:pgSz w:w="11900" w:h="16838" w:orient="portrait"/>
          <w:cols w:equalWidth="0" w:num="2">
            <w:col w:w="7020" w:space="400"/>
            <w:col w:w="3200"/>
          </w:cols>
          <w:pgMar w:left="320" w:top="470" w:right="959" w:bottom="1440" w:gutter="0" w:footer="0" w:header="0"/>
        </w:sectPr>
      </w:pPr>
    </w:p>
    <w:p>
      <w:pPr>
        <w:spacing w:after="0" w:line="103" w:lineRule="exact"/>
        <w:rPr>
          <w:sz w:val="20"/>
          <w:szCs w:val="20"/>
          <w:color w:val="auto"/>
        </w:rPr>
      </w:pPr>
    </w:p>
    <w:p>
      <w:pPr>
        <w:ind w:left="720"/>
        <w:spacing w:after="0"/>
        <w:rPr>
          <w:sz w:val="20"/>
          <w:szCs w:val="20"/>
          <w:color w:val="auto"/>
        </w:rPr>
      </w:pPr>
      <w:r>
        <w:rPr>
          <w:rFonts w:ascii="Arial" w:cs="Arial" w:eastAsia="Arial" w:hAnsi="Arial"/>
          <w:sz w:val="24"/>
          <w:szCs w:val="24"/>
          <w:b w:val="1"/>
          <w:bCs w:val="1"/>
          <w:color w:val="FFFFFF"/>
        </w:rPr>
        <w:t>David A. Whiteley</w:t>
      </w:r>
    </w:p>
    <w:p>
      <w:pPr>
        <w:spacing w:after="0" w:line="143"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6500" w:type="dxa"/>
            <w:vAlign w:val="bottom"/>
          </w:tcPr>
          <w:p>
            <w:pPr>
              <w:spacing w:after="0"/>
              <w:rPr>
                <w:sz w:val="20"/>
                <w:szCs w:val="20"/>
                <w:color w:val="auto"/>
              </w:rPr>
            </w:pPr>
            <w:r>
              <w:rPr>
                <w:rFonts w:ascii="Arial" w:cs="Arial" w:eastAsia="Arial" w:hAnsi="Arial"/>
                <w:sz w:val="17"/>
                <w:szCs w:val="17"/>
                <w:color w:val="auto"/>
              </w:rPr>
              <w:t>Mr. Whiteley has been the owner of Whiteley BPS Planning Ventures LLC, St.</w:t>
            </w:r>
          </w:p>
        </w:tc>
        <w:tc>
          <w:tcPr>
            <w:tcW w:w="3240" w:type="dxa"/>
            <w:vAlign w:val="bottom"/>
            <w:gridSpan w:val="2"/>
          </w:tcPr>
          <w:p>
            <w:pPr>
              <w:ind w:left="2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2012</w:t>
            </w:r>
          </w:p>
        </w:tc>
        <w:tc>
          <w:tcPr>
            <w:tcW w:w="0" w:type="dxa"/>
            <w:vAlign w:val="bottom"/>
          </w:tcPr>
          <w:p>
            <w:pPr>
              <w:spacing w:after="0"/>
              <w:rPr>
                <w:sz w:val="1"/>
                <w:szCs w:val="1"/>
                <w:color w:val="auto"/>
              </w:rPr>
            </w:pPr>
          </w:p>
        </w:tc>
      </w:tr>
      <w:tr>
        <w:trPr>
          <w:trHeight w:val="195"/>
        </w:trPr>
        <w:tc>
          <w:tcPr>
            <w:tcW w:w="6500" w:type="dxa"/>
            <w:vAlign w:val="bottom"/>
          </w:tcPr>
          <w:p>
            <w:pPr>
              <w:spacing w:after="0"/>
              <w:rPr>
                <w:sz w:val="20"/>
                <w:szCs w:val="20"/>
                <w:color w:val="auto"/>
              </w:rPr>
            </w:pPr>
            <w:r>
              <w:rPr>
                <w:rFonts w:ascii="Arial" w:cs="Arial" w:eastAsia="Arial" w:hAnsi="Arial"/>
                <w:sz w:val="17"/>
                <w:szCs w:val="17"/>
                <w:color w:val="auto"/>
              </w:rPr>
              <w:t>Louis, Missouri, a private consulting firm specializing in utility planning, operations,</w:t>
            </w:r>
          </w:p>
        </w:tc>
        <w:tc>
          <w:tcPr>
            <w:tcW w:w="3240" w:type="dxa"/>
            <w:vAlign w:val="bottom"/>
            <w:gridSpan w:val="2"/>
          </w:tcPr>
          <w:p>
            <w:pPr>
              <w:ind w:left="2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195"/>
        </w:trPr>
        <w:tc>
          <w:tcPr>
            <w:tcW w:w="6500" w:type="dxa"/>
            <w:vAlign w:val="bottom"/>
          </w:tcPr>
          <w:p>
            <w:pPr>
              <w:spacing w:after="0"/>
              <w:rPr>
                <w:sz w:val="20"/>
                <w:szCs w:val="20"/>
                <w:color w:val="auto"/>
              </w:rPr>
            </w:pPr>
            <w:r>
              <w:rPr>
                <w:rFonts w:ascii="Arial" w:cs="Arial" w:eastAsia="Arial" w:hAnsi="Arial"/>
                <w:sz w:val="17"/>
                <w:szCs w:val="17"/>
                <w:color w:val="auto"/>
              </w:rPr>
              <w:t>and management, since 2009. While operating his private consulting firm, he also</w:t>
            </w:r>
          </w:p>
        </w:tc>
        <w:tc>
          <w:tcPr>
            <w:tcW w:w="3240" w:type="dxa"/>
            <w:vAlign w:val="bottom"/>
            <w:gridSpan w:val="2"/>
          </w:tcPr>
          <w:p>
            <w:pPr>
              <w:ind w:left="200"/>
              <w:spacing w:after="0"/>
              <w:rPr>
                <w:sz w:val="20"/>
                <w:szCs w:val="20"/>
                <w:color w:val="auto"/>
              </w:rPr>
            </w:pPr>
            <w:r>
              <w:rPr>
                <w:rFonts w:ascii="Arial" w:cs="Arial" w:eastAsia="Arial" w:hAnsi="Arial"/>
                <w:sz w:val="17"/>
                <w:szCs w:val="17"/>
                <w:b w:val="1"/>
                <w:bCs w:val="1"/>
                <w:color w:val="auto"/>
              </w:rPr>
              <w:t xml:space="preserve">Class: </w:t>
            </w:r>
            <w:r>
              <w:rPr>
                <w:rFonts w:ascii="Arial" w:cs="Arial" w:eastAsia="Arial" w:hAnsi="Arial"/>
                <w:sz w:val="17"/>
                <w:szCs w:val="17"/>
                <w:color w:val="auto"/>
              </w:rPr>
              <w:t>I</w:t>
            </w:r>
          </w:p>
        </w:tc>
        <w:tc>
          <w:tcPr>
            <w:tcW w:w="0" w:type="dxa"/>
            <w:vAlign w:val="bottom"/>
          </w:tcPr>
          <w:p>
            <w:pPr>
              <w:spacing w:after="0"/>
              <w:rPr>
                <w:sz w:val="1"/>
                <w:szCs w:val="1"/>
                <w:color w:val="auto"/>
              </w:rPr>
            </w:pPr>
          </w:p>
        </w:tc>
      </w:tr>
      <w:tr>
        <w:trPr>
          <w:trHeight w:val="195"/>
        </w:trPr>
        <w:tc>
          <w:tcPr>
            <w:tcW w:w="6500" w:type="dxa"/>
            <w:vAlign w:val="bottom"/>
          </w:tcPr>
          <w:p>
            <w:pPr>
              <w:spacing w:after="0"/>
              <w:rPr>
                <w:sz w:val="20"/>
                <w:szCs w:val="20"/>
                <w:color w:val="auto"/>
              </w:rPr>
            </w:pPr>
            <w:r>
              <w:rPr>
                <w:rFonts w:ascii="Arial" w:cs="Arial" w:eastAsia="Arial" w:hAnsi="Arial"/>
                <w:sz w:val="17"/>
                <w:szCs w:val="17"/>
                <w:color w:val="auto"/>
              </w:rPr>
              <w:t>served as the executive director of the Eastern Interconnection Planning</w:t>
            </w:r>
          </w:p>
        </w:tc>
        <w:tc>
          <w:tcPr>
            <w:tcW w:w="3240" w:type="dxa"/>
            <w:vAlign w:val="bottom"/>
            <w:gridSpan w:val="2"/>
          </w:tcPr>
          <w:p>
            <w:pPr>
              <w:ind w:left="200"/>
              <w:spacing w:after="0"/>
              <w:rPr>
                <w:sz w:val="20"/>
                <w:szCs w:val="20"/>
                <w:color w:val="auto"/>
              </w:rPr>
            </w:pPr>
            <w:r>
              <w:rPr>
                <w:rFonts w:ascii="Arial" w:cs="Arial" w:eastAsia="Arial" w:hAnsi="Arial"/>
                <w:sz w:val="17"/>
                <w:szCs w:val="17"/>
                <w:b w:val="1"/>
                <w:bCs w:val="1"/>
                <w:color w:val="auto"/>
              </w:rPr>
              <w:t xml:space="preserve">End of Current Term: </w:t>
            </w:r>
            <w:r>
              <w:rPr>
                <w:rFonts w:ascii="Arial" w:cs="Arial" w:eastAsia="Arial" w:hAnsi="Arial"/>
                <w:sz w:val="17"/>
                <w:szCs w:val="17"/>
                <w:color w:val="auto"/>
              </w:rPr>
              <w:t>2028</w:t>
            </w:r>
          </w:p>
        </w:tc>
        <w:tc>
          <w:tcPr>
            <w:tcW w:w="0" w:type="dxa"/>
            <w:vAlign w:val="bottom"/>
          </w:tcPr>
          <w:p>
            <w:pPr>
              <w:spacing w:after="0"/>
              <w:rPr>
                <w:sz w:val="1"/>
                <w:szCs w:val="1"/>
                <w:color w:val="auto"/>
              </w:rPr>
            </w:pPr>
          </w:p>
        </w:tc>
      </w:tr>
      <w:tr>
        <w:trPr>
          <w:trHeight w:val="197"/>
        </w:trPr>
        <w:tc>
          <w:tcPr>
            <w:tcW w:w="6500" w:type="dxa"/>
            <w:vAlign w:val="bottom"/>
          </w:tcPr>
          <w:p>
            <w:pPr>
              <w:spacing w:after="0"/>
              <w:rPr>
                <w:sz w:val="20"/>
                <w:szCs w:val="20"/>
                <w:color w:val="auto"/>
              </w:rPr>
            </w:pPr>
            <w:r>
              <w:rPr>
                <w:rFonts w:ascii="Arial" w:cs="Arial" w:eastAsia="Arial" w:hAnsi="Arial"/>
                <w:sz w:val="17"/>
                <w:szCs w:val="17"/>
                <w:color w:val="auto"/>
              </w:rPr>
              <w:t>Collaborative from 2011 through 2018. Mr. Whiteley served as an executive vice</w:t>
            </w:r>
          </w:p>
        </w:tc>
        <w:tc>
          <w:tcPr>
            <w:tcW w:w="3240" w:type="dxa"/>
            <w:vAlign w:val="bottom"/>
            <w:gridSpan w:val="2"/>
          </w:tcPr>
          <w:p>
            <w:pPr>
              <w:ind w:left="200"/>
              <w:spacing w:after="0"/>
              <w:rPr>
                <w:sz w:val="20"/>
                <w:szCs w:val="20"/>
                <w:color w:val="auto"/>
              </w:rPr>
            </w:pPr>
            <w:r>
              <w:rPr>
                <w:rFonts w:ascii="Arial" w:cs="Arial" w:eastAsia="Arial" w:hAnsi="Arial"/>
                <w:sz w:val="17"/>
                <w:szCs w:val="17"/>
                <w:b w:val="1"/>
                <w:bCs w:val="1"/>
                <w:color w:val="auto"/>
              </w:rPr>
              <w:t xml:space="preserve">Board Committees: </w:t>
            </w:r>
            <w:r>
              <w:rPr>
                <w:rFonts w:ascii="Arial" w:cs="Arial" w:eastAsia="Arial" w:hAnsi="Arial"/>
                <w:sz w:val="17"/>
                <w:szCs w:val="17"/>
                <w:color w:val="auto"/>
              </w:rPr>
              <w:t>Compensation,</w:t>
            </w:r>
          </w:p>
        </w:tc>
        <w:tc>
          <w:tcPr>
            <w:tcW w:w="0" w:type="dxa"/>
            <w:vAlign w:val="bottom"/>
          </w:tcPr>
          <w:p>
            <w:pPr>
              <w:spacing w:after="0"/>
              <w:rPr>
                <w:sz w:val="1"/>
                <w:szCs w:val="1"/>
                <w:color w:val="auto"/>
              </w:rPr>
            </w:pPr>
          </w:p>
        </w:tc>
      </w:tr>
      <w:tr>
        <w:trPr>
          <w:trHeight w:val="195"/>
        </w:trPr>
        <w:tc>
          <w:tcPr>
            <w:tcW w:w="6500" w:type="dxa"/>
            <w:vAlign w:val="bottom"/>
          </w:tcPr>
          <w:p>
            <w:pPr>
              <w:spacing w:after="0"/>
              <w:rPr>
                <w:sz w:val="20"/>
                <w:szCs w:val="20"/>
                <w:color w:val="auto"/>
              </w:rPr>
            </w:pPr>
            <w:r>
              <w:rPr>
                <w:rFonts w:ascii="Arial" w:cs="Arial" w:eastAsia="Arial" w:hAnsi="Arial"/>
                <w:sz w:val="17"/>
                <w:szCs w:val="17"/>
                <w:color w:val="auto"/>
              </w:rPr>
              <w:t>president of the North American Electric Reliability Corporation (“NERC”) from</w:t>
            </w:r>
          </w:p>
        </w:tc>
        <w:tc>
          <w:tcPr>
            <w:tcW w:w="3240" w:type="dxa"/>
            <w:vAlign w:val="bottom"/>
            <w:gridSpan w:val="2"/>
          </w:tcPr>
          <w:p>
            <w:pPr>
              <w:ind w:left="200"/>
              <w:spacing w:after="0"/>
              <w:rPr>
                <w:sz w:val="20"/>
                <w:szCs w:val="20"/>
                <w:color w:val="auto"/>
              </w:rPr>
            </w:pPr>
            <w:r>
              <w:rPr>
                <w:rFonts w:ascii="Arial" w:cs="Arial" w:eastAsia="Arial" w:hAnsi="Arial"/>
                <w:sz w:val="17"/>
                <w:szCs w:val="17"/>
                <w:color w:val="auto"/>
              </w:rPr>
              <w:t>Executive; Nominating and Governance</w:t>
            </w:r>
          </w:p>
        </w:tc>
        <w:tc>
          <w:tcPr>
            <w:tcW w:w="0" w:type="dxa"/>
            <w:vAlign w:val="bottom"/>
          </w:tcPr>
          <w:p>
            <w:pPr>
              <w:spacing w:after="0"/>
              <w:rPr>
                <w:sz w:val="1"/>
                <w:szCs w:val="1"/>
                <w:color w:val="auto"/>
              </w:rPr>
            </w:pPr>
          </w:p>
        </w:tc>
      </w:tr>
      <w:tr>
        <w:trPr>
          <w:trHeight w:val="193"/>
        </w:trPr>
        <w:tc>
          <w:tcPr>
            <w:tcW w:w="6500" w:type="dxa"/>
            <w:vAlign w:val="bottom"/>
          </w:tcPr>
          <w:p>
            <w:pPr>
              <w:spacing w:after="0" w:line="193" w:lineRule="exact"/>
              <w:rPr>
                <w:sz w:val="20"/>
                <w:szCs w:val="20"/>
                <w:color w:val="auto"/>
              </w:rPr>
            </w:pPr>
            <w:r>
              <w:rPr>
                <w:rFonts w:ascii="Arial" w:cs="Arial" w:eastAsia="Arial" w:hAnsi="Arial"/>
                <w:sz w:val="17"/>
                <w:szCs w:val="17"/>
                <w:color w:val="auto"/>
              </w:rPr>
              <w:t>2007 to 2009. Prior to NERC, Mr. Whiteley served as senior vice president—</w:t>
            </w:r>
          </w:p>
        </w:tc>
        <w:tc>
          <w:tcPr>
            <w:tcW w:w="3240" w:type="dxa"/>
            <w:vAlign w:val="bottom"/>
            <w:gridSpan w:val="2"/>
          </w:tcPr>
          <w:p>
            <w:pPr>
              <w:ind w:left="200"/>
              <w:spacing w:after="0" w:line="193" w:lineRule="exact"/>
              <w:rPr>
                <w:sz w:val="20"/>
                <w:szCs w:val="20"/>
                <w:color w:val="auto"/>
              </w:rPr>
            </w:pPr>
            <w:r>
              <w:rPr>
                <w:rFonts w:ascii="Arial" w:cs="Arial" w:eastAsia="Arial" w:hAnsi="Arial"/>
                <w:sz w:val="17"/>
                <w:szCs w:val="17"/>
                <w:color w:val="auto"/>
              </w:rPr>
              <w:t>(chair)</w:t>
            </w:r>
          </w:p>
        </w:tc>
        <w:tc>
          <w:tcPr>
            <w:tcW w:w="0" w:type="dxa"/>
            <w:vAlign w:val="bottom"/>
          </w:tcPr>
          <w:p>
            <w:pPr>
              <w:spacing w:after="0"/>
              <w:rPr>
                <w:sz w:val="1"/>
                <w:szCs w:val="1"/>
                <w:color w:val="auto"/>
              </w:rPr>
            </w:pPr>
          </w:p>
        </w:tc>
      </w:tr>
      <w:tr>
        <w:trPr>
          <w:trHeight w:val="197"/>
        </w:trPr>
        <w:tc>
          <w:tcPr>
            <w:tcW w:w="6500" w:type="dxa"/>
            <w:vAlign w:val="bottom"/>
          </w:tcPr>
          <w:p>
            <w:pPr>
              <w:spacing w:after="0"/>
              <w:rPr>
                <w:sz w:val="20"/>
                <w:szCs w:val="20"/>
                <w:color w:val="auto"/>
              </w:rPr>
            </w:pPr>
            <w:r>
              <w:rPr>
                <w:rFonts w:ascii="Arial" w:cs="Arial" w:eastAsia="Arial" w:hAnsi="Arial"/>
                <w:sz w:val="17"/>
                <w:szCs w:val="17"/>
                <w:color w:val="auto"/>
              </w:rPr>
              <w:t>Energy Delivery Services for Ameren Corporation, a multi-state electric and gas</w:t>
            </w:r>
          </w:p>
        </w:tc>
        <w:tc>
          <w:tcPr>
            <w:tcW w:w="3240" w:type="dxa"/>
            <w:vAlign w:val="bottom"/>
            <w:gridSpan w:val="2"/>
          </w:tcPr>
          <w:p>
            <w:pPr>
              <w:ind w:left="200"/>
              <w:spacing w:after="0"/>
              <w:rPr>
                <w:sz w:val="20"/>
                <w:szCs w:val="20"/>
                <w:color w:val="auto"/>
              </w:rPr>
            </w:pPr>
            <w:r>
              <w:rPr>
                <w:rFonts w:ascii="Arial" w:cs="Arial" w:eastAsia="Arial" w:hAnsi="Arial"/>
                <w:sz w:val="17"/>
                <w:szCs w:val="17"/>
                <w:b w:val="1"/>
                <w:bCs w:val="1"/>
                <w:color w:val="auto"/>
              </w:rPr>
              <w:t xml:space="preserve">Other Public Company Boards: </w:t>
            </w: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195"/>
        </w:trPr>
        <w:tc>
          <w:tcPr>
            <w:tcW w:w="6500" w:type="dxa"/>
            <w:vAlign w:val="bottom"/>
          </w:tcPr>
          <w:p>
            <w:pPr>
              <w:spacing w:after="0"/>
              <w:rPr>
                <w:sz w:val="20"/>
                <w:szCs w:val="20"/>
                <w:color w:val="auto"/>
              </w:rPr>
            </w:pPr>
            <w:r>
              <w:rPr>
                <w:rFonts w:ascii="Arial" w:cs="Arial" w:eastAsia="Arial" w:hAnsi="Arial"/>
                <w:sz w:val="17"/>
                <w:szCs w:val="17"/>
                <w:color w:val="auto"/>
              </w:rPr>
              <w:t>utility, headquartered in St. Louis, Missouri from 2005 to 2007, and as senior vice</w:t>
            </w:r>
          </w:p>
        </w:tc>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00" w:type="dxa"/>
            <w:vAlign w:val="bottom"/>
          </w:tcPr>
          <w:p>
            <w:pPr>
              <w:spacing w:after="0"/>
              <w:rPr>
                <w:sz w:val="20"/>
                <w:szCs w:val="20"/>
                <w:color w:val="auto"/>
              </w:rPr>
            </w:pPr>
            <w:r>
              <w:rPr>
                <w:rFonts w:ascii="Arial" w:cs="Arial" w:eastAsia="Arial" w:hAnsi="Arial"/>
                <w:sz w:val="17"/>
                <w:szCs w:val="17"/>
                <w:color w:val="auto"/>
              </w:rPr>
              <w:t>president—Energy Delivery, from 2003 to 2005. Mr. Whiteley started his</w:t>
            </w:r>
          </w:p>
        </w:tc>
        <w:tc>
          <w:tcPr>
            <w:tcW w:w="3240" w:type="dxa"/>
            <w:vAlign w:val="bottom"/>
            <w:gridSpan w:val="2"/>
          </w:tcPr>
          <w:p>
            <w:pPr>
              <w:ind w:left="200"/>
              <w:spacing w:after="0"/>
              <w:rPr>
                <w:sz w:val="20"/>
                <w:szCs w:val="20"/>
                <w:color w:val="auto"/>
              </w:rPr>
            </w:pPr>
            <w:r>
              <w:rPr>
                <w:rFonts w:ascii="Arial" w:cs="Arial" w:eastAsia="Arial" w:hAnsi="Arial"/>
                <w:sz w:val="17"/>
                <w:szCs w:val="17"/>
                <w:b w:val="1"/>
                <w:bCs w:val="1"/>
                <w:color w:val="auto"/>
              </w:rPr>
              <w:t>Individual Skills and Expertise:</w:t>
            </w:r>
          </w:p>
        </w:tc>
        <w:tc>
          <w:tcPr>
            <w:tcW w:w="0" w:type="dxa"/>
            <w:vAlign w:val="bottom"/>
          </w:tcPr>
          <w:p>
            <w:pPr>
              <w:spacing w:after="0"/>
              <w:rPr>
                <w:sz w:val="1"/>
                <w:szCs w:val="1"/>
                <w:color w:val="auto"/>
              </w:rPr>
            </w:pPr>
          </w:p>
        </w:tc>
      </w:tr>
      <w:tr>
        <w:trPr>
          <w:trHeight w:val="178"/>
        </w:trPr>
        <w:tc>
          <w:tcPr>
            <w:tcW w:w="6500" w:type="dxa"/>
            <w:vAlign w:val="bottom"/>
          </w:tcPr>
          <w:p>
            <w:pPr>
              <w:spacing w:after="0" w:line="178" w:lineRule="exact"/>
              <w:rPr>
                <w:sz w:val="20"/>
                <w:szCs w:val="20"/>
                <w:color w:val="auto"/>
              </w:rPr>
            </w:pPr>
            <w:r>
              <w:rPr>
                <w:rFonts w:ascii="Arial" w:cs="Arial" w:eastAsia="Arial" w:hAnsi="Arial"/>
                <w:sz w:val="17"/>
                <w:szCs w:val="17"/>
                <w:color w:val="auto"/>
              </w:rPr>
              <w:t>employment at Ameren Corporation’s predecessor company, Union Electric</w:t>
            </w:r>
          </w:p>
        </w:tc>
        <w:tc>
          <w:tcPr>
            <w:tcW w:w="400" w:type="dxa"/>
            <w:vAlign w:val="bottom"/>
            <w:vMerge w:val="restart"/>
          </w:tcPr>
          <w:p>
            <w:pPr>
              <w:spacing w:after="0"/>
              <w:rPr>
                <w:sz w:val="15"/>
                <w:szCs w:val="15"/>
                <w:color w:val="auto"/>
              </w:rPr>
            </w:pPr>
          </w:p>
        </w:tc>
        <w:tc>
          <w:tcPr>
            <w:tcW w:w="2840" w:type="dxa"/>
            <w:vAlign w:val="bottom"/>
            <w:vMerge w:val="restart"/>
          </w:tcPr>
          <w:p>
            <w:pPr>
              <w:ind w:left="100"/>
              <w:spacing w:after="0"/>
              <w:rPr>
                <w:sz w:val="20"/>
                <w:szCs w:val="20"/>
                <w:color w:val="auto"/>
              </w:rPr>
            </w:pPr>
            <w:r>
              <w:rPr>
                <w:rFonts w:ascii="Arial" w:cs="Arial" w:eastAsia="Arial" w:hAnsi="Arial"/>
                <w:sz w:val="17"/>
                <w:szCs w:val="17"/>
                <w:color w:val="auto"/>
              </w:rPr>
              <w:t>C-Suite</w:t>
            </w:r>
          </w:p>
        </w:tc>
        <w:tc>
          <w:tcPr>
            <w:tcW w:w="0" w:type="dxa"/>
            <w:vAlign w:val="bottom"/>
          </w:tcPr>
          <w:p>
            <w:pPr>
              <w:spacing w:after="0"/>
              <w:rPr>
                <w:sz w:val="1"/>
                <w:szCs w:val="1"/>
                <w:color w:val="auto"/>
              </w:rPr>
            </w:pPr>
          </w:p>
        </w:tc>
      </w:tr>
      <w:tr>
        <w:trPr>
          <w:trHeight w:val="221"/>
        </w:trPr>
        <w:tc>
          <w:tcPr>
            <w:tcW w:w="6500" w:type="dxa"/>
            <w:vAlign w:val="bottom"/>
          </w:tcPr>
          <w:p>
            <w:pPr>
              <w:spacing w:after="0"/>
              <w:rPr>
                <w:sz w:val="20"/>
                <w:szCs w:val="20"/>
                <w:color w:val="auto"/>
              </w:rPr>
            </w:pPr>
            <w:r>
              <w:rPr>
                <w:rFonts w:ascii="Arial" w:cs="Arial" w:eastAsia="Arial" w:hAnsi="Arial"/>
                <w:sz w:val="17"/>
                <w:szCs w:val="17"/>
                <w:color w:val="auto"/>
              </w:rPr>
              <w:t>Company, in 1978.</w:t>
            </w:r>
          </w:p>
        </w:tc>
        <w:tc>
          <w:tcPr>
            <w:tcW w:w="400" w:type="dxa"/>
            <w:vAlign w:val="bottom"/>
            <w:vMerge w:val="continue"/>
          </w:tcPr>
          <w:p>
            <w:pPr>
              <w:spacing w:after="0"/>
              <w:rPr>
                <w:sz w:val="19"/>
                <w:szCs w:val="19"/>
                <w:color w:val="auto"/>
              </w:rPr>
            </w:pPr>
          </w:p>
        </w:tc>
        <w:tc>
          <w:tcPr>
            <w:tcW w:w="2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6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tcPr>
          <w:p>
            <w:pPr>
              <w:ind w:left="100"/>
              <w:spacing w:after="0"/>
              <w:rPr>
                <w:sz w:val="20"/>
                <w:szCs w:val="20"/>
                <w:color w:val="auto"/>
              </w:rPr>
            </w:pPr>
            <w:r>
              <w:rPr>
                <w:rFonts w:ascii="Arial" w:cs="Arial" w:eastAsia="Arial" w:hAnsi="Arial"/>
                <w:sz w:val="17"/>
                <w:szCs w:val="17"/>
                <w:color w:val="auto"/>
              </w:rPr>
              <w:t>Finance</w:t>
            </w:r>
          </w:p>
        </w:tc>
        <w:tc>
          <w:tcPr>
            <w:tcW w:w="0" w:type="dxa"/>
            <w:vAlign w:val="bottom"/>
          </w:tcPr>
          <w:p>
            <w:pPr>
              <w:spacing w:after="0"/>
              <w:rPr>
                <w:sz w:val="1"/>
                <w:szCs w:val="1"/>
                <w:color w:val="auto"/>
              </w:rPr>
            </w:pPr>
          </w:p>
        </w:tc>
      </w:tr>
      <w:tr>
        <w:trPr>
          <w:trHeight w:val="286"/>
        </w:trPr>
        <w:tc>
          <w:tcPr>
            <w:tcW w:w="6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tcPr>
          <w:p>
            <w:pPr>
              <w:ind w:left="100"/>
              <w:spacing w:after="0"/>
              <w:rPr>
                <w:sz w:val="20"/>
                <w:szCs w:val="20"/>
                <w:color w:val="auto"/>
              </w:rPr>
            </w:pPr>
            <w:r>
              <w:rPr>
                <w:rFonts w:ascii="Arial" w:cs="Arial" w:eastAsia="Arial" w:hAnsi="Arial"/>
                <w:sz w:val="17"/>
                <w:szCs w:val="17"/>
                <w:color w:val="auto"/>
              </w:rPr>
              <w:t>Strategic Planning</w:t>
            </w:r>
          </w:p>
        </w:tc>
        <w:tc>
          <w:tcPr>
            <w:tcW w:w="0" w:type="dxa"/>
            <w:vAlign w:val="bottom"/>
          </w:tcPr>
          <w:p>
            <w:pPr>
              <w:spacing w:after="0"/>
              <w:rPr>
                <w:sz w:val="1"/>
                <w:szCs w:val="1"/>
                <w:color w:val="auto"/>
              </w:rPr>
            </w:pPr>
          </w:p>
        </w:tc>
      </w:tr>
      <w:tr>
        <w:trPr>
          <w:trHeight w:val="293"/>
        </w:trPr>
        <w:tc>
          <w:tcPr>
            <w:tcW w:w="6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tcPr>
          <w:p>
            <w:pPr>
              <w:ind w:left="100"/>
              <w:spacing w:after="0"/>
              <w:rPr>
                <w:sz w:val="20"/>
                <w:szCs w:val="20"/>
                <w:color w:val="auto"/>
              </w:rPr>
            </w:pPr>
            <w:r>
              <w:rPr>
                <w:rFonts w:ascii="Arial" w:cs="Arial" w:eastAsia="Arial" w:hAnsi="Arial"/>
                <w:sz w:val="17"/>
                <w:szCs w:val="17"/>
                <w:color w:val="auto"/>
              </w:rPr>
              <w:t>Utility Operations/Regulation</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420"/>
        <w:spacing w:after="0"/>
        <w:rPr>
          <w:sz w:val="20"/>
          <w:szCs w:val="20"/>
          <w:color w:val="auto"/>
        </w:rPr>
      </w:pPr>
      <w:r>
        <w:rPr>
          <w:rFonts w:ascii="Arial" w:cs="Arial" w:eastAsia="Arial" w:hAnsi="Arial"/>
          <w:sz w:val="17"/>
          <w:szCs w:val="17"/>
          <w:b w:val="1"/>
          <w:bCs w:val="1"/>
          <w:color w:val="auto"/>
        </w:rPr>
        <w:t>Demographics:</w:t>
      </w:r>
    </w:p>
    <w:p>
      <w:pPr>
        <w:spacing w:after="0" w:line="79" w:lineRule="exact"/>
        <w:rPr>
          <w:sz w:val="20"/>
          <w:szCs w:val="20"/>
          <w:color w:val="auto"/>
        </w:rPr>
      </w:pPr>
    </w:p>
    <w:p>
      <w:pPr>
        <w:ind w:left="7420"/>
        <w:spacing w:after="0"/>
        <w:rPr>
          <w:sz w:val="20"/>
          <w:szCs w:val="20"/>
          <w:color w:val="auto"/>
        </w:rPr>
      </w:pPr>
      <w:r>
        <w:rPr>
          <w:rFonts w:ascii="Arial" w:cs="Arial" w:eastAsia="Arial" w:hAnsi="Arial"/>
          <w:sz w:val="17"/>
          <w:szCs w:val="17"/>
          <w:color w:val="auto"/>
        </w:rPr>
        <w:t>Male</w:t>
      </w:r>
    </w:p>
    <w:p>
      <w:pPr>
        <w:spacing w:after="0" w:line="15" w:lineRule="exact"/>
        <w:rPr>
          <w:sz w:val="20"/>
          <w:szCs w:val="20"/>
          <w:color w:val="auto"/>
        </w:rPr>
      </w:pPr>
    </w:p>
    <w:p>
      <w:pPr>
        <w:ind w:left="7420"/>
        <w:spacing w:after="0"/>
        <w:rPr>
          <w:sz w:val="20"/>
          <w:szCs w:val="20"/>
          <w:color w:val="auto"/>
        </w:rPr>
      </w:pPr>
      <w:r>
        <w:rPr>
          <w:rFonts w:ascii="Arial" w:cs="Arial" w:eastAsia="Arial" w:hAnsi="Arial"/>
          <w:sz w:val="17"/>
          <w:szCs w:val="17"/>
          <w:color w:val="auto"/>
        </w:rPr>
        <w:t>White/Caucasian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8255</wp:posOffset>
            </wp:positionV>
            <wp:extent cx="633730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173355</wp:posOffset>
            </wp:positionV>
            <wp:extent cx="6337300" cy="825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620"/>
          </w:cols>
          <w:pgMar w:left="320" w:top="470" w:right="95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7753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337300" cy="775335"/>
                    </a:xfrm>
                    <a:prstGeom prst="rect">
                      <a:avLst/>
                    </a:prstGeom>
                    <a:noFill/>
                  </pic:spPr>
                </pic:pic>
              </a:graphicData>
            </a:graphic>
          </wp:anchor>
        </w:drawing>
      </w:r>
    </w:p>
    <w:p>
      <w:pPr>
        <w:spacing w:after="0" w:line="348" w:lineRule="exact"/>
        <w:rPr>
          <w:sz w:val="20"/>
          <w:szCs w:val="20"/>
          <w:color w:val="auto"/>
        </w:rPr>
      </w:pPr>
    </w:p>
    <w:p>
      <w:pPr>
        <w:jc w:val="center"/>
        <w:ind w:left="940" w:right="140"/>
        <w:spacing w:after="0" w:line="269" w:lineRule="auto"/>
        <w:rPr>
          <w:sz w:val="20"/>
          <w:szCs w:val="20"/>
          <w:color w:val="auto"/>
        </w:rPr>
      </w:pPr>
      <w:r>
        <w:rPr>
          <w:rFonts w:ascii="Arial" w:cs="Arial" w:eastAsia="Arial" w:hAnsi="Arial"/>
          <w:sz w:val="31"/>
          <w:szCs w:val="31"/>
          <w:b w:val="1"/>
          <w:bCs w:val="1"/>
          <w:color w:val="auto"/>
        </w:rPr>
        <w:t>PROPOSAL 2: RATIFICATION OF SELECTION OF DELOITTE &amp; TOUCHE AS INDEPENDENT REGISTERED PUBLIC ACCOUNTING FIRM FOR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-8255</wp:posOffset>
            </wp:positionV>
            <wp:extent cx="633730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187" w:lineRule="exact"/>
        <w:rPr>
          <w:sz w:val="20"/>
          <w:szCs w:val="20"/>
          <w:color w:val="auto"/>
        </w:rPr>
      </w:pPr>
    </w:p>
    <w:p>
      <w:pPr>
        <w:ind w:left="640" w:right="20"/>
        <w:spacing w:after="0" w:line="248" w:lineRule="auto"/>
        <w:rPr>
          <w:sz w:val="20"/>
          <w:szCs w:val="20"/>
          <w:color w:val="auto"/>
        </w:rPr>
      </w:pPr>
      <w:r>
        <w:rPr>
          <w:rFonts w:ascii="Arial" w:cs="Arial" w:eastAsia="Arial" w:hAnsi="Arial"/>
          <w:sz w:val="21"/>
          <w:szCs w:val="21"/>
          <w:color w:val="auto"/>
        </w:rPr>
        <w:t>In Proposal 2, as a matter of good corporate governance, we are asking shareholders to ratify the Audit Committee’s selection of Deloitte &amp; Touche LLP to serve as Unitil’s independent registered public accounting firm.</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Voting Recommendation</w:t>
      </w:r>
    </w:p>
    <w:p>
      <w:pPr>
        <w:spacing w:after="0" w:line="12" w:lineRule="exact"/>
        <w:rPr>
          <w:sz w:val="20"/>
          <w:szCs w:val="20"/>
          <w:color w:val="auto"/>
        </w:rPr>
      </w:pPr>
    </w:p>
    <w:p>
      <w:pPr>
        <w:ind w:left="640" w:right="180"/>
        <w:spacing w:after="0" w:line="239" w:lineRule="auto"/>
        <w:rPr>
          <w:sz w:val="20"/>
          <w:szCs w:val="20"/>
          <w:color w:val="auto"/>
        </w:rPr>
      </w:pPr>
      <w:r>
        <w:rPr>
          <w:rFonts w:ascii="Arial" w:cs="Arial" w:eastAsia="Arial" w:hAnsi="Arial"/>
          <w:sz w:val="21"/>
          <w:szCs w:val="21"/>
          <w:color w:val="auto"/>
        </w:rPr>
        <w:t xml:space="preserve">The Board and the Audit Committee believe that the retention of Deloitte &amp; Touche LLP to serve as our independent registered public accounting firm for the fiscal year ending December 31, 2026, is in the best interests of both our Company and our shareholders. The Board and the Audit Committee recommend that shareholders vote </w:t>
      </w:r>
      <w:r>
        <w:rPr>
          <w:rFonts w:ascii="Arial" w:cs="Arial" w:eastAsia="Arial" w:hAnsi="Arial"/>
          <w:sz w:val="21"/>
          <w:szCs w:val="21"/>
          <w:b w:val="1"/>
          <w:bCs w:val="1"/>
          <w:color w:val="auto"/>
        </w:rPr>
        <w:t>FOR</w:t>
      </w:r>
      <w:r>
        <w:rPr>
          <w:rFonts w:ascii="Arial" w:cs="Arial" w:eastAsia="Arial" w:hAnsi="Arial"/>
          <w:sz w:val="21"/>
          <w:szCs w:val="21"/>
          <w:color w:val="auto"/>
        </w:rPr>
        <w:t xml:space="preserve"> the ratification of the selection and appointment of Deloitte &amp; Touche LLP.</w:t>
      </w:r>
    </w:p>
    <w:p>
      <w:pPr>
        <w:spacing w:after="0" w:line="200" w:lineRule="exact"/>
        <w:rPr>
          <w:sz w:val="20"/>
          <w:szCs w:val="20"/>
          <w:color w:val="auto"/>
        </w:rPr>
      </w:pPr>
    </w:p>
    <w:p>
      <w:pPr>
        <w:spacing w:after="0" w:line="381"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INFORMATION ABOUT THE RATIFICATION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46" w:lineRule="exact"/>
        <w:rPr>
          <w:sz w:val="20"/>
          <w:szCs w:val="20"/>
          <w:color w:val="auto"/>
        </w:rPr>
      </w:pPr>
    </w:p>
    <w:p>
      <w:pPr>
        <w:ind w:left="640" w:right="300"/>
        <w:spacing w:after="0" w:line="290" w:lineRule="auto"/>
        <w:rPr>
          <w:sz w:val="20"/>
          <w:szCs w:val="20"/>
          <w:color w:val="auto"/>
        </w:rPr>
      </w:pPr>
      <w:r>
        <w:rPr>
          <w:rFonts w:ascii="Arial" w:cs="Arial" w:eastAsia="Arial" w:hAnsi="Arial"/>
          <w:sz w:val="20"/>
          <w:szCs w:val="20"/>
          <w:color w:val="auto"/>
        </w:rPr>
        <w:t>The Audit Committee annually reviews the qualifications, performance and independence of our independent registered public accounting firm in accordance with regulatory requirements and guidelines.</w:t>
      </w:r>
    </w:p>
    <w:p>
      <w:pPr>
        <w:spacing w:after="0" w:line="146" w:lineRule="exact"/>
        <w:rPr>
          <w:sz w:val="20"/>
          <w:szCs w:val="20"/>
          <w:color w:val="auto"/>
        </w:rPr>
      </w:pPr>
    </w:p>
    <w:p>
      <w:pPr>
        <w:ind w:left="640" w:right="80"/>
        <w:spacing w:after="0" w:line="236" w:lineRule="auto"/>
        <w:rPr>
          <w:sz w:val="20"/>
          <w:szCs w:val="20"/>
          <w:color w:val="auto"/>
        </w:rPr>
      </w:pPr>
      <w:r>
        <w:rPr>
          <w:rFonts w:ascii="Arial" w:cs="Arial" w:eastAsia="Arial" w:hAnsi="Arial"/>
          <w:sz w:val="21"/>
          <w:szCs w:val="21"/>
          <w:color w:val="auto"/>
        </w:rPr>
        <w:t>Based on this review, the Audit Committee has appointed Deloitte &amp; Touche LLP (“Deloitte”), which has served as our independent registered public accounting firm since 2014, as the independent registered public accounting firm to perform annual audit and quarterly review services for fiscal year 2026. Although shareholder approval is not required for the appointment of Deloitte, the Board and the Audit Committee have determined that it would be desirable as a good corporate governance practice to request shareholders to ratify the selection of Deloitte. Ratification requires the affirmative vote of a majority of the shares entitled to vote on, and voted for or against, the matter, represented in person or by proxy at the Annual Meeting. If the shareholders do not ratify the appointment, the Audit Committee may reconsider the appointment. Even if the appointment is ratified, the Audit Committee, in its discretion, may select a different independent registered public accounting firm if it subsequently determines that such a change would be in the best interest of our Company and our shareholders.</w:t>
      </w:r>
    </w:p>
    <w:p>
      <w:pPr>
        <w:spacing w:after="0" w:line="208" w:lineRule="exact"/>
        <w:rPr>
          <w:sz w:val="20"/>
          <w:szCs w:val="20"/>
          <w:color w:val="auto"/>
        </w:rPr>
      </w:pPr>
    </w:p>
    <w:p>
      <w:pPr>
        <w:ind w:left="640" w:right="300"/>
        <w:spacing w:after="0" w:line="264" w:lineRule="auto"/>
        <w:rPr>
          <w:sz w:val="20"/>
          <w:szCs w:val="20"/>
          <w:color w:val="auto"/>
        </w:rPr>
      </w:pPr>
      <w:r>
        <w:rPr>
          <w:rFonts w:ascii="Arial" w:cs="Arial" w:eastAsia="Arial" w:hAnsi="Arial"/>
          <w:sz w:val="21"/>
          <w:szCs w:val="21"/>
          <w:color w:val="auto"/>
        </w:rPr>
        <w:t>Representatives of Deloitte will be available at the Annual Meeting and will have an opportunity to make a statement, if they wish. They will also be available to respond to questions from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133350</wp:posOffset>
            </wp:positionV>
            <wp:extent cx="6337300" cy="825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620"/>
          </w:cols>
          <w:pgMar w:left="320" w:top="470" w:right="9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7753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337300" cy="775335"/>
                    </a:xfrm>
                    <a:prstGeom prst="rect">
                      <a:avLst/>
                    </a:prstGeom>
                    <a:noFill/>
                  </pic:spPr>
                </pic:pic>
              </a:graphicData>
            </a:graphic>
          </wp:anchor>
        </w:drawing>
      </w:r>
    </w:p>
    <w:p>
      <w:pPr>
        <w:spacing w:after="0" w:line="348" w:lineRule="exact"/>
        <w:rPr>
          <w:sz w:val="20"/>
          <w:szCs w:val="20"/>
          <w:color w:val="auto"/>
        </w:rPr>
      </w:pPr>
    </w:p>
    <w:p>
      <w:pPr>
        <w:jc w:val="center"/>
        <w:ind w:left="940" w:right="420"/>
        <w:spacing w:after="0" w:line="269" w:lineRule="auto"/>
        <w:rPr>
          <w:sz w:val="20"/>
          <w:szCs w:val="20"/>
          <w:color w:val="auto"/>
        </w:rPr>
      </w:pPr>
      <w:r>
        <w:rPr>
          <w:rFonts w:ascii="Arial" w:cs="Arial" w:eastAsia="Arial" w:hAnsi="Arial"/>
          <w:sz w:val="31"/>
          <w:szCs w:val="31"/>
          <w:b w:val="1"/>
          <w:bCs w:val="1"/>
          <w:color w:val="auto"/>
        </w:rPr>
        <w:t>PROPOSAL 3: APPROVAL, ON AN ADVISORY BASIS, OF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-8255</wp:posOffset>
            </wp:positionV>
            <wp:extent cx="63373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187" w:lineRule="exact"/>
        <w:rPr>
          <w:sz w:val="20"/>
          <w:szCs w:val="20"/>
          <w:color w:val="auto"/>
        </w:rPr>
      </w:pPr>
    </w:p>
    <w:p>
      <w:pPr>
        <w:ind w:left="640" w:right="100"/>
        <w:spacing w:after="0" w:line="264" w:lineRule="auto"/>
        <w:rPr>
          <w:sz w:val="20"/>
          <w:szCs w:val="20"/>
          <w:color w:val="auto"/>
        </w:rPr>
      </w:pPr>
      <w:r>
        <w:rPr>
          <w:rFonts w:ascii="Arial" w:cs="Arial" w:eastAsia="Arial" w:hAnsi="Arial"/>
          <w:sz w:val="21"/>
          <w:szCs w:val="21"/>
          <w:color w:val="auto"/>
        </w:rPr>
        <w:t>In Proposal 3, we are asking shareholders to cast a non-binding advisory vote to approve the compensation of the Named Executive Officers.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Voting Recommendation</w:t>
      </w:r>
    </w:p>
    <w:p>
      <w:pPr>
        <w:spacing w:after="0" w:line="12" w:lineRule="exact"/>
        <w:rPr>
          <w:sz w:val="20"/>
          <w:szCs w:val="20"/>
          <w:color w:val="auto"/>
        </w:rPr>
      </w:pPr>
    </w:p>
    <w:p>
      <w:pPr>
        <w:ind w:left="640" w:right="80"/>
        <w:spacing w:after="0" w:line="237" w:lineRule="auto"/>
        <w:rPr>
          <w:sz w:val="20"/>
          <w:szCs w:val="20"/>
          <w:color w:val="auto"/>
        </w:rPr>
      </w:pPr>
      <w:r>
        <w:rPr>
          <w:rFonts w:ascii="Arial" w:cs="Arial" w:eastAsia="Arial" w:hAnsi="Arial"/>
          <w:sz w:val="21"/>
          <w:szCs w:val="21"/>
          <w:color w:val="auto"/>
        </w:rPr>
        <w:t xml:space="preserve">In deciding how to vote on this proposal, the Board and the Compensation Committee encourage shareholders to read the Compensation Discussion and Analysis, compensation tables and narrative discussion contained in this proxy statement. The Board recommends an advisory vote </w:t>
      </w:r>
      <w:r>
        <w:rPr>
          <w:rFonts w:ascii="Arial" w:cs="Arial" w:eastAsia="Arial" w:hAnsi="Arial"/>
          <w:sz w:val="21"/>
          <w:szCs w:val="21"/>
          <w:b w:val="1"/>
          <w:bCs w:val="1"/>
          <w:color w:val="auto"/>
        </w:rPr>
        <w:t>FOR</w:t>
      </w:r>
      <w:r>
        <w:rPr>
          <w:rFonts w:ascii="Arial" w:cs="Arial" w:eastAsia="Arial" w:hAnsi="Arial"/>
          <w:sz w:val="21"/>
          <w:szCs w:val="21"/>
          <w:color w:val="auto"/>
        </w:rPr>
        <w:t xml:space="preserve"> the approval of the compensation of our Named Executive Officers.</w:t>
      </w: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INFORMATION ABOUT THE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20320</wp:posOffset>
            </wp:positionV>
            <wp:extent cx="633730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246" w:lineRule="exact"/>
        <w:rPr>
          <w:sz w:val="20"/>
          <w:szCs w:val="20"/>
          <w:color w:val="auto"/>
        </w:rPr>
      </w:pPr>
    </w:p>
    <w:p>
      <w:pPr>
        <w:ind w:left="640" w:right="160"/>
        <w:spacing w:after="0" w:line="238" w:lineRule="auto"/>
        <w:rPr>
          <w:sz w:val="20"/>
          <w:szCs w:val="20"/>
          <w:color w:val="auto"/>
        </w:rPr>
      </w:pPr>
      <w:r>
        <w:rPr>
          <w:rFonts w:ascii="Arial" w:cs="Arial" w:eastAsia="Arial" w:hAnsi="Arial"/>
          <w:sz w:val="21"/>
          <w:szCs w:val="21"/>
          <w:color w:val="auto"/>
        </w:rPr>
        <w:t>In accordance with Section 14A of the Exchange Act and Rule 14a-21(a), shareholders are being asked to approve the compensation of the Named Executive Officers, as disclosed pursuant to Item 402 of Regulation S-K, which includes the Compensation Discussion and Analysis, compensation tables and narrative discussion contained in this proxy statement. This proposal, commonly known as a “say-on-pay” vote, gives shareholders the opportunity to express their views on the compensation of the Named Executive Officers. This vote is not intended to address any specific aspect of compensation, but rather the overall compensation of the Named Executive Officers.</w:t>
      </w:r>
    </w:p>
    <w:p>
      <w:pPr>
        <w:spacing w:after="0" w:line="195" w:lineRule="exact"/>
        <w:rPr>
          <w:sz w:val="20"/>
          <w:szCs w:val="20"/>
          <w:color w:val="auto"/>
        </w:rPr>
      </w:pPr>
    </w:p>
    <w:p>
      <w:pPr>
        <w:ind w:left="640" w:right="120"/>
        <w:spacing w:after="0" w:line="249" w:lineRule="auto"/>
        <w:rPr>
          <w:sz w:val="20"/>
          <w:szCs w:val="20"/>
          <w:color w:val="auto"/>
        </w:rPr>
      </w:pPr>
      <w:r>
        <w:rPr>
          <w:rFonts w:ascii="Arial" w:cs="Arial" w:eastAsia="Arial" w:hAnsi="Arial"/>
          <w:sz w:val="20"/>
          <w:szCs w:val="20"/>
          <w:color w:val="auto"/>
        </w:rPr>
        <w:t xml:space="preserve">As discussed in the section entitled </w:t>
      </w:r>
      <w:r>
        <w:rPr>
          <w:rFonts w:ascii="Arial" w:cs="Arial" w:eastAsia="Arial" w:hAnsi="Arial"/>
          <w:sz w:val="20"/>
          <w:szCs w:val="20"/>
          <w:i w:val="1"/>
          <w:iCs w:val="1"/>
          <w:color w:val="auto"/>
        </w:rPr>
        <w:t>Compensation - Compensation Discussion and Analysis</w:t>
      </w:r>
      <w:r>
        <w:rPr>
          <w:rFonts w:ascii="Arial" w:cs="Arial" w:eastAsia="Arial" w:hAnsi="Arial"/>
          <w:sz w:val="20"/>
          <w:szCs w:val="20"/>
          <w:color w:val="auto"/>
        </w:rPr>
        <w:t xml:space="preserve">, our executive compensation programs are designed to attract, retain and motivate executives who are critical to our long-term growth and profitability. Under these programs, our executives are incentivized to achieve specific Company performance goals established by the Compensation Committee, without encouraging undue or unreasonable risk-taking. The Compensation Committee reviews the executive compensation programs regularly to ensure executive compensation is aligned with the interests of our shareholders, as well as with current market practices. Please see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and the </w:t>
      </w:r>
      <w:r>
        <w:rPr>
          <w:rFonts w:ascii="Arial" w:cs="Arial" w:eastAsia="Arial" w:hAnsi="Arial"/>
          <w:sz w:val="20"/>
          <w:szCs w:val="20"/>
          <w:i w:val="1"/>
          <w:iCs w:val="1"/>
          <w:color w:val="auto"/>
        </w:rPr>
        <w:t>Compensation of</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Named Executive Officers </w:t>
      </w:r>
      <w:r>
        <w:rPr>
          <w:rFonts w:ascii="Arial" w:cs="Arial" w:eastAsia="Arial" w:hAnsi="Arial"/>
          <w:sz w:val="20"/>
          <w:szCs w:val="20"/>
          <w:color w:val="auto"/>
        </w:rPr>
        <w:t>sections for information about executive compensation programs, including</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about the fiscal year 2025 compensation of the Named Executive Officers.</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The Board recommends that shareholders vote </w:t>
      </w:r>
      <w:r>
        <w:rPr>
          <w:rFonts w:ascii="Arial" w:cs="Arial" w:eastAsia="Arial" w:hAnsi="Arial"/>
          <w:sz w:val="21"/>
          <w:szCs w:val="21"/>
          <w:b w:val="1"/>
          <w:bCs w:val="1"/>
          <w:color w:val="auto"/>
        </w:rPr>
        <w:t>FOR</w:t>
      </w:r>
      <w:r>
        <w:rPr>
          <w:rFonts w:ascii="Arial" w:cs="Arial" w:eastAsia="Arial" w:hAnsi="Arial"/>
          <w:sz w:val="21"/>
          <w:szCs w:val="21"/>
          <w:color w:val="auto"/>
        </w:rPr>
        <w:t xml:space="preserve"> the following resolution:</w:t>
      </w:r>
    </w:p>
    <w:p>
      <w:pPr>
        <w:spacing w:after="0" w:line="96" w:lineRule="exact"/>
        <w:rPr>
          <w:sz w:val="20"/>
          <w:szCs w:val="20"/>
          <w:color w:val="auto"/>
        </w:rPr>
      </w:pPr>
    </w:p>
    <w:p>
      <w:pPr>
        <w:ind w:left="1540" w:right="460"/>
        <w:spacing w:after="0" w:line="243" w:lineRule="auto"/>
        <w:rPr>
          <w:sz w:val="20"/>
          <w:szCs w:val="20"/>
          <w:color w:val="auto"/>
        </w:rPr>
      </w:pPr>
      <w:r>
        <w:rPr>
          <w:rFonts w:ascii="Arial" w:cs="Arial" w:eastAsia="Arial" w:hAnsi="Arial"/>
          <w:sz w:val="21"/>
          <w:szCs w:val="21"/>
          <w:color w:val="auto"/>
        </w:rPr>
        <w:t xml:space="preserve">“RESOLVED, that the compensation paid to Unitil Corporation’s Named Executive Officers, as disclosed in this proxy statement pursuant to Item 402 of Regulation S-K (including the </w:t>
      </w:r>
      <w:r>
        <w:rPr>
          <w:rFonts w:ascii="Arial" w:cs="Arial" w:eastAsia="Arial" w:hAnsi="Arial"/>
          <w:sz w:val="21"/>
          <w:szCs w:val="21"/>
          <w:i w:val="1"/>
          <w:iCs w:val="1"/>
          <w:color w:val="auto"/>
        </w:rPr>
        <w:t xml:space="preserve">Compensation Discussion and Analysis </w:t>
      </w:r>
      <w:r>
        <w:rPr>
          <w:rFonts w:ascii="Arial" w:cs="Arial" w:eastAsia="Arial" w:hAnsi="Arial"/>
          <w:sz w:val="21"/>
          <w:szCs w:val="21"/>
          <w:color w:val="auto"/>
        </w:rPr>
        <w:t>and the</w:t>
      </w:r>
      <w:r>
        <w:rPr>
          <w:rFonts w:ascii="Arial" w:cs="Arial" w:eastAsia="Arial" w:hAnsi="Arial"/>
          <w:sz w:val="21"/>
          <w:szCs w:val="21"/>
          <w:i w:val="1"/>
          <w:iCs w:val="1"/>
          <w:color w:val="auto"/>
        </w:rPr>
        <w:t xml:space="preserve"> Compensation of Named Executive Officers </w:t>
      </w:r>
      <w:r>
        <w:rPr>
          <w:rFonts w:ascii="Arial" w:cs="Arial" w:eastAsia="Arial" w:hAnsi="Arial"/>
          <w:sz w:val="21"/>
          <w:szCs w:val="21"/>
          <w:color w:val="auto"/>
        </w:rPr>
        <w:t>sections of this proxy statement) is hereby APPROVED.”</w:t>
      </w:r>
    </w:p>
    <w:p>
      <w:pPr>
        <w:spacing w:after="0" w:line="191" w:lineRule="exact"/>
        <w:rPr>
          <w:sz w:val="20"/>
          <w:szCs w:val="20"/>
          <w:color w:val="auto"/>
        </w:rPr>
      </w:pPr>
    </w:p>
    <w:p>
      <w:pPr>
        <w:ind w:left="640" w:right="60"/>
        <w:spacing w:after="0" w:line="255" w:lineRule="auto"/>
        <w:rPr>
          <w:sz w:val="20"/>
          <w:szCs w:val="20"/>
          <w:color w:val="auto"/>
        </w:rPr>
      </w:pPr>
      <w:r>
        <w:rPr>
          <w:rFonts w:ascii="Arial" w:cs="Arial" w:eastAsia="Arial" w:hAnsi="Arial"/>
          <w:sz w:val="20"/>
          <w:szCs w:val="20"/>
          <w:color w:val="auto"/>
        </w:rPr>
        <w:t>As an advisory vote, this proposal is not binding upon our Company, the Compensation Committee, or the Board. Also, the outcome of the vote will not affect any compensation already paid to our Named Executive Officers. However, the Board, as well as the Compensation Committee, which is responsible for designing and administering our executive compensation program, value the opinions expressed by shareholders, and will consider the outcome of the vote when making future decisions regarding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140335</wp:posOffset>
            </wp:positionV>
            <wp:extent cx="6337300" cy="9080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337300" cy="9080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620"/>
          </w:cols>
          <w:pgMar w:left="320" w:top="470" w:right="9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210820</wp:posOffset>
            </wp:positionV>
            <wp:extent cx="6337300" cy="3136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337300" cy="313690"/>
                    </a:xfrm>
                    <a:prstGeom prst="rect">
                      <a:avLst/>
                    </a:prstGeom>
                    <a:noFill/>
                  </pic:spPr>
                </pic:pic>
              </a:graphicData>
            </a:graphic>
          </wp:anchor>
        </w:drawing>
      </w:r>
    </w:p>
    <w:p>
      <w:pPr>
        <w:spacing w:after="0" w:line="348" w:lineRule="exact"/>
        <w:rPr>
          <w:sz w:val="20"/>
          <w:szCs w:val="20"/>
          <w:color w:val="auto"/>
        </w:rPr>
      </w:pPr>
    </w:p>
    <w:p>
      <w:pPr>
        <w:ind w:left="4300"/>
        <w:spacing w:after="0"/>
        <w:rPr>
          <w:sz w:val="20"/>
          <w:szCs w:val="20"/>
          <w:color w:val="auto"/>
        </w:rPr>
      </w:pPr>
      <w:r>
        <w:rPr>
          <w:rFonts w:ascii="Arial" w:cs="Arial" w:eastAsia="Arial" w:hAnsi="Arial"/>
          <w:sz w:val="31"/>
          <w:szCs w:val="31"/>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64135</wp:posOffset>
            </wp:positionV>
            <wp:extent cx="633730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301" w:lineRule="exact"/>
        <w:rPr>
          <w:sz w:val="20"/>
          <w:szCs w:val="20"/>
          <w:color w:val="auto"/>
        </w:rPr>
      </w:pPr>
    </w:p>
    <w:p>
      <w:pPr>
        <w:ind w:left="640" w:right="120"/>
        <w:spacing w:after="0" w:line="239" w:lineRule="auto"/>
        <w:rPr>
          <w:sz w:val="20"/>
          <w:szCs w:val="20"/>
          <w:color w:val="auto"/>
        </w:rPr>
      </w:pPr>
      <w:r>
        <w:rPr>
          <w:rFonts w:ascii="Arial" w:cs="Arial" w:eastAsia="Arial" w:hAnsi="Arial"/>
          <w:sz w:val="21"/>
          <w:szCs w:val="21"/>
          <w:color w:val="auto"/>
        </w:rPr>
        <w:t>The Board and management do not intend to bring before the Annual Meeting any matters other than those described above and know of no other matters that may properly come before the Annual Meeting or other matters incident to the conduct of the meeting. If any other matter properly comes before the Annual Meeting, it is the intention of the persons named as proxies to vote the shares represented in accordance with their judgment on such matter. Discretionary authority with respect to such other matters is granted by the execution of the enclosed proxy or the submission of a proxy via the Internet.</w:t>
      </w:r>
    </w:p>
    <w:p>
      <w:pPr>
        <w:spacing w:after="0" w:line="200" w:lineRule="exact"/>
        <w:rPr>
          <w:sz w:val="20"/>
          <w:szCs w:val="20"/>
          <w:color w:val="auto"/>
        </w:rPr>
      </w:pPr>
    </w:p>
    <w:p>
      <w:pPr>
        <w:spacing w:after="0" w:line="388"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Announcement of Voting Results</w:t>
      </w:r>
    </w:p>
    <w:p>
      <w:pPr>
        <w:spacing w:after="0" w:line="110" w:lineRule="exact"/>
        <w:rPr>
          <w:sz w:val="20"/>
          <w:szCs w:val="20"/>
          <w:color w:val="auto"/>
        </w:rPr>
      </w:pPr>
    </w:p>
    <w:p>
      <w:pPr>
        <w:ind w:left="640" w:right="100"/>
        <w:spacing w:after="0"/>
        <w:rPr>
          <w:sz w:val="20"/>
          <w:szCs w:val="20"/>
          <w:color w:val="auto"/>
        </w:rPr>
      </w:pPr>
      <w:r>
        <w:rPr>
          <w:rFonts w:ascii="Arial" w:cs="Arial" w:eastAsia="Arial" w:hAnsi="Arial"/>
          <w:sz w:val="21"/>
          <w:szCs w:val="21"/>
          <w:color w:val="auto"/>
        </w:rPr>
        <w:t xml:space="preserve">We will announce the preliminary voting results at the 2026 Annual Meeting, and will report the final results in a Current Report on Form 8-K filed with the SEC on or before May 5, 2026, which will also be available in the Investor Relations section of our website at </w:t>
      </w:r>
      <w:r>
        <w:rPr>
          <w:rFonts w:ascii="Arial" w:cs="Arial" w:eastAsia="Arial" w:hAnsi="Arial"/>
          <w:sz w:val="21"/>
          <w:szCs w:val="21"/>
          <w:u w:val="single" w:color="auto"/>
          <w:color w:val="4289F7"/>
        </w:rPr>
        <w:t>unitil.com/investors</w:t>
      </w:r>
      <w:r>
        <w:rPr>
          <w:rFonts w:ascii="Arial" w:cs="Arial" w:eastAsia="Arial" w:hAnsi="Arial"/>
          <w:sz w:val="21"/>
          <w:szCs w:val="21"/>
          <w:color w:val="auto"/>
        </w:rPr>
        <w:t>. We have retained Computershare Investor Services as the independent tabulator to receive and tabulate the proxies, and as independent inspector of election to certify the results.</w:t>
      </w:r>
    </w:p>
    <w:p>
      <w:pPr>
        <w:spacing w:after="0" w:line="200" w:lineRule="exact"/>
        <w:rPr>
          <w:sz w:val="20"/>
          <w:szCs w:val="20"/>
          <w:color w:val="auto"/>
        </w:rPr>
      </w:pPr>
    </w:p>
    <w:p>
      <w:pPr>
        <w:spacing w:after="0" w:line="390"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Information Incorporated by Reference</w:t>
      </w:r>
    </w:p>
    <w:p>
      <w:pPr>
        <w:spacing w:after="0" w:line="110" w:lineRule="exact"/>
        <w:rPr>
          <w:sz w:val="20"/>
          <w:szCs w:val="20"/>
          <w:color w:val="auto"/>
        </w:rPr>
      </w:pPr>
    </w:p>
    <w:p>
      <w:pPr>
        <w:ind w:left="640" w:right="60"/>
        <w:spacing w:after="0" w:line="237" w:lineRule="auto"/>
        <w:rPr>
          <w:sz w:val="20"/>
          <w:szCs w:val="20"/>
          <w:color w:val="auto"/>
        </w:rPr>
      </w:pPr>
      <w:r>
        <w:rPr>
          <w:rFonts w:ascii="Arial" w:cs="Arial" w:eastAsia="Arial" w:hAnsi="Arial"/>
          <w:sz w:val="21"/>
          <w:szCs w:val="21"/>
          <w:color w:val="auto"/>
        </w:rPr>
        <w:t>We have made previous filings under the Securities Act and the Exchange Act that incorporate future filings, including this proxy statement, in whole or in part. However, the Compensation Committee Report and the Audit Committee Report shall not be incorporated by reference into any such filings. This proxy statement also includes references to websites, website addresses, and additional materials found on those websites. The content of any websites and materials named, hyperlinked, or otherwise referenced in this proxy statement, are not incorporated by reference into this proxy statement or into any other report or document we file with the SEC, and any references to such website and materials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22225</wp:posOffset>
            </wp:positionV>
            <wp:extent cx="633730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145" w:lineRule="exact"/>
        <w:rPr>
          <w:sz w:val="20"/>
          <w:szCs w:val="20"/>
          <w:color w:val="auto"/>
        </w:rPr>
      </w:pPr>
    </w:p>
    <w:p>
      <w:pPr>
        <w:jc w:val="both"/>
        <w:ind w:left="640" w:right="500"/>
        <w:spacing w:after="0" w:line="290" w:lineRule="auto"/>
        <w:rPr>
          <w:sz w:val="20"/>
          <w:szCs w:val="20"/>
          <w:color w:val="auto"/>
        </w:rPr>
      </w:pPr>
      <w:r>
        <w:rPr>
          <w:rFonts w:ascii="Arial" w:cs="Arial" w:eastAsia="Arial" w:hAnsi="Arial"/>
          <w:sz w:val="20"/>
          <w:szCs w:val="20"/>
          <w:color w:val="auto"/>
        </w:rPr>
        <w:t>Any proposal submitted by a shareholder of Unitil for inclusion in the proxy material for our 2027 annual meeting of shareholders must be received by us at our corporate headquarters by November 27, 2026.</w:t>
      </w:r>
    </w:p>
    <w:p>
      <w:pPr>
        <w:spacing w:after="0" w:line="159" w:lineRule="exact"/>
        <w:rPr>
          <w:sz w:val="20"/>
          <w:szCs w:val="20"/>
          <w:color w:val="auto"/>
        </w:rPr>
      </w:pPr>
    </w:p>
    <w:p>
      <w:pPr>
        <w:ind w:left="640" w:right="20"/>
        <w:spacing w:after="0" w:line="247" w:lineRule="auto"/>
        <w:rPr>
          <w:sz w:val="20"/>
          <w:szCs w:val="20"/>
          <w:color w:val="auto"/>
        </w:rPr>
      </w:pPr>
      <w:r>
        <w:rPr>
          <w:rFonts w:ascii="Arial" w:cs="Arial" w:eastAsia="Arial" w:hAnsi="Arial"/>
          <w:sz w:val="20"/>
          <w:szCs w:val="20"/>
          <w:color w:val="auto"/>
        </w:rPr>
        <w:t>Our Bylaws provide that any proposal or Director nomination submitted by a shareholder of our Company for consideration at our 2027 annual meeting of shareholders must be received by us at our corporate headquarters not earlier than December 30, 2026, and not later than January 29, 2027. However, if the date of our 2026 annual meeting of shareholders is not within 30 days of April 29, 2027, then the proposal or Director nomination must be received not later than the close of business on the tenth day following the earlier of (i) the day on which notice of the date of our 2027 annual meeting of shareholders was mailed and</w:t>
      </w:r>
    </w:p>
    <w:p>
      <w:pPr>
        <w:spacing w:after="0" w:line="3" w:lineRule="exact"/>
        <w:rPr>
          <w:sz w:val="20"/>
          <w:szCs w:val="20"/>
          <w:color w:val="auto"/>
        </w:rPr>
      </w:pPr>
    </w:p>
    <w:p>
      <w:pPr>
        <w:ind w:left="640" w:right="260" w:hanging="6"/>
        <w:spacing w:after="0" w:line="269" w:lineRule="auto"/>
        <w:tabs>
          <w:tab w:leader="none" w:pos="929"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day on which public disclosure of the date of our 2027 annual meeting of shareholders was made. The proposal or Director nomination also must comply with the other requirements set forth in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130175</wp:posOffset>
            </wp:positionV>
            <wp:extent cx="6337300" cy="825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620"/>
          </w:cols>
          <w:pgMar w:left="320" w:top="470" w:right="9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63500</wp:posOffset>
            </wp:positionV>
            <wp:extent cx="63373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171" w:lineRule="exact"/>
        <w:rPr>
          <w:sz w:val="20"/>
          <w:szCs w:val="20"/>
          <w:color w:val="auto"/>
        </w:rPr>
      </w:pPr>
    </w:p>
    <w:p>
      <w:pPr>
        <w:ind w:left="640" w:right="60"/>
        <w:spacing w:after="0" w:line="236" w:lineRule="auto"/>
        <w:rPr>
          <w:sz w:val="20"/>
          <w:szCs w:val="20"/>
          <w:color w:val="auto"/>
        </w:rPr>
      </w:pPr>
      <w:r>
        <w:rPr>
          <w:rFonts w:ascii="Arial" w:cs="Arial" w:eastAsia="Arial" w:hAnsi="Arial"/>
          <w:sz w:val="21"/>
          <w:szCs w:val="21"/>
          <w:color w:val="auto"/>
        </w:rPr>
        <w:t>We anticipate first mailing definitive copies of this proxy statement on or about March 27, 2026. We are asking for your proxy and will pay all of the costs associated with asking for shareholders’ proxies for the 2026 Annual Meeting. In addition to the use of the mail, proxies may be solicited by the Directors, officers and employees of Unitil by personal interview, telephone or otherwise. Directors, officers and employees will not be additionally compensated, but may be reimbursed for out-of-pocket expenses in connection with solicitation. Arrangements also will be made with brokerage houses and other custodians, nominees and fiduciaries for the forwarding of solicitation material to Beneficial Holders, and we will reimburse custodians, nominees and fiduciaries for reasonable out-of-pocket expenses in connection with the forwarding of solicitation material.</w:t>
      </w:r>
    </w:p>
    <w:p>
      <w:pPr>
        <w:spacing w:after="0" w:line="215" w:lineRule="exact"/>
        <w:rPr>
          <w:sz w:val="20"/>
          <w:szCs w:val="20"/>
          <w:color w:val="auto"/>
        </w:rPr>
      </w:pPr>
    </w:p>
    <w:p>
      <w:pPr>
        <w:ind w:left="640" w:right="320"/>
        <w:spacing w:after="0" w:line="243" w:lineRule="auto"/>
        <w:rPr>
          <w:sz w:val="20"/>
          <w:szCs w:val="20"/>
          <w:color w:val="auto"/>
        </w:rPr>
      </w:pPr>
      <w:r>
        <w:rPr>
          <w:rFonts w:ascii="Arial" w:cs="Arial" w:eastAsia="Arial" w:hAnsi="Arial"/>
          <w:sz w:val="21"/>
          <w:szCs w:val="21"/>
          <w:color w:val="auto"/>
        </w:rPr>
        <w:t>We have also retained Alliance Advisors, LLC, to assist in the solicitation of proxies and will bear all reasonable solicitation fees and expenses associated with such retention at a fee of $15,750 plus any additional reasonable out-of-pocket expenses. Alliance Advisors, LLC, and certain related persons will be indemnified against certain liabilities arising out of or in connection with the engagement.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40"/>
        <w:spacing w:after="0"/>
        <w:rPr>
          <w:sz w:val="20"/>
          <w:szCs w:val="20"/>
          <w:color w:val="auto"/>
        </w:rPr>
      </w:pPr>
      <w:r>
        <w:rPr>
          <w:rFonts w:ascii="Arial" w:cs="Arial" w:eastAsia="Arial" w:hAnsi="Arial"/>
          <w:sz w:val="28"/>
          <w:szCs w:val="28"/>
          <w:b w:val="1"/>
          <w:bCs w:val="1"/>
          <w:color w:val="auto"/>
        </w:rPr>
        <w:t>COMPANY DOCUMENTS &amp;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63500</wp:posOffset>
            </wp:positionV>
            <wp:extent cx="633730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337300" cy="8255"/>
                    </a:xfrm>
                    <a:prstGeom prst="rect">
                      <a:avLst/>
                    </a:prstGeom>
                    <a:noFill/>
                  </pic:spPr>
                </pic:pic>
              </a:graphicData>
            </a:graphic>
          </wp:anchor>
        </w:drawing>
      </w:r>
    </w:p>
    <w:p>
      <w:pPr>
        <w:spacing w:after="0" w:line="170" w:lineRule="exact"/>
        <w:rPr>
          <w:sz w:val="20"/>
          <w:szCs w:val="20"/>
          <w:color w:val="auto"/>
        </w:rPr>
      </w:pPr>
    </w:p>
    <w:p>
      <w:pPr>
        <w:ind w:left="640" w:right="80"/>
        <w:spacing w:after="0" w:line="290" w:lineRule="auto"/>
        <w:rPr>
          <w:sz w:val="20"/>
          <w:szCs w:val="20"/>
          <w:color w:val="auto"/>
        </w:rPr>
      </w:pPr>
      <w:r>
        <w:rPr>
          <w:rFonts w:ascii="Arial" w:cs="Arial" w:eastAsia="Arial" w:hAnsi="Arial"/>
          <w:sz w:val="20"/>
          <w:szCs w:val="20"/>
          <w:color w:val="auto"/>
        </w:rPr>
        <w:t>We will promptly deliver free of charge, upon request, a copy of the Corporate Governance Guidelines, Board Committee Charters or Code of Ethics to any shareholder or other interested party requesting a copy.</w:t>
      </w:r>
    </w:p>
    <w:p>
      <w:pPr>
        <w:spacing w:after="0" w:line="159" w:lineRule="exact"/>
        <w:rPr>
          <w:sz w:val="20"/>
          <w:szCs w:val="20"/>
          <w:color w:val="auto"/>
        </w:rPr>
      </w:pPr>
    </w:p>
    <w:p>
      <w:pPr>
        <w:ind w:left="640" w:right="200"/>
        <w:spacing w:after="0" w:line="243" w:lineRule="auto"/>
        <w:rPr>
          <w:sz w:val="20"/>
          <w:szCs w:val="20"/>
          <w:color w:val="auto"/>
        </w:rPr>
      </w:pPr>
      <w:r>
        <w:rPr>
          <w:rFonts w:ascii="Arial" w:cs="Arial" w:eastAsia="Arial" w:hAnsi="Arial"/>
          <w:sz w:val="21"/>
          <w:szCs w:val="21"/>
          <w:color w:val="auto"/>
        </w:rPr>
        <w:t>The 2025 Form 10-K includes our financial statements for the year ended December 31, 2025. We have furnished the 2025 Form 10-K to all shareholders. The 2025 Form 10-K does not form any part of the material for the solicitation of proxies. We will furnish a copy of our 2025 Form 10-K, without charge, to any shareholder or other interested party.</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All requests for our Company documents should be directed to the Office of the Corporate Secretary,</w:t>
      </w:r>
    </w:p>
    <w:p>
      <w:pPr>
        <w:spacing w:after="0" w:line="12" w:lineRule="exact"/>
        <w:rPr>
          <w:sz w:val="20"/>
          <w:szCs w:val="20"/>
          <w:color w:val="auto"/>
        </w:rPr>
      </w:pPr>
    </w:p>
    <w:p>
      <w:pPr>
        <w:ind w:left="640" w:right="20"/>
        <w:spacing w:after="0" w:line="245" w:lineRule="auto"/>
        <w:rPr>
          <w:sz w:val="20"/>
          <w:szCs w:val="20"/>
          <w:color w:val="auto"/>
        </w:rPr>
      </w:pPr>
      <w:r>
        <w:rPr>
          <w:rFonts w:ascii="Arial" w:cs="Arial" w:eastAsia="Arial" w:hAnsi="Arial"/>
          <w:sz w:val="21"/>
          <w:szCs w:val="21"/>
          <w:color w:val="auto"/>
        </w:rPr>
        <w:t xml:space="preserve">Unitil Corporation, 6 Liberty Lane West, Hampton, NH 03842-1720; or to </w:t>
      </w:r>
      <w:r>
        <w:rPr>
          <w:rFonts w:ascii="Arial" w:cs="Arial" w:eastAsia="Arial" w:hAnsi="Arial"/>
          <w:sz w:val="21"/>
          <w:szCs w:val="21"/>
          <w:u w:val="single" w:color="auto"/>
          <w:color w:val="4289F7"/>
        </w:rPr>
        <w:t>InvestorRelations@unitil.com</w:t>
      </w:r>
      <w:r>
        <w:rPr>
          <w:rFonts w:ascii="Arial" w:cs="Arial" w:eastAsia="Arial" w:hAnsi="Arial"/>
          <w:sz w:val="21"/>
          <w:szCs w:val="21"/>
          <w:color w:val="auto"/>
        </w:rPr>
        <w:t>; or by calling toll free 800-999-6501.</w:t>
      </w:r>
    </w:p>
    <w:p>
      <w:pPr>
        <w:spacing w:after="0" w:line="202" w:lineRule="exact"/>
        <w:rPr>
          <w:sz w:val="20"/>
          <w:szCs w:val="20"/>
          <w:color w:val="auto"/>
        </w:rPr>
      </w:pPr>
    </w:p>
    <w:p>
      <w:pPr>
        <w:ind w:left="640" w:right="360"/>
        <w:spacing w:after="0" w:line="248" w:lineRule="auto"/>
        <w:rPr>
          <w:sz w:val="20"/>
          <w:szCs w:val="20"/>
          <w:color w:val="auto"/>
        </w:rPr>
      </w:pPr>
      <w:r>
        <w:rPr>
          <w:rFonts w:ascii="Arial" w:cs="Arial" w:eastAsia="Arial" w:hAnsi="Arial"/>
          <w:sz w:val="21"/>
          <w:szCs w:val="21"/>
          <w:color w:val="auto"/>
        </w:rPr>
        <w:t xml:space="preserve">We invite you to visit our website </w:t>
      </w:r>
      <w:r>
        <w:rPr>
          <w:rFonts w:ascii="Arial" w:cs="Arial" w:eastAsia="Arial" w:hAnsi="Arial"/>
          <w:sz w:val="21"/>
          <w:szCs w:val="21"/>
          <w:u w:val="single" w:color="auto"/>
          <w:color w:val="4289F7"/>
        </w:rPr>
        <w:t>unitil.com</w:t>
      </w:r>
      <w:r>
        <w:rPr>
          <w:rFonts w:ascii="Arial" w:cs="Arial" w:eastAsia="Arial" w:hAnsi="Arial"/>
          <w:sz w:val="21"/>
          <w:szCs w:val="21"/>
          <w:color w:val="auto"/>
        </w:rPr>
        <w:t xml:space="preserve"> for more information about our Company, our people, technologies, and community involvement, as well as for detailed and historical financial information, and additional information about our governance and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143510</wp:posOffset>
            </wp:positionV>
            <wp:extent cx="6337300" cy="825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337300" cy="825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620"/>
          </w:cols>
          <w:pgMar w:left="320" w:top="470" w:right="9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5332730</wp:posOffset>
            </wp:positionH>
            <wp:positionV relativeFrom="paragraph">
              <wp:posOffset>5673090</wp:posOffset>
            </wp:positionV>
            <wp:extent cx="1410970" cy="6356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410970" cy="635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001CSR0114</w:t>
      </w:r>
    </w:p>
    <w:p>
      <w:pPr>
        <w:sectPr>
          <w:pgSz w:w="11900" w:h="16838" w:orient="portrait"/>
          <w:cols w:equalWidth="0" w:num="1">
            <w:col w:w="10620"/>
          </w:cols>
          <w:pgMar w:left="320" w:top="470" w:right="9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210820</wp:posOffset>
            </wp:positionV>
            <wp:extent cx="2863215" cy="7423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863215" cy="742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2205990</wp:posOffset>
            </wp:positionV>
            <wp:extent cx="297180" cy="26416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97180" cy="26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 xml:space="preserve">Using a </w:t>
      </w:r>
      <w:r>
        <w:rPr>
          <w:rFonts w:ascii="Times New Roman" w:cs="Times New Roman" w:eastAsia="Times New Roman" w:hAnsi="Times New Roman"/>
          <w:sz w:val="13"/>
          <w:szCs w:val="13"/>
          <w:b w:val="1"/>
          <w:bCs w:val="1"/>
          <w:u w:val="single" w:color="auto"/>
          <w:color w:val="auto"/>
        </w:rPr>
        <w:t>black ink</w:t>
      </w:r>
      <w:r>
        <w:rPr>
          <w:rFonts w:ascii="Times New Roman" w:cs="Times New Roman" w:eastAsia="Times New Roman" w:hAnsi="Times New Roman"/>
          <w:sz w:val="13"/>
          <w:szCs w:val="13"/>
          <w:color w:val="auto"/>
        </w:rPr>
        <w:t xml:space="preserve"> pen, mark your votes with an </w:t>
      </w:r>
      <w:r>
        <w:rPr>
          <w:rFonts w:ascii="Times New Roman" w:cs="Times New Roman" w:eastAsia="Times New Roman" w:hAnsi="Times New Roman"/>
          <w:sz w:val="13"/>
          <w:szCs w:val="13"/>
          <w:b w:val="1"/>
          <w:bCs w:val="1"/>
          <w:color w:val="auto"/>
        </w:rPr>
        <w:t>X</w:t>
      </w:r>
      <w:r>
        <w:rPr>
          <w:rFonts w:ascii="Times New Roman" w:cs="Times New Roman" w:eastAsia="Times New Roman" w:hAnsi="Times New Roman"/>
          <w:sz w:val="13"/>
          <w:szCs w:val="13"/>
          <w:color w:val="auto"/>
        </w:rPr>
        <w:t xml:space="preserve"> as shown in this example.</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198755</wp:posOffset>
            </wp:positionV>
            <wp:extent cx="6732905" cy="28067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732905" cy="280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Your vote matters – here’s how to vote!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may vote online instead of mailing this card.</w:t>
      </w:r>
    </w:p>
    <w:p>
      <w:pPr>
        <w:spacing w:after="0" w:line="81" w:lineRule="exact"/>
        <w:rPr>
          <w:sz w:val="20"/>
          <w:szCs w:val="20"/>
          <w:color w:val="auto"/>
        </w:rPr>
      </w:pPr>
    </w:p>
    <w:p>
      <w:pPr>
        <w:jc w:val="both"/>
        <w:ind w:left="820" w:right="240"/>
        <w:spacing w:after="0" w:line="275" w:lineRule="auto"/>
        <w:rPr>
          <w:sz w:val="20"/>
          <w:szCs w:val="20"/>
          <w:color w:val="auto"/>
        </w:rPr>
      </w:pPr>
      <w:r>
        <w:rPr>
          <w:rFonts w:ascii="Times New Roman" w:cs="Times New Roman" w:eastAsia="Times New Roman" w:hAnsi="Times New Roman"/>
          <w:sz w:val="17"/>
          <w:szCs w:val="17"/>
          <w:b w:val="1"/>
          <w:bCs w:val="1"/>
          <w:color w:val="auto"/>
        </w:rPr>
        <w:t>Votes submitted electronically must be received by April 29, 2026, at 1:00 AM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-306070</wp:posOffset>
            </wp:positionV>
            <wp:extent cx="338455" cy="28067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38455" cy="280670"/>
                    </a:xfrm>
                    <a:prstGeom prst="rect">
                      <a:avLst/>
                    </a:prstGeom>
                    <a:noFill/>
                  </pic:spPr>
                </pic:pic>
              </a:graphicData>
            </a:graphic>
          </wp:anchor>
        </w:drawing>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Online</w:t>
      </w:r>
    </w:p>
    <w:p>
      <w:pPr>
        <w:spacing w:after="0" w:line="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 xml:space="preserve">Go to </w:t>
      </w:r>
      <w:r>
        <w:rPr>
          <w:rFonts w:ascii="Times New Roman" w:cs="Times New Roman" w:eastAsia="Times New Roman" w:hAnsi="Times New Roman"/>
          <w:sz w:val="17"/>
          <w:szCs w:val="17"/>
          <w:b w:val="1"/>
          <w:bCs w:val="1"/>
          <w:color w:val="auto"/>
        </w:rPr>
        <w:t>www.investorvote.com/UTL</w:t>
      </w:r>
      <w:r>
        <w:rPr>
          <w:rFonts w:ascii="Times New Roman" w:cs="Times New Roman" w:eastAsia="Times New Roman" w:hAnsi="Times New Roman"/>
          <w:sz w:val="17"/>
          <w:szCs w:val="17"/>
          <w:color w:val="auto"/>
        </w:rPr>
        <w:t xml:space="preserve"> or scan</w:t>
      </w:r>
    </w:p>
    <w:p>
      <w:pPr>
        <w:spacing w:after="0" w:line="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QR code — login details are located in</w:t>
      </w:r>
    </w:p>
    <w:p>
      <w:pPr>
        <w:spacing w:after="0" w:line="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shaded bar below.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20" w:right="440"/>
        <w:spacing w:after="0" w:line="260" w:lineRule="auto"/>
        <w:rPr>
          <w:sz w:val="20"/>
          <w:szCs w:val="20"/>
          <w:color w:val="auto"/>
        </w:rPr>
      </w:pPr>
      <w:r>
        <w:rPr>
          <w:rFonts w:ascii="Times New Roman" w:cs="Times New Roman" w:eastAsia="Times New Roman" w:hAnsi="Times New Roman"/>
          <w:sz w:val="19"/>
          <w:szCs w:val="19"/>
          <w:b w:val="1"/>
          <w:bCs w:val="1"/>
          <w:color w:val="auto"/>
        </w:rPr>
        <w:t>Save paper, time and money! Sign up for electronic delivery at www.investorvote.com/UTL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-417830</wp:posOffset>
            </wp:positionV>
            <wp:extent cx="387985" cy="387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87985" cy="387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3920"/>
          </w:cols>
          <w:pgMar w:left="320" w:top="470" w:right="679" w:bottom="1440" w:gutter="0" w:footer="0" w:header="0"/>
        </w:sectPr>
      </w:pP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4"/>
          <w:szCs w:val="24"/>
          <w:b w:val="1"/>
          <w:bCs w:val="1"/>
          <w:color w:val="auto"/>
        </w:rPr>
        <w:t>  2026 Annual Meeting Proxy Card</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IF VOTING BY MAIL, SIGN, DETACH 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169545</wp:posOffset>
            </wp:positionV>
            <wp:extent cx="6461125" cy="18161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461125" cy="181610"/>
                    </a:xfrm>
                    <a:prstGeom prst="rect">
                      <a:avLst/>
                    </a:prstGeom>
                    <a:noFill/>
                  </pic:spPr>
                </pic:pic>
              </a:graphicData>
            </a:graphic>
          </wp:anchor>
        </w:drawing>
      </w:r>
    </w:p>
    <w:p>
      <w:pPr>
        <w:spacing w:after="0" w:line="252" w:lineRule="exact"/>
        <w:rPr>
          <w:sz w:val="20"/>
          <w:szCs w:val="20"/>
          <w:color w:val="auto"/>
        </w:rPr>
      </w:pPr>
    </w:p>
    <w:p>
      <w:pPr>
        <w:ind w:left="320"/>
        <w:spacing w:after="0"/>
        <w:tabs>
          <w:tab w:leader="none" w:pos="720" w:val="left"/>
        </w:tabs>
        <w:rPr>
          <w:sz w:val="20"/>
          <w:szCs w:val="20"/>
          <w:color w:val="auto"/>
        </w:rPr>
      </w:pPr>
      <w:r>
        <w:rPr>
          <w:rFonts w:ascii="Times New Roman" w:cs="Times New Roman" w:eastAsia="Times New Roman" w:hAnsi="Times New Roman"/>
          <w:sz w:val="17"/>
          <w:szCs w:val="17"/>
          <w:b w:val="1"/>
          <w:bCs w:val="1"/>
          <w:color w:val="FFFFFF"/>
        </w:rPr>
        <w:t>  A </w:t>
      </w:r>
      <w:r>
        <w:rPr>
          <w:rFonts w:ascii="Times New Roman" w:cs="Times New Roman" w:eastAsia="Times New Roman" w:hAnsi="Times New Roman"/>
          <w:sz w:val="17"/>
          <w:szCs w:val="17"/>
          <w:b w:val="1"/>
          <w:bCs w:val="1"/>
          <w:color w:val="auto"/>
        </w:rPr>
        <w:tab/>
        <w:t xml:space="preserve">Proposals — The Board of Directors recommends a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all nominees in Proposal 1, and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Proposals 2 and 3.</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 Election of Directors:</w:t>
      </w:r>
    </w:p>
    <w:p>
      <w:pPr>
        <w:spacing w:after="0" w:line="8" w:lineRule="exact"/>
        <w:rPr>
          <w:sz w:val="20"/>
          <w:szCs w:val="20"/>
          <w:color w:val="auto"/>
        </w:rPr>
      </w:pPr>
    </w:p>
    <w:p>
      <w:pPr>
        <w:ind w:left="2360"/>
        <w:spacing w:after="0"/>
        <w:tabs>
          <w:tab w:leader="none" w:pos="2720" w:val="left"/>
          <w:tab w:leader="none" w:pos="5720" w:val="left"/>
          <w:tab w:leader="none" w:pos="6100" w:val="left"/>
          <w:tab w:leader="none" w:pos="9120" w:val="left"/>
          <w:tab w:leader="none" w:pos="9460" w:val="left"/>
          <w:tab w:leader="none" w:pos="10320" w:val="left"/>
        </w:tabs>
        <w:rPr>
          <w:sz w:val="20"/>
          <w:szCs w:val="20"/>
          <w:color w:val="auto"/>
        </w:rPr>
      </w:pPr>
      <w:r>
        <w:rPr>
          <w:rFonts w:ascii="Times New Roman" w:cs="Times New Roman" w:eastAsia="Times New Roman" w:hAnsi="Times New Roman"/>
          <w:sz w:val="14"/>
          <w:szCs w:val="14"/>
          <w:b w:val="1"/>
          <w:bCs w:val="1"/>
          <w:color w:val="auto"/>
        </w:rPr>
        <w:t>For</w:t>
        <w:tab/>
        <w:t>  Withhold</w:t>
      </w:r>
      <w:r>
        <w:rPr>
          <w:sz w:val="20"/>
          <w:szCs w:val="20"/>
          <w:color w:val="auto"/>
        </w:rPr>
        <w:tab/>
      </w:r>
      <w:r>
        <w:rPr>
          <w:rFonts w:ascii="Times New Roman" w:cs="Times New Roman" w:eastAsia="Times New Roman" w:hAnsi="Times New Roman"/>
          <w:sz w:val="14"/>
          <w:szCs w:val="14"/>
          <w:b w:val="1"/>
          <w:bCs w:val="1"/>
          <w:color w:val="auto"/>
        </w:rPr>
        <w:t>For</w:t>
        <w:tab/>
        <w:t>  Withhold</w:t>
      </w:r>
      <w:r>
        <w:rPr>
          <w:sz w:val="20"/>
          <w:szCs w:val="20"/>
          <w:color w:val="auto"/>
        </w:rPr>
        <w:tab/>
      </w:r>
      <w:r>
        <w:rPr>
          <w:rFonts w:ascii="Times New Roman" w:cs="Times New Roman" w:eastAsia="Times New Roman" w:hAnsi="Times New Roman"/>
          <w:sz w:val="14"/>
          <w:szCs w:val="14"/>
          <w:b w:val="1"/>
          <w:bCs w:val="1"/>
          <w:color w:val="auto"/>
        </w:rPr>
        <w:t>For</w:t>
        <w:tab/>
        <w:t>  Withhold </w:t>
      </w:r>
      <w:r>
        <w:rPr>
          <w:sz w:val="20"/>
          <w:szCs w:val="20"/>
          <w:color w:val="auto"/>
        </w:rPr>
        <w:tab/>
      </w:r>
      <w:r>
        <w:rPr>
          <w:rFonts w:ascii="Times New Roman" w:cs="Times New Roman" w:eastAsia="Times New Roman" w:hAnsi="Times New Roman"/>
          <w:sz w:val="14"/>
          <w:szCs w:val="14"/>
          <w:color w:val="auto"/>
        </w:rPr>
        <w:t xml:space="preserve">          </w:t>
      </w:r>
    </w:p>
    <w:p>
      <w:pPr>
        <w:ind w:left="320"/>
        <w:spacing w:after="0" w:line="196" w:lineRule="exact"/>
        <w:tabs>
          <w:tab w:leader="none" w:pos="2360" w:val="left"/>
          <w:tab w:leader="none" w:pos="2940" w:val="left"/>
          <w:tab w:leader="none" w:pos="3500" w:val="left"/>
          <w:tab w:leader="none" w:pos="5760" w:val="left"/>
          <w:tab w:leader="none" w:pos="6340" w:val="left"/>
          <w:tab w:leader="none" w:pos="6900" w:val="left"/>
          <w:tab w:leader="none" w:pos="9140" w:val="left"/>
          <w:tab w:leader="none" w:pos="9720" w:val="left"/>
        </w:tabs>
        <w:rPr>
          <w:sz w:val="20"/>
          <w:szCs w:val="20"/>
          <w:color w:val="auto"/>
        </w:rPr>
      </w:pPr>
      <w:r>
        <w:rPr>
          <w:rFonts w:ascii="Times New Roman" w:cs="Times New Roman" w:eastAsia="Times New Roman" w:hAnsi="Times New Roman"/>
          <w:sz w:val="17"/>
          <w:szCs w:val="17"/>
          <w:color w:val="auto"/>
        </w:rPr>
        <w:t>    01 - Neveen F. Awad</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02 - Winfield S. Brown</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03 - Mark H. Collin</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MS PGothic" w:cs="MS PGothic" w:eastAsia="MS PGothic" w:hAnsi="MS PGothic"/>
          <w:sz w:val="16"/>
          <w:szCs w:val="16"/>
          <w:color w:val="auto"/>
        </w:rPr>
        <w:t>☐</w:t>
      </w:r>
    </w:p>
    <w:p>
      <w:pPr>
        <w:spacing w:after="0" w:line="344" w:lineRule="exact"/>
        <w:rPr>
          <w:sz w:val="20"/>
          <w:szCs w:val="20"/>
          <w:color w:val="auto"/>
        </w:rPr>
      </w:pPr>
    </w:p>
    <w:p>
      <w:pPr>
        <w:jc w:val="right"/>
        <w:spacing w:after="0"/>
        <w:tabs>
          <w:tab w:leader="none" w:pos="6460" w:val="left"/>
          <w:tab w:leader="none" w:pos="5720" w:val="left"/>
          <w:tab w:leader="none" w:pos="1520" w:val="left"/>
          <w:tab w:leader="none" w:pos="1180" w:val="left"/>
          <w:tab w:leader="none" w:pos="440" w:val="left"/>
        </w:tabs>
        <w:rPr>
          <w:sz w:val="20"/>
          <w:szCs w:val="20"/>
          <w:color w:val="auto"/>
        </w:rPr>
      </w:pPr>
      <w:r>
        <w:rPr>
          <w:rFonts w:ascii="Times New Roman" w:cs="Times New Roman" w:eastAsia="Times New Roman" w:hAnsi="Times New Roman"/>
          <w:sz w:val="14"/>
          <w:szCs w:val="14"/>
          <w:b w:val="1"/>
          <w:bCs w:val="1"/>
          <w:color w:val="auto"/>
        </w:rPr>
        <w:t>For</w:t>
        <w:tab/>
        <w:t>  Against </w:t>
        <w:tab/>
        <w:t>Abstain</w:t>
      </w:r>
      <w:r>
        <w:rPr>
          <w:sz w:val="20"/>
          <w:szCs w:val="20"/>
          <w:color w:val="auto"/>
        </w:rPr>
        <w:tab/>
      </w:r>
      <w:r>
        <w:rPr>
          <w:rFonts w:ascii="Times New Roman" w:cs="Times New Roman" w:eastAsia="Times New Roman" w:hAnsi="Times New Roman"/>
          <w:sz w:val="14"/>
          <w:szCs w:val="14"/>
          <w:b w:val="1"/>
          <w:bCs w:val="1"/>
          <w:color w:val="auto"/>
        </w:rPr>
        <w:t>For</w:t>
        <w:tab/>
        <w:t>  Against </w:t>
      </w:r>
      <w:r>
        <w:rPr>
          <w:sz w:val="20"/>
          <w:szCs w:val="20"/>
          <w:color w:val="auto"/>
        </w:rPr>
        <w:tab/>
      </w:r>
      <w:r>
        <w:rPr>
          <w:rFonts w:ascii="Times New Roman" w:cs="Times New Roman" w:eastAsia="Times New Roman" w:hAnsi="Times New Roman"/>
          <w:sz w:val="13"/>
          <w:szCs w:val="13"/>
          <w:b w:val="1"/>
          <w:bCs w:val="1"/>
          <w:color w:val="auto"/>
        </w:rPr>
        <w:t>Abstain</w:t>
      </w:r>
    </w:p>
    <w:p>
      <w:pPr>
        <w:spacing w:after="0" w:line="2" w:lineRule="exact"/>
        <w:rPr>
          <w:sz w:val="20"/>
          <w:szCs w:val="20"/>
          <w:color w:val="auto"/>
        </w:rPr>
      </w:pPr>
    </w:p>
    <w:p>
      <w:pPr>
        <w:ind w:left="320"/>
        <w:spacing w:after="0" w:line="196" w:lineRule="exact"/>
        <w:tabs>
          <w:tab w:leader="none" w:pos="4100" w:val="left"/>
          <w:tab w:leader="none" w:pos="4620" w:val="left"/>
          <w:tab w:leader="none" w:pos="5300" w:val="left"/>
          <w:tab w:leader="none" w:pos="5740" w:val="left"/>
          <w:tab w:leader="none" w:pos="9360" w:val="left"/>
          <w:tab w:leader="none" w:pos="9900" w:val="left"/>
          <w:tab w:leader="none" w:pos="10560" w:val="left"/>
        </w:tabs>
        <w:rPr>
          <w:sz w:val="20"/>
          <w:szCs w:val="20"/>
          <w:color w:val="auto"/>
        </w:rPr>
      </w:pPr>
      <w:r>
        <w:rPr>
          <w:rFonts w:ascii="Times New Roman" w:cs="Times New Roman" w:eastAsia="Times New Roman" w:hAnsi="Times New Roman"/>
          <w:sz w:val="17"/>
          <w:szCs w:val="17"/>
          <w:color w:val="auto"/>
        </w:rPr>
        <w:t>2. To ratify the selection of independent registered</w:t>
      </w:r>
      <w:r>
        <w:rPr>
          <w:sz w:val="20"/>
          <w:szCs w:val="20"/>
          <w:color w:val="auto"/>
        </w:rPr>
        <w:tab/>
      </w:r>
      <w:r>
        <w:rPr>
          <w:rFonts w:ascii="MS PGothic" w:cs="MS PGothic" w:eastAsia="MS PGothic" w:hAnsi="MS PGothic"/>
          <w:sz w:val="17"/>
          <w:szCs w:val="17"/>
          <w:color w:val="auto"/>
        </w:rPr>
        <w:t>☐</w:t>
        <w:tab/>
        <w: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3. Advisory vote on the approval of executive</w:t>
      </w:r>
      <w:r>
        <w:rPr>
          <w:sz w:val="20"/>
          <w:szCs w:val="20"/>
          <w:color w:val="auto"/>
        </w:rPr>
        <w:tab/>
      </w:r>
      <w:r>
        <w:rPr>
          <w:rFonts w:ascii="MS PGothic" w:cs="MS PGothic" w:eastAsia="MS PGothic" w:hAnsi="MS PGothic"/>
          <w:sz w:val="17"/>
          <w:szCs w:val="17"/>
          <w:color w:val="auto"/>
        </w:rPr>
        <w:t>☐</w:t>
        <w:tab/>
        <w:t>☐</w:t>
      </w:r>
      <w:r>
        <w:rPr>
          <w:sz w:val="20"/>
          <w:szCs w:val="20"/>
          <w:color w:val="auto"/>
        </w:rPr>
        <w:tab/>
      </w:r>
      <w:r>
        <w:rPr>
          <w:rFonts w:ascii="MS PGothic" w:cs="MS PGothic" w:eastAsia="MS PGothic" w:hAnsi="MS PGothic"/>
          <w:sz w:val="16"/>
          <w:szCs w:val="16"/>
          <w:color w:val="auto"/>
        </w:rPr>
        <w:t>☐</w:t>
      </w:r>
    </w:p>
    <w:p>
      <w:pPr>
        <w:spacing w:after="0" w:line="19" w:lineRule="exact"/>
        <w:rPr>
          <w:sz w:val="20"/>
          <w:szCs w:val="20"/>
          <w:color w:val="auto"/>
        </w:rPr>
      </w:pPr>
    </w:p>
    <w:p>
      <w:pPr>
        <w:ind w:left="500"/>
        <w:spacing w:after="0"/>
        <w:tabs>
          <w:tab w:leader="none" w:pos="5900" w:val="left"/>
        </w:tabs>
        <w:rPr>
          <w:sz w:val="20"/>
          <w:szCs w:val="20"/>
          <w:color w:val="auto"/>
        </w:rPr>
      </w:pPr>
      <w:r>
        <w:rPr>
          <w:rFonts w:ascii="Times New Roman" w:cs="Times New Roman" w:eastAsia="Times New Roman" w:hAnsi="Times New Roman"/>
          <w:sz w:val="17"/>
          <w:szCs w:val="17"/>
          <w:color w:val="auto"/>
        </w:rPr>
        <w:t>accounting firm, Deloitte &amp; Touche LLP, for</w:t>
      </w:r>
      <w:r>
        <w:rPr>
          <w:sz w:val="20"/>
          <w:szCs w:val="20"/>
          <w:color w:val="auto"/>
        </w:rPr>
        <w:tab/>
      </w:r>
      <w:r>
        <w:rPr>
          <w:rFonts w:ascii="Times New Roman" w:cs="Times New Roman" w:eastAsia="Times New Roman" w:hAnsi="Times New Roman"/>
          <w:sz w:val="17"/>
          <w:szCs w:val="17"/>
          <w:color w:val="auto"/>
        </w:rPr>
        <w:t>compensation</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692785</wp:posOffset>
            </wp:positionV>
            <wp:extent cx="6732905" cy="21463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73290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spacing w:after="0"/>
        <w:tabs>
          <w:tab w:leader="none" w:pos="740" w:val="left"/>
        </w:tabs>
        <w:rPr>
          <w:sz w:val="20"/>
          <w:szCs w:val="20"/>
          <w:color w:val="auto"/>
        </w:rPr>
      </w:pPr>
      <w:r>
        <w:rPr>
          <w:rFonts w:ascii="Times New Roman" w:cs="Times New Roman" w:eastAsia="Times New Roman" w:hAnsi="Times New Roman"/>
          <w:sz w:val="17"/>
          <w:szCs w:val="17"/>
          <w:b w:val="1"/>
          <w:bCs w:val="1"/>
          <w:color w:val="FFFFFF"/>
        </w:rPr>
        <w:t>  B </w:t>
      </w:r>
      <w:r>
        <w:rPr>
          <w:rFonts w:ascii="Times New Roman" w:cs="Times New Roman" w:eastAsia="Times New Roman" w:hAnsi="Times New Roman"/>
          <w:sz w:val="17"/>
          <w:szCs w:val="17"/>
          <w:b w:val="1"/>
          <w:bCs w:val="1"/>
          <w:color w:val="auto"/>
        </w:rPr>
        <w:tab/>
        <w:t>Authorized Signatures — This section must be completed for your vote to count. Please date and sign below.</w:t>
      </w:r>
    </w:p>
    <w:p>
      <w:pPr>
        <w:spacing w:after="0" w:line="131" w:lineRule="exact"/>
        <w:rPr>
          <w:sz w:val="20"/>
          <w:szCs w:val="20"/>
          <w:color w:val="auto"/>
        </w:rPr>
      </w:pPr>
    </w:p>
    <w:p>
      <w:pPr>
        <w:ind w:left="320" w:right="420"/>
        <w:spacing w:after="0" w:line="262" w:lineRule="auto"/>
        <w:rPr>
          <w:sz w:val="20"/>
          <w:szCs w:val="20"/>
          <w:color w:val="auto"/>
        </w:rPr>
      </w:pPr>
      <w:r>
        <w:rPr>
          <w:rFonts w:ascii="Times New Roman" w:cs="Times New Roman" w:eastAsia="Times New Roman" w:hAnsi="Times New Roman"/>
          <w:sz w:val="17"/>
          <w:szCs w:val="17"/>
          <w:color w:val="auto"/>
        </w:rPr>
        <w:t>Please sign exactly as name(s) appears hereon. Joint owners should each sign. When signing as attorney, executor, administrator, corporate officer, trustee, guardian, or custodian, please give full title.</w:t>
      </w:r>
    </w:p>
    <w:p>
      <w:pPr>
        <w:sectPr>
          <w:pgSz w:w="11900" w:h="16838" w:orient="portrait"/>
          <w:cols w:equalWidth="0" w:num="1">
            <w:col w:w="10900"/>
          </w:cols>
          <w:pgMar w:left="320" w:top="470" w:right="679" w:bottom="1440" w:gutter="0" w:footer="0" w:header="0"/>
          <w:type w:val="continuous"/>
        </w:sectPr>
      </w:pP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Date (mm/dd/yyyy) — Please print date below.</w:t>
      </w:r>
    </w:p>
    <w:p>
      <w:pPr>
        <w:spacing w:after="0" w:line="20" w:lineRule="exact"/>
        <w:rPr>
          <w:sz w:val="20"/>
          <w:szCs w:val="20"/>
          <w:color w:val="auto"/>
        </w:rPr>
      </w:pPr>
      <w:r>
        <w:rPr>
          <w:sz w:val="20"/>
          <w:szCs w:val="20"/>
          <w:color w:val="auto"/>
        </w:rPr>
        <w:br w:type="column"/>
      </w:r>
    </w:p>
    <w:p>
      <w:pPr>
        <w:spacing w:after="0"/>
        <w:tabs>
          <w:tab w:leader="none" w:pos="3700" w:val="left"/>
        </w:tabs>
        <w:rPr>
          <w:sz w:val="20"/>
          <w:szCs w:val="20"/>
          <w:color w:val="auto"/>
        </w:rPr>
      </w:pPr>
      <w:r>
        <w:rPr>
          <w:rFonts w:ascii="Times New Roman" w:cs="Times New Roman" w:eastAsia="Times New Roman" w:hAnsi="Times New Roman"/>
          <w:sz w:val="14"/>
          <w:szCs w:val="14"/>
          <w:color w:val="auto"/>
        </w:rPr>
        <w:t>     Signature 1 — Please keep signature within the box.</w:t>
      </w:r>
      <w:r>
        <w:rPr>
          <w:sz w:val="20"/>
          <w:szCs w:val="20"/>
          <w:color w:val="auto"/>
        </w:rPr>
        <w:tab/>
      </w:r>
      <w:r>
        <w:rPr>
          <w:rFonts w:ascii="Times New Roman" w:cs="Times New Roman" w:eastAsia="Times New Roman" w:hAnsi="Times New Roman"/>
          <w:sz w:val="13"/>
          <w:szCs w:val="13"/>
          <w:color w:val="auto"/>
        </w:rPr>
        <w:t>     Signature 2 — Please keep signature within the box.</w:t>
      </w:r>
    </w:p>
    <w:p>
      <w:pPr>
        <w:spacing w:after="0" w:line="25" w:lineRule="exact"/>
        <w:rPr>
          <w:sz w:val="20"/>
          <w:szCs w:val="20"/>
          <w:color w:val="auto"/>
        </w:rPr>
      </w:pPr>
    </w:p>
    <w:p>
      <w:pPr>
        <w:sectPr>
          <w:pgSz w:w="11900" w:h="16838" w:orient="portrait"/>
          <w:cols w:equalWidth="0" w:num="2">
            <w:col w:w="2940" w:space="660"/>
            <w:col w:w="7300"/>
          </w:cols>
          <w:pgMar w:left="320" w:top="470" w:right="67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42"/>
          <w:szCs w:val="42"/>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-295910</wp:posOffset>
            </wp:positionV>
            <wp:extent cx="6749415" cy="3384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749415" cy="33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43"/>
          <w:szCs w:val="43"/>
          <w:color w:val="auto"/>
        </w:rPr>
        <w:t xml:space="preserve">                </w:t>
      </w:r>
    </w:p>
    <w:p>
      <w:pPr>
        <w:spacing w:after="0" w:line="2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color w:val="auto"/>
        </w:rPr>
        <w:t>32DV</w:t>
      </w:r>
    </w:p>
    <w:p>
      <w:pPr>
        <w:sectPr>
          <w:pgSz w:w="11900" w:h="16838" w:orient="portrait"/>
          <w:cols w:equalWidth="0" w:num="1">
            <w:col w:w="10900"/>
          </w:cols>
          <w:pgMar w:left="320" w:top="470" w:right="679" w:bottom="1440" w:gutter="0" w:footer="0" w:header="0"/>
          <w:type w:val="continuous"/>
        </w:sectPr>
      </w:pPr>
    </w:p>
    <w:p>
      <w:pPr>
        <w:spacing w:after="0" w:line="20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048P1B</w:t>
      </w:r>
    </w:p>
    <w:p>
      <w:pPr>
        <w:sectPr>
          <w:pgSz w:w="11900" w:h="16838" w:orient="portrait"/>
          <w:cols w:equalWidth="0" w:num="1">
            <w:col w:w="10900"/>
          </w:cols>
          <w:pgMar w:left="320" w:top="470" w:right="67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4"/>
          <w:szCs w:val="24"/>
          <w:b w:val="1"/>
          <w:bCs w:val="1"/>
          <w:color w:val="auto"/>
        </w:rPr>
        <w:t>Unitil Corporation 2026 Annual Meeting of Shareholders</w:t>
      </w:r>
    </w:p>
    <w:p>
      <w:pPr>
        <w:spacing w:after="0" w:line="1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Wednesday, April 29, 2026, 11:30 AM ET</w:t>
      </w:r>
    </w:p>
    <w:p>
      <w:pPr>
        <w:spacing w:after="0" w:line="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Unitil Corporation Corporate Headquarters</w:t>
      </w:r>
    </w:p>
    <w:p>
      <w:pPr>
        <w:spacing w:after="0" w:line="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6 Liberty Lane West</w:t>
      </w:r>
    </w:p>
    <w:p>
      <w:pPr>
        <w:spacing w:after="0" w:line="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Hampton, New Hampshire 03842</w:t>
      </w:r>
    </w:p>
    <w:p>
      <w:pPr>
        <w:spacing w:after="0" w:line="200" w:lineRule="exact"/>
        <w:rPr>
          <w:sz w:val="20"/>
          <w:szCs w:val="20"/>
          <w:color w:val="auto"/>
        </w:rPr>
      </w:pPr>
    </w:p>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Dear Shareholder:</w:t>
      </w:r>
    </w:p>
    <w:p>
      <w:pPr>
        <w:spacing w:after="0" w:line="220" w:lineRule="exact"/>
        <w:rPr>
          <w:sz w:val="20"/>
          <w:szCs w:val="20"/>
          <w:color w:val="auto"/>
        </w:rPr>
      </w:pPr>
    </w:p>
    <w:p>
      <w:pPr>
        <w:ind w:left="320" w:right="160"/>
        <w:spacing w:after="0" w:line="293" w:lineRule="auto"/>
        <w:rPr>
          <w:sz w:val="20"/>
          <w:szCs w:val="20"/>
          <w:color w:val="auto"/>
        </w:rPr>
      </w:pPr>
      <w:r>
        <w:rPr>
          <w:rFonts w:ascii="Times New Roman" w:cs="Times New Roman" w:eastAsia="Times New Roman" w:hAnsi="Times New Roman"/>
          <w:sz w:val="17"/>
          <w:szCs w:val="17"/>
          <w:color w:val="auto"/>
        </w:rPr>
        <w:t>The Unitil Corporation 2026 Annual Meeting of Shareholders will be held on Wednesday, April 29, 2026, at the Company’s headquarters in Hampton, New Hampshire.</w:t>
      </w:r>
    </w:p>
    <w:p>
      <w:pPr>
        <w:spacing w:after="0" w:line="146" w:lineRule="exact"/>
        <w:rPr>
          <w:sz w:val="20"/>
          <w:szCs w:val="20"/>
          <w:color w:val="auto"/>
        </w:rPr>
      </w:pPr>
    </w:p>
    <w:p>
      <w:pPr>
        <w:ind w:left="320" w:right="20"/>
        <w:spacing w:after="0" w:line="274" w:lineRule="auto"/>
        <w:rPr>
          <w:sz w:val="20"/>
          <w:szCs w:val="20"/>
          <w:color w:val="auto"/>
        </w:rPr>
      </w:pPr>
      <w:r>
        <w:rPr>
          <w:rFonts w:ascii="Times New Roman" w:cs="Times New Roman" w:eastAsia="Times New Roman" w:hAnsi="Times New Roman"/>
          <w:sz w:val="17"/>
          <w:szCs w:val="17"/>
          <w:color w:val="auto"/>
        </w:rPr>
        <w:t>Please review the enclosed proxy statement as it contains important information relating to the management of the Company and the business of the Annual Meeting. We hope you will participate in the Annual Meeting as your vote is very important. We encourage you to vote to ensure that your voice is represented, and to vote promptly.</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If you would like additional information or have questions, please contact us at InvestorRelations@unitil.com, or call us at 800-999-6501.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1149350</wp:posOffset>
            </wp:positionH>
            <wp:positionV relativeFrom="paragraph">
              <wp:posOffset>770255</wp:posOffset>
            </wp:positionV>
            <wp:extent cx="4852035" cy="56959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852035" cy="56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3340" w:type="dxa"/>
        <w:tblCellMar>
          <w:top w:w="0" w:type="dxa"/>
          <w:left w:w="0" w:type="dxa"/>
          <w:bottom w:w="0" w:type="dxa"/>
          <w:right w:w="0" w:type="dxa"/>
        </w:tblCellMar>
      </w:tblPr>
      <w:tr>
        <w:trPr>
          <w:trHeight w:val="228"/>
        </w:trPr>
        <w:tc>
          <w:tcPr>
            <w:tcW w:w="5280" w:type="dxa"/>
            <w:vAlign w:val="bottom"/>
          </w:tcPr>
          <w:p>
            <w:pPr>
              <w:jc w:val="center"/>
              <w:ind w:right="573"/>
              <w:spacing w:after="0"/>
              <w:rPr>
                <w:sz w:val="20"/>
                <w:szCs w:val="20"/>
                <w:color w:val="auto"/>
              </w:rPr>
            </w:pPr>
            <w:r>
              <w:rPr>
                <w:rFonts w:ascii="Times New Roman" w:cs="Times New Roman" w:eastAsia="Times New Roman" w:hAnsi="Times New Roman"/>
                <w:sz w:val="17"/>
                <w:szCs w:val="17"/>
                <w:b w:val="1"/>
                <w:bCs w:val="1"/>
                <w:color w:val="auto"/>
              </w:rPr>
              <w:t>Small steps make an impact.</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280" w:type="dxa"/>
            <w:vAlign w:val="bottom"/>
          </w:tcPr>
          <w:p>
            <w:pPr>
              <w:jc w:val="center"/>
              <w:ind w:right="593"/>
              <w:spacing w:after="0"/>
              <w:rPr>
                <w:sz w:val="20"/>
                <w:szCs w:val="20"/>
                <w:color w:val="auto"/>
              </w:rPr>
            </w:pPr>
            <w:r>
              <w:rPr>
                <w:rFonts w:ascii="Times New Roman" w:cs="Times New Roman" w:eastAsia="Times New Roman" w:hAnsi="Times New Roman"/>
                <w:sz w:val="17"/>
                <w:szCs w:val="17"/>
                <w:color w:val="auto"/>
              </w:rPr>
              <w:t>Help the environment by consenting to receive electronic delivery.</w:t>
            </w:r>
          </w:p>
        </w:tc>
        <w:tc>
          <w:tcPr>
            <w:tcW w:w="760" w:type="dxa"/>
            <w:vAlign w:val="bottom"/>
            <w:vMerge w:val="restart"/>
          </w:tcPr>
          <w:p>
            <w:pPr>
              <w:ind w:left="680"/>
              <w:spacing w:after="0"/>
              <w:rPr>
                <w:sz w:val="20"/>
                <w:szCs w:val="20"/>
                <w:color w:val="auto"/>
              </w:rPr>
            </w:pPr>
            <w:r>
              <w:rPr>
                <w:rFonts w:ascii="Times New Roman" w:cs="Times New Roman" w:eastAsia="Times New Roman" w:hAnsi="Times New Roman"/>
                <w:sz w:val="14"/>
                <w:szCs w:val="14"/>
                <w:color w:val="auto"/>
                <w:w w:val="72"/>
              </w:rPr>
              <w:t xml:space="preserve">  </w:t>
            </w:r>
          </w:p>
        </w:tc>
        <w:tc>
          <w:tcPr>
            <w:tcW w:w="0" w:type="dxa"/>
            <w:vAlign w:val="bottom"/>
          </w:tcPr>
          <w:p>
            <w:pPr>
              <w:spacing w:after="0"/>
              <w:rPr>
                <w:sz w:val="1"/>
                <w:szCs w:val="1"/>
                <w:color w:val="auto"/>
              </w:rPr>
            </w:pPr>
          </w:p>
        </w:tc>
      </w:tr>
      <w:tr>
        <w:trPr>
          <w:trHeight w:val="226"/>
        </w:trPr>
        <w:tc>
          <w:tcPr>
            <w:tcW w:w="5280" w:type="dxa"/>
            <w:vAlign w:val="bottom"/>
          </w:tcPr>
          <w:p>
            <w:pPr>
              <w:jc w:val="center"/>
              <w:ind w:right="573"/>
              <w:spacing w:after="0"/>
              <w:rPr>
                <w:sz w:val="20"/>
                <w:szCs w:val="20"/>
                <w:color w:val="auto"/>
              </w:rPr>
            </w:pPr>
            <w:r>
              <w:rPr>
                <w:rFonts w:ascii="Times New Roman" w:cs="Times New Roman" w:eastAsia="Times New Roman" w:hAnsi="Times New Roman"/>
                <w:sz w:val="17"/>
                <w:szCs w:val="17"/>
                <w:color w:val="auto"/>
              </w:rPr>
              <w:t>Sign up at www.investorvote.com/UTL.</w:t>
            </w: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IF VOTING BY MAIL, SIGN, DETACH 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202565</wp:posOffset>
            </wp:positionV>
            <wp:extent cx="6329045" cy="3054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329045" cy="305435"/>
                    </a:xfrm>
                    <a:prstGeom prst="rect">
                      <a:avLst/>
                    </a:prstGeom>
                    <a:noFill/>
                  </pic:spPr>
                </pic:pic>
              </a:graphicData>
            </a:graphic>
          </wp:anchor>
        </w:drawing>
      </w:r>
    </w:p>
    <w:p>
      <w:pPr>
        <w:spacing w:after="0" w:line="3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4"/>
          <w:szCs w:val="24"/>
          <w:b w:val="1"/>
          <w:bCs w:val="1"/>
          <w:color w:val="auto"/>
        </w:rPr>
        <w:t>  Proxy — Unitil Corporation</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4"/>
          <w:szCs w:val="24"/>
          <w:b w:val="1"/>
          <w:bCs w:val="1"/>
          <w:color w:val="auto"/>
        </w:rPr>
        <w:t>Notice of 2026 Annual Meeting of Shareholders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Proxy Solicited by the Board of Directors for Annual Meeting — April 29, 2026</w:t>
      </w:r>
    </w:p>
    <w:p>
      <w:pPr>
        <w:spacing w:after="0" w:line="109"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7"/>
          <w:szCs w:val="17"/>
          <w:color w:val="auto"/>
        </w:rPr>
        <w:t>Robert B. Hevert, Daniel J. Hurstak and Thomas P. Meissner, Jr., or any of them, each with the power of substitution, are hereby authorized as Proxies to represent and vote the shares of the undersigned, with all the powers which the undersigned would possess if personally present, at the Annual Meeting of Shareholders of Unitil Corporation to be held on April 29, 2026, or at any postponement or adjournment thereof.</w:t>
      </w:r>
    </w:p>
    <w:p>
      <w:pPr>
        <w:spacing w:after="0" w:line="56" w:lineRule="exact"/>
        <w:rPr>
          <w:sz w:val="20"/>
          <w:szCs w:val="20"/>
          <w:color w:val="auto"/>
        </w:rPr>
      </w:pPr>
    </w:p>
    <w:p>
      <w:pPr>
        <w:ind w:left="320" w:right="320"/>
        <w:spacing w:after="0" w:line="295" w:lineRule="auto"/>
        <w:rPr>
          <w:sz w:val="20"/>
          <w:szCs w:val="20"/>
          <w:color w:val="auto"/>
        </w:rPr>
      </w:pPr>
      <w:r>
        <w:rPr>
          <w:rFonts w:ascii="Times New Roman" w:cs="Times New Roman" w:eastAsia="Times New Roman" w:hAnsi="Times New Roman"/>
          <w:sz w:val="17"/>
          <w:szCs w:val="17"/>
          <w:b w:val="1"/>
          <w:bCs w:val="1"/>
          <w:color w:val="auto"/>
        </w:rPr>
        <w:t>Shares represented by this proxy will be voted by the shareholder. If no such directions are indicated, the Proxies will have authority to vote FOR the election of the Board of Directors listed in item 1, and FOR items 2 and 3.</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 their discretion, the Proxies are authorized to vote upon such other business as may properly come before the meeting.</w:t>
      </w:r>
    </w:p>
    <w:p>
      <w:pPr>
        <w:spacing w:after="0" w:line="1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(Items to be voted appear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646430</wp:posOffset>
            </wp:positionV>
            <wp:extent cx="6732905" cy="21463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73290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tabs>
          <w:tab w:leader="none" w:pos="740" w:val="left"/>
        </w:tabs>
        <w:rPr>
          <w:sz w:val="20"/>
          <w:szCs w:val="20"/>
          <w:color w:val="auto"/>
        </w:rPr>
      </w:pPr>
      <w:r>
        <w:rPr>
          <w:rFonts w:ascii="Times New Roman" w:cs="Times New Roman" w:eastAsia="Times New Roman" w:hAnsi="Times New Roman"/>
          <w:sz w:val="17"/>
          <w:szCs w:val="17"/>
          <w:b w:val="1"/>
          <w:bCs w:val="1"/>
          <w:color w:val="FFFFFF"/>
        </w:rPr>
        <w:t>  C </w:t>
      </w:r>
      <w:r>
        <w:rPr>
          <w:rFonts w:ascii="Times New Roman" w:cs="Times New Roman" w:eastAsia="Times New Roman" w:hAnsi="Times New Roman"/>
          <w:sz w:val="17"/>
          <w:szCs w:val="17"/>
          <w:b w:val="1"/>
          <w:bCs w:val="1"/>
          <w:color w:val="auto"/>
        </w:rPr>
        <w:tab/>
        <w:t>Non-Voting Items</w:t>
      </w:r>
    </w:p>
    <w:p>
      <w:pPr>
        <w:spacing w:after="0" w:line="125" w:lineRule="exact"/>
        <w:rPr>
          <w:sz w:val="20"/>
          <w:szCs w:val="20"/>
          <w:color w:val="auto"/>
        </w:rPr>
      </w:pPr>
    </w:p>
    <w:tbl>
      <w:tblPr>
        <w:tblLayout w:type="fixed"/>
        <w:tblInd w:w="330" w:type="dxa"/>
        <w:tblCellMar>
          <w:top w:w="0" w:type="dxa"/>
          <w:left w:w="0" w:type="dxa"/>
          <w:bottom w:w="0" w:type="dxa"/>
          <w:right w:w="0" w:type="dxa"/>
        </w:tblCellMar>
      </w:tblPr>
      <w:tr>
        <w:trPr>
          <w:trHeight w:val="183"/>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Change of Address </w:t>
            </w:r>
            <w:r>
              <w:rPr>
                <w:rFonts w:ascii="Times New Roman" w:cs="Times New Roman" w:eastAsia="Times New Roman" w:hAnsi="Times New Roman"/>
                <w:sz w:val="14"/>
                <w:szCs w:val="14"/>
                <w:color w:val="auto"/>
              </w:rPr>
              <w:t>— Please print new address below.</w:t>
            </w:r>
          </w:p>
        </w:tc>
        <w:tc>
          <w:tcPr>
            <w:tcW w:w="4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   Comments </w:t>
            </w:r>
            <w:r>
              <w:rPr>
                <w:rFonts w:ascii="Times New Roman" w:cs="Times New Roman" w:eastAsia="Times New Roman" w:hAnsi="Times New Roman"/>
                <w:sz w:val="14"/>
                <w:szCs w:val="14"/>
                <w:color w:val="auto"/>
              </w:rPr>
              <w:t>— Please print your comments below.</w:t>
            </w:r>
          </w:p>
        </w:tc>
        <w:tc>
          <w:tcPr>
            <w:tcW w:w="24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Meeting Attendance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6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780" w:type="dxa"/>
            <w:vAlign w:val="bottom"/>
            <w:tcBorders>
              <w:bottom w:val="single" w:sz="8" w:color="auto"/>
            </w:tcBorders>
          </w:tcPr>
          <w:p>
            <w:pPr>
              <w:spacing w:after="0"/>
              <w:rPr>
                <w:sz w:val="7"/>
                <w:szCs w:val="7"/>
                <w:color w:val="auto"/>
              </w:rPr>
            </w:pPr>
          </w:p>
        </w:tc>
        <w:tc>
          <w:tcPr>
            <w:tcW w:w="2460" w:type="dxa"/>
            <w:vAlign w:val="bottom"/>
            <w:vMerge w:val="continue"/>
          </w:tcPr>
          <w:p>
            <w:pPr>
              <w:spacing w:after="0"/>
              <w:rPr>
                <w:sz w:val="7"/>
                <w:szCs w:val="7"/>
                <w:color w:val="auto"/>
              </w:rPr>
            </w:pPr>
          </w:p>
        </w:tc>
        <w:tc>
          <w:tcPr>
            <w:tcW w:w="460" w:type="dxa"/>
            <w:vAlign w:val="bottom"/>
            <w:vMerge w:val="restart"/>
          </w:tcPr>
          <w:p>
            <w:pPr>
              <w:ind w:left="240"/>
              <w:spacing w:after="0" w:line="241" w:lineRule="exact"/>
              <w:rPr>
                <w:sz w:val="20"/>
                <w:szCs w:val="20"/>
                <w:color w:val="auto"/>
              </w:rPr>
            </w:pPr>
            <w:r>
              <w:rPr>
                <w:rFonts w:ascii="MS PGothic" w:cs="MS PGothic" w:eastAsia="MS PGothic" w:hAnsi="MS PGothic"/>
                <w:sz w:val="24"/>
                <w:szCs w:val="24"/>
                <w:color w:val="auto"/>
                <w:w w:val="83"/>
              </w:rPr>
              <w:t>☐</w:t>
            </w:r>
          </w:p>
        </w:tc>
        <w:tc>
          <w:tcPr>
            <w:tcW w:w="0" w:type="dxa"/>
            <w:vAlign w:val="bottom"/>
          </w:tcPr>
          <w:p>
            <w:pPr>
              <w:spacing w:after="0"/>
              <w:rPr>
                <w:sz w:val="1"/>
                <w:szCs w:val="1"/>
                <w:color w:val="auto"/>
              </w:rPr>
            </w:pPr>
          </w:p>
        </w:tc>
      </w:tr>
      <w:tr>
        <w:trPr>
          <w:trHeight w:val="107"/>
        </w:trPr>
        <w:tc>
          <w:tcPr>
            <w:tcW w:w="368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35"/>
                <w:szCs w:val="35"/>
                <w:color w:val="auto"/>
              </w:rPr>
              <w:t> </w:t>
            </w:r>
          </w:p>
        </w:tc>
        <w:tc>
          <w:tcPr>
            <w:tcW w:w="220" w:type="dxa"/>
            <w:vAlign w:val="bottom"/>
            <w:tcBorders>
              <w:right w:val="single" w:sz="8" w:color="auto"/>
            </w:tcBorders>
          </w:tcPr>
          <w:p>
            <w:pPr>
              <w:spacing w:after="0"/>
              <w:rPr>
                <w:sz w:val="9"/>
                <w:szCs w:val="9"/>
                <w:color w:val="auto"/>
              </w:rPr>
            </w:pPr>
          </w:p>
        </w:tc>
        <w:tc>
          <w:tcPr>
            <w:tcW w:w="3780" w:type="dxa"/>
            <w:vAlign w:val="bottom"/>
            <w:tcBorders>
              <w:right w:val="single" w:sz="8" w:color="auto"/>
            </w:tcBorders>
          </w:tcPr>
          <w:p>
            <w:pPr>
              <w:spacing w:after="0"/>
              <w:rPr>
                <w:sz w:val="9"/>
                <w:szCs w:val="9"/>
                <w:color w:val="auto"/>
              </w:rPr>
            </w:pPr>
          </w:p>
        </w:tc>
        <w:tc>
          <w:tcPr>
            <w:tcW w:w="2460" w:type="dxa"/>
            <w:vAlign w:val="bottom"/>
          </w:tcPr>
          <w:p>
            <w:pPr>
              <w:ind w:left="260"/>
              <w:spacing w:after="0" w:line="107" w:lineRule="exact"/>
              <w:rPr>
                <w:sz w:val="20"/>
                <w:szCs w:val="20"/>
                <w:color w:val="auto"/>
              </w:rPr>
            </w:pPr>
            <w:r>
              <w:rPr>
                <w:rFonts w:ascii="Times New Roman" w:cs="Times New Roman" w:eastAsia="Times New Roman" w:hAnsi="Times New Roman"/>
                <w:sz w:val="12"/>
                <w:szCs w:val="12"/>
                <w:color w:val="auto"/>
              </w:rPr>
              <w:t>Mark box to the right if you plan to</w:t>
            </w: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0"/>
        </w:trPr>
        <w:tc>
          <w:tcPr>
            <w:tcW w:w="368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attend the Annual Meeting.</w:t>
            </w: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780" w:type="dxa"/>
            <w:vAlign w:val="bottom"/>
            <w:tcBorders>
              <w:right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920"/>
      </w:cols>
      <w:pgMar w:left="320" w:top="4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 "/>
      <w:numFmt w:val="bullet"/>
      <w:start w:val="1"/>
    </w:lvl>
  </w:abstractNum>
  <w:abstractNum w:abstractNumId="7">
    <w:nsid w:val="2463B9EA"/>
    <w:multiLevelType w:val="hybridMultilevel"/>
    <w:lvl w:ilvl="0">
      <w:lvlJc w:val="left"/>
      <w:lvlText w:val=" "/>
      <w:numFmt w:val="bullet"/>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 "/>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
      <w:numFmt w:val="bullet"/>
      <w:start w:val="1"/>
    </w:lvl>
  </w:abstractNum>
  <w:abstractNum w:abstractNumId="12">
    <w:nsid w:val="153EA438"/>
    <w:multiLevelType w:val="hybridMultilevel"/>
    <w:lvl w:ilvl="0">
      <w:lvlJc w:val="left"/>
      <w:lvlText w:val=" "/>
      <w:numFmt w:val="bullet"/>
      <w:start w:val="1"/>
    </w:lvl>
  </w:abstractNum>
  <w:abstractNum w:abstractNumId="13">
    <w:nsid w:val="3855585C"/>
    <w:multiLevelType w:val="hybridMultilevel"/>
    <w:lvl w:ilvl="0">
      <w:lvlJc w:val="left"/>
      <w:lvlText w:val=" "/>
      <w:numFmt w:val="bullet"/>
      <w:start w:val="1"/>
    </w:lvl>
  </w:abstractNum>
  <w:abstractNum w:abstractNumId="14">
    <w:nsid w:val="70A64E2A"/>
    <w:multiLevelType w:val="hybridMultilevel"/>
    <w:lvl w:ilvl="0">
      <w:lvlJc w:val="left"/>
      <w:lvlText w:val="%1"/>
      <w:numFmt w:val="decimal"/>
      <w:start w:val="1"/>
    </w:lvl>
    <w:lvl w:ilvl="1">
      <w:lvlJc w:val="left"/>
      <w:lvlText w:val="(%2)"/>
      <w:numFmt w:val="decimal"/>
      <w:start w:val="1"/>
    </w:lvl>
  </w:abstractNum>
  <w:abstractNum w:abstractNumId="15">
    <w:nsid w:val="6A2342EC"/>
    <w:multiLevelType w:val="hybridMultilevel"/>
    <w:lvl w:ilvl="0">
      <w:lvlJc w:val="left"/>
      <w:lvlText w:val="(%1)"/>
      <w:numFmt w:val="decimal"/>
      <w:start w:val="8"/>
    </w:lvl>
  </w:abstractNum>
  <w:abstractNum w:abstractNumId="16">
    <w:nsid w:val="2A487CB0"/>
    <w:multiLevelType w:val="hybridMultilevel"/>
    <w:lvl w:ilvl="0">
      <w:lvlJc w:val="left"/>
      <w:lvlText w:val="2"/>
      <w:numFmt w:val="bullet"/>
      <w:start w:val="1"/>
    </w:lvl>
  </w:abstractNum>
  <w:abstractNum w:abstractNumId="17">
    <w:nsid w:val="1D4ED43B"/>
    <w:multiLevelType w:val="hybridMultilevel"/>
    <w:lvl w:ilvl="0">
      <w:lvlJc w:val="left"/>
      <w:lvlText w:val="%1."/>
      <w:numFmt w:val="decimal"/>
      <w:start w:val="75"/>
    </w:lvl>
  </w:abstractNum>
  <w:abstractNum w:abstractNumId="18">
    <w:nsid w:val="725A06FB"/>
    <w:multiLevelType w:val="hybridMultilevel"/>
    <w:lvl w:ilvl="0">
      <w:lvlJc w:val="left"/>
      <w:lvlText w:val=" "/>
      <w:numFmt w:val="bullet"/>
      <w:start w:val="1"/>
    </w:lvl>
  </w:abstractNum>
  <w:abstractNum w:abstractNumId="19">
    <w:nsid w:val="2CD89A32"/>
    <w:multiLevelType w:val="hybridMultilevel"/>
    <w:lvl w:ilvl="0">
      <w:lvlJc w:val="left"/>
      <w:lvlText w:val="3"/>
      <w:numFmt w:val="bullet"/>
      <w:start w:val="1"/>
    </w:lvl>
  </w:abstractNum>
  <w:abstractNum w:abstractNumId="20">
    <w:nsid w:val="57E4CCAF"/>
    <w:multiLevelType w:val="hybridMultilevel"/>
    <w:lvl w:ilvl="0">
      <w:lvlJc w:val="left"/>
      <w:lvlText w:val="4"/>
      <w:numFmt w:val="bullet"/>
      <w:start w:val="1"/>
    </w:lvl>
  </w:abstractNum>
  <w:abstractNum w:abstractNumId="21">
    <w:nsid w:val="7A6D8D3C"/>
    <w:multiLevelType w:val="hybridMultilevel"/>
    <w:lvl w:ilvl="0">
      <w:lvlJc w:val="left"/>
      <w:lvlText w:val=" "/>
      <w:numFmt w:val="bullet"/>
      <w:start w:val="1"/>
    </w:lvl>
  </w:abstractNum>
  <w:abstractNum w:abstractNumId="22">
    <w:nsid w:val="4B588F54"/>
    <w:multiLevelType w:val="hybridMultilevel"/>
    <w:lvl w:ilvl="0">
      <w:lvlJc w:val="left"/>
      <w:lvlText w:val="(%1)"/>
      <w:numFmt w:val="decimal"/>
      <w:start w:val="3"/>
    </w:lvl>
  </w:abstractNum>
  <w:abstractNum w:abstractNumId="23">
    <w:nsid w:val="542289EC"/>
    <w:multiLevelType w:val="hybridMultilevel"/>
    <w:lvl w:ilvl="0">
      <w:lvlJc w:val="left"/>
      <w:lvlText w:val=" "/>
      <w:numFmt w:val="bullet"/>
      <w:start w:val="1"/>
    </w:lvl>
  </w:abstractNum>
  <w:abstractNum w:abstractNumId="24">
    <w:nsid w:val="6DE91B18"/>
    <w:multiLevelType w:val="hybridMultilevel"/>
    <w:lvl w:ilvl="0">
      <w:lvlJc w:val="left"/>
      <w:lvlText w:val=" "/>
      <w:numFmt w:val="bullet"/>
      <w:start w:val="1"/>
    </w:lvl>
  </w:abstractNum>
  <w:abstractNum w:abstractNumId="25">
    <w:nsid w:val="38437FDB"/>
    <w:multiLevelType w:val="hybridMultilevel"/>
    <w:lvl w:ilvl="0">
      <w:lvlJc w:val="left"/>
      <w:lvlText w:val=" "/>
      <w:numFmt w:val="bullet"/>
      <w:start w:val="1"/>
    </w:lvl>
  </w:abstractNum>
  <w:abstractNum w:abstractNumId="26">
    <w:nsid w:val="7644A45C"/>
    <w:multiLevelType w:val="hybridMultilevel"/>
    <w:lvl w:ilvl="0">
      <w:lvlJc w:val="left"/>
      <w:lvlText w:val=" "/>
      <w:numFmt w:val="bullet"/>
      <w:start w:val="1"/>
    </w:lvl>
  </w:abstractNum>
  <w:abstractNum w:abstractNumId="27">
    <w:nsid w:val="32FFF902"/>
    <w:multiLevelType w:val="hybridMultilevel"/>
    <w:lvl w:ilvl="0">
      <w:lvlJc w:val="left"/>
      <w:lvlText w:val=" "/>
      <w:numFmt w:val="bullet"/>
      <w:start w:val="1"/>
    </w:lvl>
  </w:abstractNum>
  <w:abstractNum w:abstractNumId="28">
    <w:nsid w:val="684A481A"/>
    <w:multiLevelType w:val="hybridMultilevel"/>
    <w:lvl w:ilvl="0">
      <w:lvlJc w:val="left"/>
      <w:lvlText w:val=" "/>
      <w:numFmt w:val="bullet"/>
      <w:start w:val="1"/>
    </w:lvl>
  </w:abstractNum>
  <w:abstractNum w:abstractNumId="29">
    <w:nsid w:val="579478FE"/>
    <w:multiLevelType w:val="hybridMultilevel"/>
    <w:lvl w:ilvl="0">
      <w:lvlJc w:val="left"/>
      <w:lvlText w:val="5"/>
      <w:numFmt w:val="bullet"/>
      <w:start w:val="1"/>
    </w:lvl>
  </w:abstractNum>
  <w:abstractNum w:abstractNumId="30">
    <w:nsid w:val="749ABB43"/>
    <w:multiLevelType w:val="hybridMultilevel"/>
    <w:lvl w:ilvl="0">
      <w:lvlJc w:val="left"/>
      <w:lvlText w:val="6"/>
      <w:numFmt w:val="bullet"/>
      <w:start w:val="1"/>
    </w:lvl>
  </w:abstractNum>
  <w:abstractNum w:abstractNumId="31">
    <w:nsid w:val="3DC240FB"/>
    <w:multiLevelType w:val="hybridMultilevel"/>
    <w:lvl w:ilvl="0">
      <w:lvlJc w:val="left"/>
      <w:lvlText w:val="7"/>
      <w:numFmt w:val="bullet"/>
      <w:start w:val="1"/>
    </w:lvl>
  </w:abstractNum>
  <w:abstractNum w:abstractNumId="32">
    <w:nsid w:val="1BA026FA"/>
    <w:multiLevelType w:val="hybridMultilevel"/>
    <w:lvl w:ilvl="0">
      <w:lvlJc w:val="left"/>
      <w:lvlText w:val=" "/>
      <w:numFmt w:val="bullet"/>
      <w:start w:val="1"/>
    </w:lvl>
  </w:abstractNum>
  <w:abstractNum w:abstractNumId="33">
    <w:nsid w:val="79A1DEAA"/>
    <w:multiLevelType w:val="hybridMultilevel"/>
    <w:lvl w:ilvl="0">
      <w:lvlJc w:val="left"/>
      <w:lvlText w:val="8"/>
      <w:numFmt w:val="bullet"/>
      <w:start w:val="1"/>
    </w:lvl>
  </w:abstractNum>
  <w:abstractNum w:abstractNumId="34">
    <w:nsid w:val="75C6C33A"/>
    <w:multiLevelType w:val="hybridMultilevel"/>
    <w:lvl w:ilvl="0">
      <w:lvlJc w:val="left"/>
      <w:lvlText w:val=" "/>
      <w:numFmt w:val="bullet"/>
      <w:start w:val="1"/>
    </w:lvl>
  </w:abstractNum>
  <w:abstractNum w:abstractNumId="35">
    <w:nsid w:val="12E685FB"/>
    <w:multiLevelType w:val="hybridMultilevel"/>
    <w:lvl w:ilvl="0">
      <w:lvlJc w:val="left"/>
      <w:lvlText w:val="9"/>
      <w:numFmt w:val="bullet"/>
      <w:start w:val="1"/>
    </w:lvl>
  </w:abstractNum>
  <w:abstractNum w:abstractNumId="36">
    <w:nsid w:val="70C6A529"/>
    <w:multiLevelType w:val="hybridMultilevel"/>
    <w:lvl w:ilvl="0">
      <w:lvlJc w:val="left"/>
      <w:lvlText w:val="%1"/>
      <w:numFmt w:val="decimal"/>
      <w:start w:val="10"/>
    </w:lvl>
  </w:abstractNum>
  <w:abstractNum w:abstractNumId="37">
    <w:nsid w:val="520EEDD1"/>
    <w:multiLevelType w:val="hybridMultilevel"/>
    <w:lvl w:ilvl="0">
      <w:lvlJc w:val="left"/>
      <w:lvlText w:val=" "/>
      <w:numFmt w:val="bullet"/>
      <w:start w:val="1"/>
    </w:lvl>
  </w:abstractNum>
  <w:abstractNum w:abstractNumId="38">
    <w:nsid w:val="374A3FE6"/>
    <w:multiLevelType w:val="hybridMultilevel"/>
    <w:lvl w:ilvl="0">
      <w:lvlJc w:val="left"/>
      <w:lvlText w:val="%1"/>
      <w:numFmt w:val="decimal"/>
      <w:start w:val="11"/>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 "/>
      <w:numFmt w:val="bullet"/>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2"/>
    </w:lvl>
  </w:abstractNum>
  <w:abstractNum w:abstractNumId="43">
    <w:nsid w:val="39386575"/>
    <w:multiLevelType w:val="hybridMultilevel"/>
    <w:lvl w:ilvl="0">
      <w:lvlJc w:val="left"/>
      <w:lvlText w:val="%1"/>
      <w:numFmt w:val="decimal"/>
      <w:start w:val="12"/>
    </w:lvl>
  </w:abstractNum>
  <w:abstractNum w:abstractNumId="44">
    <w:nsid w:val="1CF10FD8"/>
    <w:multiLevelType w:val="hybridMultilevel"/>
    <w:lvl w:ilvl="0">
      <w:lvlJc w:val="left"/>
      <w:lvlText w:val="%1"/>
      <w:numFmt w:val="decimal"/>
      <w:start w:val="13"/>
    </w:lvl>
  </w:abstractNum>
  <w:abstractNum w:abstractNumId="45">
    <w:nsid w:val="180115BE"/>
    <w:multiLevelType w:val="hybridMultilevel"/>
    <w:lvl w:ilvl="0">
      <w:lvlJc w:val="left"/>
      <w:lvlText w:val="%1"/>
      <w:numFmt w:val="decimal"/>
      <w:start w:val="14"/>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decimal"/>
      <w:start w:val="5"/>
    </w:lvl>
  </w:abstractNum>
  <w:abstractNum w:abstractNumId="48">
    <w:nsid w:val="354FE9F9"/>
    <w:multiLevelType w:val="hybridMultilevel"/>
    <w:lvl w:ilvl="0">
      <w:lvlJc w:val="left"/>
      <w:lvlText w:val="%1"/>
      <w:numFmt w:val="decimal"/>
      <w:start w:val="15"/>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decimal"/>
      <w:start w:val="5"/>
    </w:lvl>
  </w:abstractNum>
  <w:abstractNum w:abstractNumId="51">
    <w:nsid w:val="D34B6A8"/>
    <w:multiLevelType w:val="hybridMultilevel"/>
    <w:lvl w:ilvl="0">
      <w:lvlJc w:val="left"/>
      <w:lvlText w:val="(%1)"/>
      <w:numFmt w:val="decimal"/>
      <w:start w:val="12"/>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4"/>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5"/>
    </w:lvl>
  </w:abstractNum>
  <w:abstractNum w:abstractNumId="59">
    <w:nsid w:val="5FF87E05"/>
    <w:multiLevelType w:val="hybridMultilevel"/>
    <w:lvl w:ilvl="0">
      <w:lvlJc w:val="left"/>
      <w:lvlText w:val=" "/>
      <w:numFmt w:val="bullet"/>
      <w:start w:val="1"/>
    </w:lvl>
  </w:abstractNum>
  <w:abstractNum w:abstractNumId="60">
    <w:nsid w:val="2F305DEF"/>
    <w:multiLevelType w:val="hybridMultilevel"/>
    <w:lvl w:ilvl="0">
      <w:lvlJc w:val="left"/>
      <w:lvlText w:val=" "/>
      <w:numFmt w:val="bullet"/>
      <w:start w:val="1"/>
    </w:lvl>
  </w:abstractNum>
  <w:abstractNum w:abstractNumId="61">
    <w:nsid w:val="25A70BF7"/>
    <w:multiLevelType w:val="hybridMultilevel"/>
    <w:lvl w:ilvl="0">
      <w:lvlJc w:val="left"/>
      <w:lvlText w:val=" "/>
      <w:numFmt w:val="bullet"/>
      <w:start w:val="1"/>
    </w:lvl>
  </w:abstractNum>
  <w:abstractNum w:abstractNumId="62">
    <w:nsid w:val="1DBABF00"/>
    <w:multiLevelType w:val="hybridMultilevel"/>
    <w:lvl w:ilvl="0">
      <w:lvlJc w:val="left"/>
      <w:lvlText w:val=" "/>
      <w:numFmt w:val="bullet"/>
      <w:start w:val="1"/>
    </w:lvl>
  </w:abstractNum>
  <w:abstractNum w:abstractNumId="63">
    <w:nsid w:val="4AD084E9"/>
    <w:multiLevelType w:val="hybridMultilevel"/>
    <w:lvl w:ilvl="0">
      <w:lvlJc w:val="left"/>
      <w:lvlText w:val=" "/>
      <w:numFmt w:val="bullet"/>
      <w:start w:val="1"/>
    </w:lvl>
  </w:abstractNum>
  <w:abstractNum w:abstractNumId="64">
    <w:nsid w:val="1F48EAA1"/>
    <w:multiLevelType w:val="hybridMultilevel"/>
    <w:lvl w:ilvl="0">
      <w:lvlJc w:val="left"/>
      <w:lvlText w:val=" "/>
      <w:numFmt w:val="bullet"/>
      <w:start w:val="1"/>
    </w:lvl>
  </w:abstractNum>
  <w:abstractNum w:abstractNumId="65">
    <w:nsid w:val="1381823A"/>
    <w:multiLevelType w:val="hybridMultilevel"/>
    <w:lvl w:ilvl="0">
      <w:lvlJc w:val="left"/>
      <w:lvlText w:val=" "/>
      <w:numFmt w:val="bullet"/>
      <w:start w:val="1"/>
    </w:lvl>
  </w:abstractNum>
  <w:abstractNum w:abstractNumId="66">
    <w:nsid w:val="5DB70AE5"/>
    <w:multiLevelType w:val="hybridMultilevel"/>
    <w:lvl w:ilvl="0">
      <w:lvlJc w:val="left"/>
      <w:lvlText w:val=" "/>
      <w:numFmt w:val="bullet"/>
      <w:start w:val="1"/>
    </w:lvl>
  </w:abstractNum>
  <w:abstractNum w:abstractNumId="67">
    <w:nsid w:val="100F8FCA"/>
    <w:multiLevelType w:val="hybridMultilevel"/>
    <w:lvl w:ilvl="0">
      <w:lvlJc w:val="left"/>
      <w:lvlText w:val=" "/>
      <w:numFmt w:val="bullet"/>
      <w:start w:val="1"/>
    </w:lvl>
  </w:abstractNum>
  <w:abstractNum w:abstractNumId="68">
    <w:nsid w:val="6590700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jpe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jpeg"/><Relationship Id="rId591" Type="http://schemas.openxmlformats.org/officeDocument/2006/relationships/image" Target="media/image584.png"/><Relationship Id="rId592" Type="http://schemas.openxmlformats.org/officeDocument/2006/relationships/image" Target="media/image585.jpe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2026-03-27T12:18:17Z</dcterms:created>
  <dcterms:modified xsi:type="dcterms:W3CDTF">2026-03-27T12:18:17Z</dcterms:modified>
</cp:coreProperties>
</file>