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utl-20251231.htm"/>
      <w:bookmarkStart w:id="1" w:name="ksutl20251231"/>
      <w:bookmarkEnd w:id="0"/>
      <w:bookmarkEnd w:id="1"/>
      <w:r>
        <w:rPr/>
        <w:t> </w:t>
      </w:r>
    </w:p>
    <w:p>
      <w:pPr>
        <w:pStyle w:val="TextBody"/>
        <w:bidi w:val="0"/>
        <w:jc w:val="center"/>
        <w:rPr>
          <w:rFonts w:ascii="Times New Roman" w:hAnsi="Times New Roman"/>
          <w:color w:val="000000"/>
          <w:sz w:val="24"/>
        </w:rPr>
      </w:pPr>
      <w:r>
        <w:rPr>
          <w:rFonts w:ascii="Times New Roman" w:hAnsi="Times New Roman"/>
          <w:color w:val="000000"/>
          <w:sz w:val="24"/>
        </w:rPr>
        <w:t>UNITED STATES</w:t>
      </w:r>
    </w:p>
    <w:p>
      <w:pPr>
        <w:pStyle w:val="TextBody"/>
        <w:bidi w:val="0"/>
        <w:jc w:val="center"/>
        <w:rPr>
          <w:rFonts w:ascii="Times New Roman" w:hAnsi="Times New Roman"/>
          <w:color w:val="000000"/>
          <w:sz w:val="24"/>
        </w:rPr>
      </w:pPr>
      <w:r>
        <w:rPr>
          <w:rFonts w:ascii="Times New Roman" w:hAnsi="Times New Roman"/>
          <w:color w:val="000000"/>
          <w:sz w:val="24"/>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center"/>
        <w:rPr>
          <w:rFonts w:ascii="Times New Roman" w:hAnsi="Times New Roman"/>
          <w:b/>
          <w:color w:val="000000"/>
          <w:sz w:val="22"/>
        </w:rPr>
      </w:pPr>
      <w:r>
        <w:rPr>
          <w:rFonts w:ascii="Times New Roman" w:hAnsi="Times New Roman"/>
          <w:b/>
          <w:color w:val="000000"/>
          <w:sz w:val="22"/>
        </w:rPr>
        <w:t>FORM 11-K</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6692" w:type="dxa"/>
        <w:jc w:val="left"/>
        <w:tblInd w:w="0" w:type="dxa"/>
        <w:tblLayout w:type="fixed"/>
        <w:tblCellMar>
          <w:top w:w="28" w:type="dxa"/>
          <w:left w:w="28" w:type="dxa"/>
          <w:bottom w:w="28" w:type="dxa"/>
          <w:right w:w="28" w:type="dxa"/>
        </w:tblCellMar>
      </w:tblPr>
      <w:tblGrid>
        <w:gridCol w:w="571"/>
        <w:gridCol w:w="6121"/>
      </w:tblGrid>
      <w:tr>
        <w:trPr/>
        <w:tc>
          <w:tcPr>
            <w:tcW w:w="571" w:type="dxa"/>
            <w:tcBorders/>
            <w:vAlign w:val="center"/>
          </w:tcPr>
          <w:p>
            <w:pPr>
              <w:pStyle w:val="TableContents"/>
              <w:bidi w:val="0"/>
              <w:spacing w:before="0" w:after="283"/>
              <w:jc w:val="left"/>
              <w:rPr>
                <w:sz w:val="4"/>
                <w:szCs w:val="4"/>
              </w:rPr>
            </w:pPr>
            <w:r>
              <w:rPr>
                <w:sz w:val="4"/>
                <w:szCs w:val="4"/>
              </w:rPr>
            </w:r>
          </w:p>
        </w:tc>
        <w:tc>
          <w:tcPr>
            <w:tcW w:w="6121" w:type="dxa"/>
            <w:tcBorders/>
            <w:vAlign w:val="center"/>
          </w:tcPr>
          <w:p>
            <w:pPr>
              <w:pStyle w:val="TableContents"/>
              <w:bidi w:val="0"/>
              <w:spacing w:before="0" w:after="283"/>
              <w:jc w:val="left"/>
              <w:rPr>
                <w:sz w:val="4"/>
                <w:szCs w:val="4"/>
              </w:rPr>
            </w:pPr>
            <w:r>
              <w:rPr>
                <w:sz w:val="4"/>
                <w:szCs w:val="4"/>
              </w:rPr>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 ]</w:t>
            </w:r>
          </w:p>
        </w:tc>
        <w:tc>
          <w:tcPr>
            <w:tcW w:w="61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ANNUAL REPORT PURSUANT TO SECTION 15(d) OF</w:t>
            </w:r>
          </w:p>
        </w:tc>
      </w:tr>
    </w:tbl>
    <w:p>
      <w:pPr>
        <w:pStyle w:val="TextBody"/>
        <w:bidi w:val="0"/>
        <w:jc w:val="left"/>
        <w:rPr>
          <w:rFonts w:ascii="Times New Roman" w:hAnsi="Times New Roman"/>
          <w:sz w:val="20"/>
        </w:rPr>
      </w:pPr>
      <w:r>
        <w:rPr>
          <w:rFonts w:ascii="Times New Roman" w:hAnsi="Times New Roman"/>
          <w:color w:val="000000"/>
          <w:sz w:val="24"/>
        </w:rPr>
        <w:t>THE SECURITIES EXCHANGE ACT OF 1934</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br/>
        <w:t>For the fiscal year ended December 31, 2025</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OR</w:t>
      </w:r>
    </w:p>
    <w:tbl>
      <w:tblPr>
        <w:tblW w:w="6617" w:type="dxa"/>
        <w:jc w:val="left"/>
        <w:tblInd w:w="0" w:type="dxa"/>
        <w:tblLayout w:type="fixed"/>
        <w:tblCellMar>
          <w:top w:w="28" w:type="dxa"/>
          <w:left w:w="28" w:type="dxa"/>
          <w:bottom w:w="28" w:type="dxa"/>
          <w:right w:w="28" w:type="dxa"/>
        </w:tblCellMar>
      </w:tblPr>
      <w:tblGrid>
        <w:gridCol w:w="331"/>
        <w:gridCol w:w="6286"/>
      </w:tblGrid>
      <w:tr>
        <w:trPr/>
        <w:tc>
          <w:tcPr>
            <w:tcW w:w="33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w:t>
            </w:r>
          </w:p>
        </w:tc>
        <w:tc>
          <w:tcPr>
            <w:tcW w:w="6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TRANSITION REPORT PURSUANT TO SECTION 15 (d)</w:t>
            </w:r>
          </w:p>
        </w:tc>
      </w:tr>
    </w:tbl>
    <w:p>
      <w:pPr>
        <w:pStyle w:val="TextBody"/>
        <w:bidi w:val="0"/>
        <w:jc w:val="left"/>
        <w:rPr>
          <w:rFonts w:ascii="Times New Roman" w:hAnsi="Times New Roman"/>
          <w:sz w:val="20"/>
        </w:rPr>
      </w:pPr>
      <w:r>
        <w:rPr>
          <w:rFonts w:ascii="Times New Roman" w:hAnsi="Times New Roman"/>
          <w:color w:val="000000"/>
          <w:sz w:val="24"/>
        </w:rPr>
        <w:t>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 xml:space="preserve">Commission file number </w:t>
      </w:r>
      <w:r>
        <w:rPr>
          <w:rFonts w:ascii="Times New Roman" w:hAnsi="Times New Roman"/>
          <w:color w:val="000000"/>
          <w:sz w:val="24"/>
          <w:u w:val="single"/>
        </w:rPr>
        <w:t>1-8858</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A. Full title of the plan and the address of the plan, if different from that of the issuer name below:</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UNITIL CORPORATION TAX DEFERRED SAVINGS AND INVESTMENT PLAN</w:t>
        <w:br/>
      </w:r>
      <w:r>
        <w:rPr>
          <w:rFonts w:ascii="Times New Roman" w:hAnsi="Times New Roman"/>
          <w:color w:val="000000"/>
          <w:sz w:val="20"/>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B. Name of issuer of the securities held pursuant to the plan and the address of its principal executive office:</w:t>
      </w:r>
    </w:p>
    <w:p>
      <w:pPr>
        <w:pStyle w:val="TextBody"/>
        <w:bidi w:val="0"/>
        <w:jc w:val="center"/>
        <w:rPr/>
      </w:pPr>
      <w:r>
        <w:rPr/>
        <w:t> </w:t>
      </w:r>
    </w:p>
    <w:p>
      <w:pPr>
        <w:pStyle w:val="TextBody"/>
        <w:bidi w:val="0"/>
        <w:jc w:val="center"/>
        <w:rPr/>
      </w:pPr>
      <w:r>
        <w:rPr/>
        <w:t> </w:t>
      </w:r>
    </w:p>
    <w:tbl>
      <w:tblPr>
        <w:tblW w:w="6377" w:type="dxa"/>
        <w:jc w:val="left"/>
        <w:tblInd w:w="0" w:type="dxa"/>
        <w:tblLayout w:type="fixed"/>
        <w:tblCellMar>
          <w:top w:w="28" w:type="dxa"/>
          <w:left w:w="28" w:type="dxa"/>
          <w:bottom w:w="28" w:type="dxa"/>
          <w:right w:w="28" w:type="dxa"/>
        </w:tblCellMar>
      </w:tblPr>
      <w:tblGrid>
        <w:gridCol w:w="5071"/>
        <w:gridCol w:w="1306"/>
      </w:tblGrid>
      <w:tr>
        <w:trPr/>
        <w:tc>
          <w:tcPr>
            <w:tcW w:w="507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UNITIL CORPORATION</w:t>
            </w:r>
          </w:p>
        </w:tc>
        <w:tc>
          <w:tcPr>
            <w:tcW w:w="13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6 Liberty Lane West, Hampton, New Hampshire</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03842-1720</w:t>
            </w:r>
          </w:p>
        </w:tc>
      </w:tr>
      <w:tr>
        <w:trPr/>
        <w:tc>
          <w:tcPr>
            <w:tcW w:w="5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Financial Statements and</w:t>
      </w:r>
    </w:p>
    <w:p>
      <w:pPr>
        <w:pStyle w:val="TextBody"/>
        <w:bidi w:val="0"/>
        <w:jc w:val="center"/>
        <w:rPr>
          <w:rFonts w:ascii="Times New Roman" w:hAnsi="Times New Roman"/>
          <w:color w:val="000000"/>
          <w:sz w:val="20"/>
        </w:rPr>
      </w:pPr>
      <w:r>
        <w:rPr>
          <w:rFonts w:ascii="Times New Roman" w:hAnsi="Times New Roman"/>
          <w:color w:val="000000"/>
          <w:sz w:val="20"/>
        </w:rPr>
        <w:t>Report of Independent</w:t>
      </w:r>
    </w:p>
    <w:p>
      <w:pPr>
        <w:pStyle w:val="TextBody"/>
        <w:bidi w:val="0"/>
        <w:jc w:val="center"/>
        <w:rPr>
          <w:rFonts w:ascii="Times New Roman" w:hAnsi="Times New Roman"/>
          <w:color w:val="000000"/>
          <w:sz w:val="20"/>
        </w:rPr>
      </w:pPr>
      <w:r>
        <w:rPr>
          <w:rFonts w:ascii="Times New Roman" w:hAnsi="Times New Roman"/>
          <w:color w:val="000000"/>
          <w:sz w:val="20"/>
        </w:rPr>
        <w:t>Registered Public Accounting Firm</w:t>
      </w:r>
    </w:p>
    <w:p>
      <w:pPr>
        <w:pStyle w:val="TextBody"/>
        <w:bidi w:val="0"/>
        <w:jc w:val="center"/>
        <w:rPr>
          <w:rFonts w:ascii="Times New Roman" w:hAnsi="Times New Roman"/>
          <w:b/>
          <w:color w:val="000000"/>
          <w:sz w:val="20"/>
        </w:rPr>
      </w:pPr>
      <w:r>
        <w:rPr>
          <w:rFonts w:ascii="Times New Roman" w:hAnsi="Times New Roman"/>
          <w:b/>
          <w:color w:val="000000"/>
          <w:sz w:val="20"/>
        </w:rPr>
        <w:t>Unitil Corporation</w:t>
      </w:r>
    </w:p>
    <w:p>
      <w:pPr>
        <w:pStyle w:val="TextBody"/>
        <w:bidi w:val="0"/>
        <w:jc w:val="center"/>
        <w:rPr>
          <w:rFonts w:ascii="Times New Roman" w:hAnsi="Times New Roman"/>
          <w:b/>
          <w:color w:val="000000"/>
          <w:sz w:val="20"/>
        </w:rPr>
      </w:pPr>
      <w:r>
        <w:rPr>
          <w:rFonts w:ascii="Times New Roman" w:hAnsi="Times New Roman"/>
          <w:b/>
          <w:color w:val="000000"/>
          <w:sz w:val="20"/>
        </w:rPr>
        <w:t>Tax Deferred</w:t>
      </w:r>
    </w:p>
    <w:p>
      <w:pPr>
        <w:pStyle w:val="TextBody"/>
        <w:bidi w:val="0"/>
        <w:jc w:val="center"/>
        <w:rPr>
          <w:rFonts w:ascii="Times New Roman" w:hAnsi="Times New Roman"/>
          <w:b/>
          <w:color w:val="000000"/>
          <w:sz w:val="20"/>
        </w:rPr>
      </w:pPr>
      <w:r>
        <w:rPr>
          <w:rFonts w:ascii="Times New Roman" w:hAnsi="Times New Roman"/>
          <w:b/>
          <w:color w:val="000000"/>
          <w:sz w:val="20"/>
        </w:rPr>
        <w:t>Savings and Investment Plan</w:t>
      </w:r>
    </w:p>
    <w:p>
      <w:pPr>
        <w:pStyle w:val="TextBody"/>
        <w:bidi w:val="0"/>
        <w:jc w:val="center"/>
        <w:rPr>
          <w:rFonts w:ascii="Times New Roman" w:hAnsi="Times New Roman"/>
          <w:color w:val="000000"/>
          <w:sz w:val="20"/>
        </w:rPr>
      </w:pPr>
      <w:r>
        <w:rPr>
          <w:rFonts w:ascii="Times New Roman" w:hAnsi="Times New Roman"/>
          <w:color w:val="000000"/>
          <w:sz w:val="20"/>
        </w:rPr>
        <w:t>December 31, 2025 and 2024</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 O N T E N T 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661"/>
        <w:gridCol w:w="544"/>
      </w:tblGrid>
      <w:tr>
        <w:trPr/>
        <w:tc>
          <w:tcPr>
            <w:tcW w:w="96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hyperlink w:anchor="auditor_report">
              <w:r>
                <w:rPr>
                  <w:rStyle w:val="InternetLink"/>
                  <w:rFonts w:ascii="Times New Roman" w:hAnsi="Times New Roman"/>
                  <w:color w:val="0000FF"/>
                  <w:sz w:val="20"/>
                  <w:u w:val="single"/>
                </w:rPr>
                <w:t>REPORTS OF INDEPENDENT REGISTERED PUBLIC ACCOUNTING FIRM</w:t>
              </w:r>
            </w:hyperlink>
          </w:p>
        </w:tc>
        <w:tc>
          <w:tcPr>
            <w:tcW w:w="5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net_assets_available">
              <w:r>
                <w:rPr>
                  <w:rStyle w:val="InternetLink"/>
                  <w:rFonts w:ascii="Times New Roman" w:hAnsi="Times New Roman"/>
                  <w:color w:val="0000FF"/>
                  <w:sz w:val="20"/>
                  <w:u w:val="single"/>
                </w:rPr>
                <w:t>STATEMENTS OF NET ASSETS AVAILABLE FOR BENEFITS - DECEMBER 31, 2025 AND 2024</w:t>
              </w:r>
            </w:hyperlink>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rFonts w:ascii="Times New Roman" w:hAnsi="Times New Roman"/>
                <w:color w:val="000000"/>
                <w:sz w:val="20"/>
              </w:rPr>
            </w:pPr>
            <w:r>
              <w:rPr>
                <w:rFonts w:ascii="Times New Roman" w:hAnsi="Times New Roman"/>
                <w:color w:val="000000"/>
                <w:sz w:val="20"/>
              </w:rPr>
              <w:t>5</w:t>
            </w:r>
          </w:p>
        </w:tc>
      </w:tr>
      <w:tr>
        <w:trPr/>
        <w:tc>
          <w:tcPr>
            <w:tcW w:w="9661" w:type="dxa"/>
            <w:tcBorders/>
            <w:tcMar>
              <w:top w:w="0" w:type="dxa"/>
              <w:left w:w="0" w:type="dxa"/>
              <w:bottom w:w="0" w:type="dxa"/>
              <w:right w:w="0" w:type="dxa"/>
            </w:tcMar>
            <w:vAlign w:val="center"/>
          </w:tcPr>
          <w:p>
            <w:pPr>
              <w:pStyle w:val="TableContents"/>
              <w:bidi w:val="0"/>
              <w:spacing w:before="0" w:after="283"/>
              <w:ind w:left="0" w:right="0" w:firstLine="288"/>
              <w:jc w:val="left"/>
              <w:rPr>
                <w:sz w:val="4"/>
                <w:szCs w:val="4"/>
              </w:rPr>
            </w:pPr>
            <w:r>
              <w:rPr>
                <w:sz w:val="4"/>
                <w:szCs w:val="4"/>
              </w:rPr>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net_assets_changes_statement">
              <w:r>
                <w:rPr>
                  <w:rStyle w:val="InternetLink"/>
                  <w:rFonts w:ascii="Times New Roman" w:hAnsi="Times New Roman"/>
                  <w:color w:val="0000FF"/>
                  <w:sz w:val="20"/>
                  <w:u w:val="single"/>
                </w:rPr>
                <w:t>STATEMENT OF CHANGES IN NET ASSETS AVAILABLE FOR BENEFITS - YEAR ENDED DECEMBER 31, 2025</w:t>
              </w:r>
            </w:hyperlink>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rFonts w:ascii="Times New Roman" w:hAnsi="Times New Roman"/>
                <w:color w:val="000000"/>
                <w:sz w:val="20"/>
              </w:rPr>
            </w:pPr>
            <w:r>
              <w:rPr>
                <w:rFonts w:ascii="Times New Roman" w:hAnsi="Times New Roman"/>
                <w:color w:val="000000"/>
                <w:sz w:val="20"/>
              </w:rPr>
              <w:t>6</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notes">
              <w:r>
                <w:rPr>
                  <w:rStyle w:val="InternetLink"/>
                  <w:rFonts w:ascii="Times New Roman" w:hAnsi="Times New Roman"/>
                  <w:color w:val="0000FF"/>
                  <w:sz w:val="20"/>
                  <w:u w:val="single"/>
                </w:rPr>
                <w:t>NOTES TO FINANCIAL STATEMENTS</w:t>
              </w:r>
            </w:hyperlink>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rFonts w:ascii="Times New Roman" w:hAnsi="Times New Roman"/>
                <w:color w:val="000000"/>
                <w:sz w:val="20"/>
              </w:rPr>
            </w:pPr>
            <w:r>
              <w:rPr>
                <w:rFonts w:ascii="Times New Roman" w:hAnsi="Times New Roman"/>
                <w:color w:val="000000"/>
                <w:sz w:val="20"/>
              </w:rPr>
              <w:t>7</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supplemental">
              <w:r>
                <w:rPr>
                  <w:rStyle w:val="InternetLink"/>
                  <w:rFonts w:ascii="Times New Roman" w:hAnsi="Times New Roman"/>
                  <w:color w:val="0000FF"/>
                  <w:sz w:val="20"/>
                  <w:u w:val="single"/>
                </w:rPr>
                <w:t>SUPPLEMENTAL INFORMATION</w:t>
              </w:r>
            </w:hyperlink>
          </w:p>
        </w:tc>
        <w:tc>
          <w:tcPr>
            <w:tcW w:w="5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9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schedule_h">
              <w:r>
                <w:rPr>
                  <w:rStyle w:val="InternetLink"/>
                  <w:rFonts w:ascii="Times New Roman" w:hAnsi="Times New Roman"/>
                  <w:color w:val="0000FF"/>
                  <w:sz w:val="20"/>
                  <w:u w:val="single"/>
                </w:rPr>
                <w:t>SCHEDULE H, LINE 4i - SCHEDULE OF ASSETS (HELD AT END OF YEAR) AS OF DECEMBER 31, 2025</w:t>
              </w:r>
            </w:hyperlink>
          </w:p>
        </w:tc>
        <w:tc>
          <w:tcPr>
            <w:tcW w:w="5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ind w:left="0" w:right="0" w:firstLine="288"/>
              <w:jc w:val="center"/>
              <w:rPr/>
            </w:pPr>
            <w:r>
              <w:rPr/>
              <w:t> </w:t>
            </w:r>
          </w:p>
        </w:tc>
      </w:tr>
      <w:tr>
        <w:trPr/>
        <w:tc>
          <w:tcPr>
            <w:tcW w:w="9661" w:type="dxa"/>
            <w:tcBorders/>
            <w:tcMar>
              <w:top w:w="0" w:type="dxa"/>
              <w:left w:w="0" w:type="dxa"/>
              <w:bottom w:w="0" w:type="dxa"/>
              <w:right w:w="0" w:type="dxa"/>
            </w:tcMar>
            <w:vAlign w:val="center"/>
          </w:tcPr>
          <w:p>
            <w:pPr>
              <w:pStyle w:val="TableContents"/>
              <w:pBdr/>
              <w:bidi w:val="0"/>
              <w:spacing w:before="0" w:after="283"/>
              <w:ind w:left="0" w:right="0" w:hanging="288"/>
              <w:jc w:val="left"/>
              <w:rPr>
                <w:rFonts w:ascii="Times New Roman" w:hAnsi="Times New Roman"/>
                <w:color w:val="000000"/>
                <w:sz w:val="20"/>
              </w:rPr>
            </w:pPr>
            <w:r>
              <w:rPr>
                <w:rFonts w:ascii="Times New Roman" w:hAnsi="Times New Roman"/>
                <w:color w:val="000000"/>
                <w:sz w:val="20"/>
              </w:rPr>
              <w:t>SCHEDULES REQUIRED UNDER THE EMPLOYEE RETIREMENT INCOME SECURITY ACT OF 1974, OTHER THAN THE SCHEDULE LISTED ABOVE, ARE OMITTED BECAUSE OF THE ABSENCE OF CONDITIONS UNDER WHICH THE SCHEDULES ARE REQUIRED.</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9661" w:type="dxa"/>
            <w:tcBorders/>
            <w:tcMar>
              <w:top w:w="0" w:type="dxa"/>
              <w:left w:w="0" w:type="dxa"/>
              <w:bottom w:w="0" w:type="dxa"/>
              <w:right w:w="0" w:type="dxa"/>
            </w:tcMar>
            <w:vAlign w:val="center"/>
          </w:tcPr>
          <w:p>
            <w:pPr>
              <w:pStyle w:val="TableContents"/>
              <w:bidi w:val="0"/>
              <w:spacing w:before="0" w:after="283"/>
              <w:jc w:val="both"/>
              <w:rPr/>
            </w:pPr>
            <w:r>
              <w:rPr/>
              <w:t> </w:t>
            </w:r>
          </w:p>
        </w:tc>
        <w:tc>
          <w:tcPr>
            <w:tcW w:w="54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bookmarkStart w:id="2" w:name="auditor_report"/>
      <w:bookmarkEnd w:id="2"/>
      <w:r>
        <w:rPr>
          <w:rFonts w:ascii="Times New Roman" w:hAnsi="Times New Roman"/>
          <w:b/>
          <w:color w:val="000000"/>
          <w:sz w:val="22"/>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Members of the Unitil Corporation 401(k) Plan Committee and Plan Administrator</w:t>
      </w:r>
    </w:p>
    <w:p>
      <w:pPr>
        <w:pStyle w:val="TextBody"/>
        <w:bidi w:val="0"/>
        <w:jc w:val="left"/>
        <w:rPr>
          <w:rFonts w:ascii="Times New Roman" w:hAnsi="Times New Roman"/>
          <w:color w:val="000000"/>
          <w:sz w:val="21"/>
        </w:rPr>
      </w:pPr>
      <w:r>
        <w:rPr>
          <w:rFonts w:ascii="Times New Roman" w:hAnsi="Times New Roman"/>
          <w:color w:val="000000"/>
          <w:sz w:val="21"/>
        </w:rPr>
        <w:t>Unitil Corporation Tax Deferred Savings and Investment Plan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We have audited the accompanying statement of net assets available for benefits of Unitil Corporation Tax Deferred Savings and Investment Plan (the Plan) as of December 31, 2025, and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2025 and the changes in net assets available for benefits for the year then ended, in accordance with U.S. generally accepted accounting principles.</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Basis for Opinion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We conducted our audit in accordance with the standards of the PCAOB. Those standards require that we plan and perform the audit to obtain reasonable assurance about whether the financial statements are free from material misstatement, whether due to error or fraud.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Prior Period Financial Statements</w:t>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financial statements of the Plan as of December 31, 2024 were audited by Berry, Dunn, McNeil &amp; Parker, LLC whose report, dated June 25, 2025, expressed an unmodified opinion on those statements. The report of Berry, Dunn, McNeil &amp; Parker, LLC is included in this Form 11-K.</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Supplemental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The supplemental schedule of assets (held at end-of-year)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under the Employee Retirement Income Security Act of 1974. In our opinion, the supplemental information is fairly stated, in all material respects, in relation to the financial statements as a whole.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/s/ BDMP Assurance, LLP</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We have served as the Plan’s auditor since 2025.</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Manchester, New Hampshire</w:t>
      </w:r>
    </w:p>
    <w:p>
      <w:pPr>
        <w:pStyle w:val="TextBody"/>
        <w:bidi w:val="0"/>
        <w:jc w:val="left"/>
        <w:rPr>
          <w:rFonts w:ascii="Times New Roman" w:hAnsi="Times New Roman"/>
          <w:color w:val="000000"/>
          <w:sz w:val="21"/>
        </w:rPr>
      </w:pPr>
      <w:r>
        <w:rPr>
          <w:rFonts w:ascii="Times New Roman" w:hAnsi="Times New Roman"/>
          <w:color w:val="000000"/>
          <w:sz w:val="21"/>
        </w:rPr>
        <w:t>June 26,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REPORT OF INDEPENDENT REGISTERED PUBLIC ACCOUNTING FIRM</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Members of the Unitil Corporation 401(k) Plan Committee and Plan Administrator</w:t>
      </w:r>
    </w:p>
    <w:p>
      <w:pPr>
        <w:pStyle w:val="TextBody"/>
        <w:bidi w:val="0"/>
        <w:jc w:val="both"/>
        <w:rPr>
          <w:rFonts w:ascii="Times New Roman" w:hAnsi="Times New Roman"/>
          <w:color w:val="000000"/>
          <w:sz w:val="21"/>
        </w:rPr>
      </w:pPr>
      <w:r>
        <w:rPr>
          <w:rFonts w:ascii="Times New Roman" w:hAnsi="Times New Roman"/>
          <w:color w:val="000000"/>
          <w:sz w:val="21"/>
        </w:rPr>
        <w:t>Unitil Corporation Tax Deferred Savings and Investment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1"/>
        </w:rPr>
        <w:t>Opinion on the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We have audited the accompanying statements of net assets available for benefits of Unitil Corporation Tax Deferred Savings and Investment Plan (the Plan) as of December 31, 2024 and 2023, and the related statement of changes in net assets available for benefits for the year ended December 31, 2024,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 ended December 31, 2024, in conformity with U.S. generally accepted accounting principles.</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Basis for Opinion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We conducted our audits in accordance with the standards of the PCAOB. Those standards require that we plan and perform the audits to obtain reasonable assurance about whether the financial statements are free from material misstatement, whether due to error or fraud. The Plan is not required to have, nor were we engaged to perform, an audit of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color w:val="000000"/>
          <w:sz w:val="20"/>
        </w:rPr>
        <w:t xml:space="preserve"> </w:t>
      </w:r>
    </w:p>
    <w:p>
      <w:pPr>
        <w:pStyle w:val="TextBody"/>
        <w:bidi w:val="0"/>
        <w:jc w:val="left"/>
        <w:rPr>
          <w:rFonts w:ascii="Times New Roman" w:hAnsi="Times New Roman"/>
          <w:b/>
          <w:color w:val="000000"/>
          <w:sz w:val="21"/>
        </w:rPr>
      </w:pPr>
      <w:r>
        <w:rPr>
          <w:rFonts w:ascii="Times New Roman" w:hAnsi="Times New Roman"/>
          <w:b/>
          <w:color w:val="000000"/>
          <w:sz w:val="21"/>
        </w:rPr>
        <w:t>Supplemental Information</w:t>
      </w:r>
    </w:p>
    <w:p>
      <w:pPr>
        <w:pStyle w:val="TextBody"/>
        <w:bidi w:val="0"/>
        <w:jc w:val="both"/>
        <w:rPr/>
      </w:pPr>
      <w:r>
        <w:rPr/>
        <w:t>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The supplemental schedule of assets (held at end-of-year)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12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/s/ Berry, Dunn, McNeil &amp; Parker, LLC</w:t>
      </w:r>
    </w:p>
    <w:p>
      <w:pPr>
        <w:pStyle w:val="TextBody"/>
        <w:bidi w:val="0"/>
        <w:jc w:val="both"/>
        <w:rPr>
          <w:rFonts w:ascii="Times New Roman" w:hAnsi="Times New Roman"/>
          <w:color w:val="000000"/>
          <w:sz w:val="21"/>
        </w:rPr>
      </w:pPr>
      <w:r>
        <w:rPr>
          <w:rFonts w:ascii="Times New Roman" w:hAnsi="Times New Roman"/>
          <w:color w:val="000000"/>
          <w:sz w:val="21"/>
        </w:rPr>
        <w:t>We have served as the Plan’s auditor since 2023.</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Portland, Maine</w:t>
      </w:r>
    </w:p>
    <w:p>
      <w:pPr>
        <w:pStyle w:val="TextBody"/>
        <w:bidi w:val="0"/>
        <w:jc w:val="both"/>
        <w:rPr>
          <w:rFonts w:ascii="Times New Roman" w:hAnsi="Times New Roman"/>
          <w:color w:val="000000"/>
          <w:sz w:val="21"/>
        </w:rPr>
      </w:pPr>
      <w:r>
        <w:rPr>
          <w:rFonts w:ascii="Times New Roman" w:hAnsi="Times New Roman"/>
          <w:color w:val="000000"/>
          <w:sz w:val="21"/>
        </w:rPr>
        <w:t>June 25, 2025</w:t>
      </w:r>
    </w:p>
    <w:p>
      <w:pPr>
        <w:pStyle w:val="TextBody"/>
        <w:bidi w:val="0"/>
        <w:spacing w:before="0" w:after="12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bookmarkStart w:id="3" w:name="net_assets_available"/>
      <w:bookmarkEnd w:id="3"/>
      <w:r>
        <w:rPr>
          <w:rFonts w:ascii="Times New Roman" w:hAnsi="Times New Roman"/>
          <w:color w:val="000000"/>
          <w:sz w:val="22"/>
        </w:rPr>
        <w:t>Unitil Corporation Tax Deferred Savings and Investment Plan</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STATEMENTS OF NET ASSETS AVAILABLE FOR BENEFITS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December 31,</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6924" w:type="dxa"/>
        <w:jc w:val="left"/>
        <w:tblInd w:w="0" w:type="dxa"/>
        <w:tblLayout w:type="fixed"/>
        <w:tblCellMar>
          <w:top w:w="28" w:type="dxa"/>
          <w:left w:w="28" w:type="dxa"/>
          <w:bottom w:w="28" w:type="dxa"/>
          <w:right w:w="28" w:type="dxa"/>
        </w:tblCellMar>
      </w:tblPr>
      <w:tblGrid>
        <w:gridCol w:w="3191"/>
        <w:gridCol w:w="146"/>
        <w:gridCol w:w="211"/>
        <w:gridCol w:w="1141"/>
        <w:gridCol w:w="146"/>
        <w:gridCol w:w="146"/>
        <w:gridCol w:w="211"/>
        <w:gridCol w:w="1141"/>
        <w:gridCol w:w="59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165,547,500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144,192,552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Investments at Contract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9,815,758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9,775,375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Notes Receivable from Participants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2,354,207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2,264,125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Assets Available for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177,717,465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156,232,052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(The accompanying notes are an integral part of these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bookmarkStart w:id="4" w:name="net_assets_changes_statement"/>
      <w:bookmarkEnd w:id="4"/>
      <w:r>
        <w:rPr>
          <w:rFonts w:ascii="Times New Roman" w:hAnsi="Times New Roman"/>
          <w:color w:val="000000"/>
          <w:sz w:val="22"/>
        </w:rPr>
        <w:t>Unitil Corporation Tax Deferred Savings and Investment Plan</w:t>
      </w:r>
    </w:p>
    <w:p>
      <w:pPr>
        <w:pStyle w:val="TextBody"/>
        <w:bidi w:val="0"/>
        <w:jc w:val="center"/>
        <w:rPr>
          <w:rFonts w:ascii="Times New Roman" w:hAnsi="Times New Roman"/>
          <w:color w:val="000000"/>
          <w:sz w:val="22"/>
        </w:rPr>
      </w:pPr>
      <w:r>
        <w:rPr>
          <w:rFonts w:ascii="Times New Roman" w:hAnsi="Times New Roman"/>
          <w:color w:val="000000"/>
          <w:sz w:val="22"/>
        </w:rPr>
        <w:t>STATEMENT OF CHANGES IN NET ASSETS AVAILABLE FOR BENEFITS</w:t>
      </w:r>
    </w:p>
    <w:p>
      <w:pPr>
        <w:pStyle w:val="TextBody"/>
        <w:bidi w:val="0"/>
        <w:jc w:val="center"/>
        <w:rPr>
          <w:rFonts w:ascii="Times New Roman" w:hAnsi="Times New Roman"/>
          <w:color w:val="000000"/>
          <w:sz w:val="22"/>
        </w:rPr>
      </w:pPr>
      <w:r>
        <w:rPr>
          <w:rFonts w:ascii="Times New Roman" w:hAnsi="Times New Roman"/>
          <w:color w:val="000000"/>
          <w:sz w:val="22"/>
        </w:rPr>
        <w:t>For the year ended December 31,</w:t>
      </w:r>
    </w:p>
    <w:p>
      <w:pPr>
        <w:pStyle w:val="TextBody"/>
        <w:bidi w:val="0"/>
        <w:jc w:val="left"/>
        <w:rPr/>
      </w:pPr>
      <w:r>
        <w:rPr/>
        <w:t> </w:t>
      </w:r>
    </w:p>
    <w:tbl>
      <w:tblPr>
        <w:tblW w:w="6250" w:type="dxa"/>
        <w:jc w:val="left"/>
        <w:tblInd w:w="0" w:type="dxa"/>
        <w:tblLayout w:type="fixed"/>
        <w:tblCellMar>
          <w:top w:w="28" w:type="dxa"/>
          <w:left w:w="28" w:type="dxa"/>
          <w:bottom w:w="28" w:type="dxa"/>
          <w:right w:w="28" w:type="dxa"/>
        </w:tblCellMar>
      </w:tblPr>
      <w:tblGrid>
        <w:gridCol w:w="4341"/>
        <w:gridCol w:w="146"/>
        <w:gridCol w:w="211"/>
        <w:gridCol w:w="1141"/>
        <w:gridCol w:w="411"/>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Additions to net assets attributed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appreciation in fair value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11,509,647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Interest and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10,160,637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21,670,284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Interest on notes receivable from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Participant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6,788,312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Employer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5,112,494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Participant rollovers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1,914,836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Total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13,815,642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Total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35,679,796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Deductions from net assets attributed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Benefits paid to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(6,521,230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Rollover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(7,469,957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Administrative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(203,196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Total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(14,194,383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21,485,413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assets available for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156,232,052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177,717,465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(The accompanying notes are an integral part of these financial statements.)</w:t>
      </w:r>
    </w:p>
    <w:p>
      <w:pPr>
        <w:pStyle w:val="TextBody"/>
        <w:bidi w:val="0"/>
        <w:jc w:val="left"/>
        <w:rPr>
          <w:rFonts w:ascii="Times New Roman" w:hAnsi="Times New Roman"/>
          <w:i/>
          <w:color w:val="000000"/>
          <w:sz w:val="22"/>
        </w:rPr>
      </w:pPr>
      <w:r>
        <w:rPr>
          <w:rFonts w:ascii="Times New Roman" w:hAnsi="Times New Roman"/>
          <w:i/>
          <w:color w:val="000000"/>
          <w:sz w:val="22"/>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bookmarkStart w:id="5" w:name="notes"/>
      <w:bookmarkEnd w:id="5"/>
      <w:r>
        <w:rPr>
          <w:rFonts w:ascii="Times New Roman" w:hAnsi="Times New Roman"/>
          <w:color w:val="000000"/>
          <w:sz w:val="20"/>
        </w:rPr>
        <w:t>NOTE A - DESCRIPTION OF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description of the Unitil Corporation (“Unitil” or the “Company”) Tax Deferred Savings and Investment Plan (“Plan” or “401(k) Plan”) provides only general information. Participants should refer to the Plan Document for a more complete description of the Plan’s provisions.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General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is a defined contribution plan covering all employees of the Company and its wholly-owned subsidiaries Unitil Service Corp., Unitil Energy Systems, Inc., Fitchburg Gas and Electric Light Company, Northern Utilities, Inc., Bangor Natural Gas Company, Maine Natural Gas Corporation and Granite State Gas Transmission, Inc. (collectively, the “subsidiaries”), who satisfy the eligibility requirements. The Company has engaged John Hancock Trust Company LLC (“John Hancock” or “Trustee”) as the trustee of the Plan. The Plan is subject to the provisions of the Employee Retirement Income Security Act of 1974 (“ERISA”) and the Internal Revenue Code (the “Code”).</w:t>
      </w:r>
    </w:p>
    <w:p>
      <w:pPr>
        <w:pStyle w:val="TextBody"/>
        <w:pBdr/>
        <w:bidi w:val="0"/>
        <w:ind w:left="0" w:right="0" w:hanging="198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Plan’s effective date is July 1, 1985. The Plan was amended and restated effective January 1, 2021 to comply with current federal regulations and to incorporate all previous amendments. </w:t>
      </w:r>
    </w:p>
    <w:p>
      <w:pPr>
        <w:pStyle w:val="TextBody"/>
        <w:bidi w:val="0"/>
        <w:jc w:val="left"/>
        <w:rPr/>
      </w:pPr>
      <w:r>
        <w:rPr/>
        <w:t> </w:t>
      </w:r>
    </w:p>
    <w:p>
      <w:pPr>
        <w:pStyle w:val="TextBody"/>
        <w:pBdr/>
        <w:bidi w:val="0"/>
        <w:ind w:left="0" w:right="0" w:hanging="720"/>
        <w:jc w:val="left"/>
        <w:rPr>
          <w:rFonts w:ascii="Times New Roman" w:hAnsi="Times New Roman"/>
          <w:color w:val="000000"/>
          <w:sz w:val="20"/>
          <w:u w:val="single"/>
        </w:rPr>
      </w:pPr>
      <w:r>
        <w:rPr>
          <w:rFonts w:ascii="Times New Roman" w:hAnsi="Times New Roman"/>
          <w:color w:val="000000"/>
          <w:sz w:val="20"/>
          <w:u w:val="single"/>
        </w:rPr>
        <w:t>Eligibility</w:t>
      </w:r>
    </w:p>
    <w:p>
      <w:pPr>
        <w:pStyle w:val="TextBody"/>
        <w:pBdr/>
        <w:bidi w:val="0"/>
        <w:ind w:left="0" w:right="0" w:hanging="1980"/>
        <w:jc w:val="left"/>
        <w:rPr/>
      </w:pPr>
      <w:r>
        <w:rPr/>
        <w:t> </w:t>
      </w:r>
    </w:p>
    <w:p>
      <w:pPr>
        <w:pStyle w:val="TextBody"/>
        <w:pBdr/>
        <w:bidi w:val="0"/>
        <w:ind w:left="0" w:right="0" w:hanging="900"/>
        <w:jc w:val="both"/>
        <w:rPr>
          <w:rFonts w:ascii="Times New Roman" w:hAnsi="Times New Roman"/>
          <w:color w:val="000000"/>
          <w:sz w:val="20"/>
        </w:rPr>
      </w:pPr>
      <w:r>
        <w:rPr>
          <w:rFonts w:ascii="Times New Roman" w:hAnsi="Times New Roman"/>
          <w:color w:val="000000"/>
          <w:sz w:val="20"/>
        </w:rPr>
        <w:t>Employees are eligible to participate in the Plan on the first of the month following:</w:t>
      </w:r>
    </w:p>
    <w:p>
      <w:pPr>
        <w:pStyle w:val="TextBody"/>
        <w:bidi w:val="0"/>
        <w:jc w:val="left"/>
        <w:rPr/>
      </w:pPr>
      <w:r>
        <w:rPr/>
        <w:t> </w:t>
      </w:r>
    </w:p>
    <w:p>
      <w:pPr>
        <w:pStyle w:val="TextBody"/>
        <w:pBdr/>
        <w:bidi w:val="0"/>
        <w:ind w:left="0" w:right="0" w:hanging="720"/>
        <w:jc w:val="left"/>
        <w:rPr>
          <w:rFonts w:ascii="Times New Roman" w:hAnsi="Times New Roman"/>
          <w:color w:val="000000"/>
          <w:sz w:val="20"/>
        </w:rPr>
      </w:pPr>
      <w:r>
        <w:rPr>
          <w:rFonts w:ascii="Times New Roman" w:hAnsi="Times New Roman"/>
          <w:color w:val="000000"/>
          <w:sz w:val="20"/>
        </w:rPr>
        <w:t>(1) Attainment of age 18, and</w:t>
      </w:r>
    </w:p>
    <w:p>
      <w:pPr>
        <w:pStyle w:val="TextBody"/>
        <w:pBdr/>
        <w:bidi w:val="0"/>
        <w:ind w:left="0" w:right="0" w:hanging="720"/>
        <w:jc w:val="left"/>
        <w:rPr>
          <w:rFonts w:ascii="Times New Roman" w:hAnsi="Times New Roman"/>
          <w:color w:val="000000"/>
          <w:sz w:val="20"/>
        </w:rPr>
      </w:pPr>
      <w:r>
        <w:rPr>
          <w:rFonts w:ascii="Times New Roman" w:hAnsi="Times New Roman"/>
          <w:color w:val="000000"/>
          <w:sz w:val="20"/>
        </w:rPr>
        <w:t>(2) Completion of 1,000 hours of credited service for employees hired before 09/01/2024, as defined by the Plan Document.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Participant Contributions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Participants may contribute from 1% to 85% of their compensation, as defined by the Plan Document or as limited by the Code, on a pre-tax and/or after-tax basis. Participants may elect to apply the deferral percentage to either (1) base pay, as defined by the Plan Document, or (2) total pay including bonuses, commissions, incentive, overtime and all other forms of premium pay.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Participants who are age 50 or will turn age 50 by the end of the Plan year (December 31) may be eligible to make “catch-up” contributions, as defined by the Plan Document and the Code.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Participants may also make rollover contributions into the Plan from other qualified plans.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New employees are automatically enrolled in the 401(k) Plan, with the automatic employee contribution rate of 6%. This contribution rate will automatically increase by 1% on January 1st of each year until the employee’s contribution is 85% of pay. Employees may elect to opt-out of the automatic enrollment and/or automatic increase features provided by the enhanced Plan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has a Roth 401(k) option for participants. Contributions made by participants under the Roth 401(k) option are on an after-tax basis. Combined Roth 401(k) and pre-tax deferrals are subject to Code limits. In-plan Roth Rollovers and Roth Conversions will be allowed effective with the addition of the Roth 401(k) option.</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Employer Contributions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matches participant contributions on a dollar-for-dollar basis, up to the first 3% percent of their eligible compensation, as defined by the Plan Document, except as noted below. Overtime pay, commissions and other forms of premium pay are not included in the definition of compensation eligible for matching purposes.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non-union employees who are hired on or after January 1, 2010, and for non-union employees who elected to move from the Company’s existing Pension Plan and accept a frozen pension benefit, the Plan provides enhanced Plan benefits including the Company contributing 4% of eligible compensation, as defined by the Plan, each year, regardless of whether or not the non-union employee elects to contribute to the 401(k) Plan. The Company also matches 100% of these employees’ elective deferrals up to 6% of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those United Steel Workers (“USW”) Local 12012-6 members who are hired on or after January 1, 2011, and for USW Local 12012-6 members who elected to move from the Company’s existing Pension Plan and accept a frozen pension benefit, the Plan provides for enhanced Plan benefits including the Company matching employee elective deferrals up to 6% of base pay and the Company contributing 4% of base pay each year, regardless of whether the employee elects to contribute to the 401(k)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those Utility Workers Union of America (“UWUA”) Local 341 members who are hired on or after April 1, 2012, the Plan provides enhanced Plan benefits including the Company matching employee elective deferrals up to 6% of base pay and the Company contributing 4% of base pay each year, regardless of whether the employee elects to contribute to the 401(k)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those International Brotherhood of Electrical Workers (“IBEW”) members who are hired on or after June 1, 2012, and for IBEW members who elected to move from the Company’s existing Pension Plan and accept a frozen pension benefit, the Plan provides enhanced Plan benefits including the Company matching employee elective deferrals up to 6% of base pay and the Company contributing 4% of base pay each year, regardless of whether the employee elects to contribute to the 401(k)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those UWUA - Local B340 members who are hired on or after June 1, 2013, the Plan provides enhanced Plan benefits including the Company matching employee elective deferrals up to 6% of base pay and the Company contributing 4% of base pay each year, regardless of whether the employee elects to contribute to the 401(k)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those Laborers’ International Union of North America (“LIUNA”) Local 327 members who are hired on or after January 1, 2010, the Plan provides enhanced Plan benefits including the Company contributing 4% of eligible compensation, as defined by the Plan, each year, regardless of whether or not the non-union employee elects to contribute to the 401(k) Plan. The Company also matches 100% of these employees’ elective deferrals up to 6% of compensation.</w:t>
      </w:r>
    </w:p>
    <w:p>
      <w:pPr>
        <w:pStyle w:val="TextBody"/>
        <w:bidi w:val="0"/>
        <w:ind w:left="489" w:right="0" w:hanging="367"/>
        <w:jc w:val="both"/>
        <w:rPr>
          <w:rFonts w:ascii="Times New Roman" w:hAnsi="Times New Roman"/>
          <w:color w:val="000000"/>
          <w:sz w:val="20"/>
          <w:u w:val="single"/>
        </w:rPr>
      </w:pPr>
      <w:r>
        <w:rPr>
          <w:rFonts w:ascii="Times New Roman" w:hAnsi="Times New Roman"/>
          <w:color w:val="000000"/>
          <w:sz w:val="20"/>
          <w:u w:val="single"/>
        </w:rPr>
        <w:t>Participant Accounts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participant’s account is credited with the participant’s contribution and allocations of (a) the Company’s contribution and (b) Plan earnings. Allocations are based on participant earnings or account balances, as defined by the Plan Document. Each participant’s account is charged for the investment management fees charged by each mutual fund. Investment management fees are netted against the earnings of each fund through each fund's expense ratio. The benefit to which a participant is entitled is the benefit that can be provided from the participant’s vested account.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Vesting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Participants are immediately vested in their contributions and the Company contributions plus actual earnings or losses thereon.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Notes Receivable from Participants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Participants may borrow from their account balances a minimum of $1,000 up to a maximum equal to the lesser of $50,000, reduced by the highest outstanding loan balance during the preceding twelve-month period, or 50% of their vested account balance. Loan terms range from 1 to 5 years or up to 15 years for the purchase of a primary residence. The loans are secured by the balance in the participant’s account and bear interest at a rate that is fixed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origination of the loan at the then prime rate plus one percent (1%). No more than two loans may be outstanding at any time. Principal and interest is paid ratably through payroll deductions. As of December 31, 2025, there are 244 loans to participants, maturing from 2026 to 2039 with interest rates ranging between 4.25% and 9.50%.</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Payment of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termination of service due to death, disability or retirement, a participant may elect to receive either a lump-sum amount equal to the value of the participant’s vested interest in his or her account, partial distribution of any portion of the account balance, or annual installments over a fixed number of calendar quarters or years. In-service distributions and hardship withdrawals are available to participants in accordance with the provisions of the Plan. Payments are generally received in cash. Participants may elect to receive in-kind distributions of employer securities.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In-Kind Distributions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One of the Plan’s investment options is the Unitil Corporation Stock Fund (comprised of Company shares and a money market fund). When receiving payment of benefits, a participant invested in the Unitil Corporation Stock Fund may elect to receive whole shares of stock (i.e. in-kind distributions), with any fractional shares, and the cash and cash equivalent portions of the underlying stock account, being distributed in cash. In 2025, the Plan had in-kind distributions of $15,790, which are included in Benefits Paid to Participants on the Statement of Changes in Net Assets Available for Benefits.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Investment Options</w:t>
      </w:r>
      <w:r>
        <w:rPr>
          <w:rFonts w:ascii="Times New Roman" w:hAnsi="Times New Roman"/>
          <w:color w:val="000000"/>
          <w:sz w:val="20"/>
        </w:rPr>
        <w:br/>
        <w:t> </w:t>
      </w:r>
    </w:p>
    <w:p>
      <w:pPr>
        <w:pStyle w:val="TextBody"/>
        <w:bidi w:val="0"/>
        <w:jc w:val="both"/>
        <w:rPr>
          <w:rFonts w:ascii="Times New Roman" w:hAnsi="Times New Roman"/>
          <w:color w:val="000000"/>
          <w:sz w:val="20"/>
        </w:rPr>
      </w:pPr>
      <w:r>
        <w:rPr>
          <w:rFonts w:ascii="Times New Roman" w:hAnsi="Times New Roman"/>
          <w:color w:val="000000"/>
          <w:sz w:val="20"/>
        </w:rPr>
        <w:t>The Plan offers 35 investment portfolio or fund options consisting of registered investment companies (mutual funds); one pooled separate account (New York Life Anchor Account - Stable Value Fund); and the Unitil Corporation Stock Fund (comprised of Company shares and a money market fund). Participants may change their investment options daily, and all investments within the plan are participant-directed.</w:t>
      </w:r>
    </w:p>
    <w:p>
      <w:pPr>
        <w:pStyle w:val="TextBody"/>
        <w:pBdr/>
        <w:bidi w:val="0"/>
        <w:ind w:left="0" w:right="0" w:hanging="900"/>
        <w:jc w:val="left"/>
        <w:rPr/>
      </w:pPr>
      <w:r>
        <w:rPr/>
        <w:t> </w:t>
      </w:r>
    </w:p>
    <w:p>
      <w:pPr>
        <w:pStyle w:val="TextBody"/>
        <w:pBdr/>
        <w:bidi w:val="0"/>
        <w:ind w:left="0" w:right="0" w:hanging="900"/>
        <w:jc w:val="left"/>
        <w:rPr>
          <w:rFonts w:ascii="Times New Roman" w:hAnsi="Times New Roman"/>
          <w:sz w:val="20"/>
        </w:rPr>
      </w:pPr>
      <w:r>
        <w:rPr>
          <w:rFonts w:ascii="Times New Roman" w:hAnsi="Times New Roman"/>
          <w:color w:val="000000"/>
          <w:sz w:val="20"/>
          <w:u w:val="single"/>
        </w:rPr>
        <w:t>Unitil Corporation Stock Fund (Unitil Corporation, no par value common stock)</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Unitil Corporation Stock Fund (“Stock Fund”) is set up to hold common shares for the participants of the Plan and maintains liquidity in cash and cash equivalents to facilitate the timely settlement of participant transactions. Participants may allocate or withdraw their account balances between this fund and other funds without restrictions. The Stock Fund had approximately 3% and 4% in cash and cash equivalents, and 97% and 96% in Company stock at December 31, 2025, and December 31, 2024, respectively.</w:t>
      </w:r>
    </w:p>
    <w:p>
      <w:pPr>
        <w:pStyle w:val="TextBody"/>
        <w:bidi w:val="0"/>
        <w:jc w:val="left"/>
        <w:rPr>
          <w:rFonts w:ascii="Times New Roman" w:hAnsi="Times New Roman"/>
          <w:color w:val="000000"/>
          <w:sz w:val="20"/>
        </w:rPr>
      </w:pPr>
      <w:r>
        <w:rPr>
          <w:rFonts w:ascii="Times New Roman" w:hAnsi="Times New Roman"/>
          <w:color w:val="000000"/>
          <w:sz w:val="20"/>
        </w:rPr>
        <w:t>NOTE B - SUMMARY OF SIGNIFICANT ACCOUNTING POLICIES</w:t>
      </w:r>
    </w:p>
    <w:p>
      <w:pPr>
        <w:pStyle w:val="TextBody"/>
        <w:bidi w:val="0"/>
        <w:jc w:val="left"/>
        <w:rPr/>
      </w:pPr>
      <w:r>
        <w:rPr/>
        <w:t> </w:t>
      </w:r>
    </w:p>
    <w:p>
      <w:pPr>
        <w:pStyle w:val="TextBody"/>
        <w:pBdr/>
        <w:bidi w:val="0"/>
        <w:ind w:left="0" w:right="0" w:hanging="720"/>
        <w:jc w:val="left"/>
        <w:rPr>
          <w:rFonts w:ascii="Times New Roman" w:hAnsi="Times New Roman"/>
          <w:color w:val="000000"/>
          <w:sz w:val="20"/>
          <w:u w:val="single"/>
        </w:rPr>
      </w:pPr>
      <w:r>
        <w:rPr>
          <w:rFonts w:ascii="Times New Roman" w:hAnsi="Times New Roman"/>
          <w:color w:val="000000"/>
          <w:sz w:val="20"/>
          <w:u w:val="single"/>
        </w:rPr>
        <w:t>Basis of Accounting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financial statements of the Plan are prepared under the accrual basis in accordance with accounting principles generally accepted in the United States of America (“US GAAP”).</w:t>
      </w:r>
    </w:p>
    <w:p>
      <w:pPr>
        <w:pStyle w:val="TextBody"/>
        <w:bidi w:val="0"/>
        <w:jc w:val="left"/>
        <w:rPr/>
      </w:pPr>
      <w:r>
        <w:rPr/>
        <w:t> </w:t>
      </w:r>
    </w:p>
    <w:p>
      <w:pPr>
        <w:pStyle w:val="TextBody"/>
        <w:pBdr/>
        <w:bidi w:val="0"/>
        <w:ind w:left="0" w:right="0" w:hanging="720"/>
        <w:jc w:val="left"/>
        <w:rPr>
          <w:rFonts w:ascii="Times New Roman" w:hAnsi="Times New Roman"/>
          <w:color w:val="000000"/>
          <w:sz w:val="20"/>
          <w:u w:val="single"/>
        </w:rPr>
      </w:pPr>
      <w:r>
        <w:rPr>
          <w:rFonts w:ascii="Times New Roman" w:hAnsi="Times New Roman"/>
          <w:color w:val="000000"/>
          <w:sz w:val="20"/>
          <w:u w:val="single"/>
        </w:rPr>
        <w:t>Management Estimates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preparation of the financial statements in conformity with U.S. GAAP requires management to make estimates and assumptions that affect the reported amounts of assets and liabilities and changes therein, and disclosure of contingent assets and liabilities. Accordingly, actual results may differ from those estimates.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pBdr/>
        <w:bidi w:val="0"/>
        <w:ind w:left="0" w:right="0" w:hanging="720"/>
        <w:jc w:val="left"/>
        <w:rPr>
          <w:rFonts w:ascii="Times New Roman" w:hAnsi="Times New Roman"/>
          <w:sz w:val="20"/>
        </w:rPr>
      </w:pPr>
      <w:r>
        <w:rPr>
          <w:rFonts w:ascii="Times New Roman" w:hAnsi="Times New Roman"/>
          <w:color w:val="000000"/>
          <w:sz w:val="20"/>
          <w:u w:val="single"/>
        </w:rPr>
        <w:t>Investment Valuation and Income Recognition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Registered investment companies (mutual funds) and money market funds are valued at quoted market prices, which represent the net asset value of shares held by the Plan at year-end. Investments in the New York Life Stable Value Fund are valued at contract value, based on information provided by the trustee. (See Note F). The Unitil Corporation Stock Fund is stated at fair value as determined by quoted market prices of both Unitil common stock and cash equivalents held in the fund.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is recorded when earned. Dividends are recorded on the ex-dividend date. The Plan presents in the Statement of Changes in Net Assets Available for Benefits the net appreciation (depreciation) in the fair value of investments, which consists of the realized gains or losses and the unrealized appreciation (depreciation) on those investments.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Notes Receivable from Participants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Notes receivable from participants are measured at their unpaid principal balance plus any accrued but unpaid interest. Delinquent notes receivable from participants are recorded as distributions based on the terms of the Plan document.</w:t>
      </w:r>
    </w:p>
    <w:p>
      <w:pPr>
        <w:pStyle w:val="TextBody"/>
        <w:pBdr/>
        <w:bidi w:val="0"/>
        <w:ind w:left="0" w:right="0" w:hanging="720"/>
        <w:jc w:val="left"/>
        <w:rPr/>
      </w:pPr>
      <w:r>
        <w:rPr/>
        <w:t> </w:t>
      </w:r>
    </w:p>
    <w:p>
      <w:pPr>
        <w:pStyle w:val="TextBody"/>
        <w:pBdr/>
        <w:bidi w:val="0"/>
        <w:ind w:left="0" w:right="0" w:hanging="720"/>
        <w:jc w:val="left"/>
        <w:rPr>
          <w:rFonts w:ascii="Times New Roman" w:hAnsi="Times New Roman"/>
          <w:color w:val="000000"/>
          <w:sz w:val="20"/>
          <w:u w:val="single"/>
        </w:rPr>
      </w:pPr>
      <w:r>
        <w:rPr>
          <w:rFonts w:ascii="Times New Roman" w:hAnsi="Times New Roman"/>
          <w:color w:val="000000"/>
          <w:sz w:val="20"/>
          <w:u w:val="single"/>
        </w:rPr>
        <w:t>Payment of Benefits</w:t>
      </w:r>
    </w:p>
    <w:p>
      <w:pPr>
        <w:pStyle w:val="TextBody"/>
        <w:pBdr/>
        <w:bidi w:val="0"/>
        <w:ind w:left="0" w:right="0" w:hanging="288"/>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Benefit payments to participants are recorded when paid.</w:t>
      </w:r>
    </w:p>
    <w:p>
      <w:pPr>
        <w:pStyle w:val="TextBody"/>
        <w:bidi w:val="0"/>
        <w:jc w:val="left"/>
        <w:rPr/>
      </w:pPr>
      <w:r>
        <w:rPr/>
        <w:t> </w:t>
      </w:r>
    </w:p>
    <w:p>
      <w:pPr>
        <w:pStyle w:val="TextBody"/>
        <w:pBdr/>
        <w:bidi w:val="0"/>
        <w:ind w:left="0" w:right="0" w:hanging="720"/>
        <w:jc w:val="left"/>
        <w:rPr>
          <w:rFonts w:ascii="Times New Roman" w:hAnsi="Times New Roman"/>
          <w:color w:val="000000"/>
          <w:sz w:val="20"/>
          <w:u w:val="single"/>
        </w:rPr>
      </w:pPr>
      <w:r>
        <w:rPr>
          <w:rFonts w:ascii="Times New Roman" w:hAnsi="Times New Roman"/>
          <w:color w:val="000000"/>
          <w:sz w:val="20"/>
          <w:u w:val="single"/>
        </w:rPr>
        <w:t>Expenses</w:t>
      </w:r>
    </w:p>
    <w:p>
      <w:pPr>
        <w:pStyle w:val="TextBody"/>
        <w:pBdr/>
        <w:bidi w:val="0"/>
        <w:ind w:left="0" w:right="0" w:hanging="72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Non-standard service expenses are paid by the Company as provided in the Administration Agreement between the Company and John Hancock Retirement Plan Services LLC (“JHRPS”). Recordkeeping and third-party advisory expenses are paid through an asset charge that is deducted pro rata across all participants on a quarterly basis. A portion of the asset charge is deposited into the Plan Expense Reimbursement Account ("PERA") to pay for third-party advisory fees. At year-end, if there is an excess amount in the PERA, JHRPS is directed by Unitil to reallocate the excess back to participant accounts on a pro rata basis. If, however, the deduction to the PERA account does not cover the third-party advisory fees and other plan expenses the plan is invoiced directly. The fund expense ratios reflected on the 404(a)(5) Participant Fee disclosure are used to cover the fund management fees only; all other plan expenses are covered through the participant asset charge as previously stated. </w:t>
      </w:r>
    </w:p>
    <w:p>
      <w:pPr>
        <w:pStyle w:val="TextBody"/>
        <w:bidi w:val="0"/>
        <w:jc w:val="left"/>
        <w:rPr/>
      </w:pPr>
      <w:r>
        <w:rPr/>
        <w:t> </w:t>
      </w:r>
    </w:p>
    <w:p>
      <w:pPr>
        <w:pStyle w:val="TextBody"/>
        <w:pBdr/>
        <w:bidi w:val="0"/>
        <w:ind w:left="0" w:right="0" w:hanging="720"/>
        <w:jc w:val="left"/>
        <w:rPr>
          <w:rFonts w:ascii="Times New Roman" w:hAnsi="Times New Roman"/>
          <w:color w:val="000000"/>
          <w:sz w:val="20"/>
        </w:rPr>
      </w:pPr>
      <w:r>
        <w:rPr>
          <w:rFonts w:ascii="Times New Roman" w:hAnsi="Times New Roman"/>
          <w:color w:val="000000"/>
          <w:sz w:val="20"/>
        </w:rPr>
        <w:t>NOTE C - RISKS AND UNCERTAINTIES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provides for various investment options in any combination of stocks, fixed income securities, mutual funds and other investment securities. Investment securities are exposed to various risks, such as interest rate, market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 reported in the Statements of Net Assets Available for Benefits.</w:t>
      </w:r>
    </w:p>
    <w:p>
      <w:pPr>
        <w:pStyle w:val="TextBody"/>
        <w:pBdr/>
        <w:bidi w:val="0"/>
        <w:ind w:left="0" w:right="0" w:hanging="540"/>
        <w:jc w:val="left"/>
        <w:rPr/>
      </w:pPr>
      <w:r>
        <w:rPr/>
        <w:t> </w:t>
      </w:r>
    </w:p>
    <w:p>
      <w:pPr>
        <w:pStyle w:val="TextBody"/>
        <w:pBdr/>
        <w:bidi w:val="0"/>
        <w:ind w:left="0" w:right="0" w:hanging="540"/>
        <w:jc w:val="left"/>
        <w:rPr>
          <w:rFonts w:ascii="Times New Roman" w:hAnsi="Times New Roman"/>
          <w:color w:val="000000"/>
          <w:sz w:val="20"/>
        </w:rPr>
      </w:pPr>
      <w:r>
        <w:rPr>
          <w:rFonts w:ascii="Times New Roman" w:hAnsi="Times New Roman"/>
          <w:color w:val="000000"/>
          <w:sz w:val="20"/>
        </w:rPr>
        <w:t>NOTE D - PLAN TERMINATION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it has not expressed any intent to do so, the Company has the right under the Plan to terminate the Plan at any time subject to the provisions of ERISA with respect to its employees by a written resolution with a copy delivered to the Plan’s trustee. In the event of a Plan termination, participants would become fully vested in the balance of their accounts and the Plan assets would be distributed in accordance with the terms of the Plan Document.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pBdr/>
        <w:bidi w:val="0"/>
        <w:ind w:left="0" w:right="0" w:hanging="547"/>
        <w:jc w:val="left"/>
        <w:rPr>
          <w:rFonts w:ascii="Times New Roman" w:hAnsi="Times New Roman"/>
          <w:color w:val="000000"/>
          <w:sz w:val="20"/>
        </w:rPr>
      </w:pPr>
      <w:r>
        <w:rPr>
          <w:rFonts w:ascii="Times New Roman" w:hAnsi="Times New Roman"/>
          <w:color w:val="000000"/>
          <w:sz w:val="20"/>
        </w:rPr>
        <w:t>NOTE E - TAX STATUS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Internal Revenue Service (“IRS”) has determined and informed the Company by a letter dated September 1, 2022, that the Plan, including amendments made through November 8, 2021, and related trust are designed in accordance with applicable sections of the Code. The Plan administrator believes that the Plan is designed, and is currently being operated, in compliance with the applicable requirements of the Code and, therefore, believes that the Plan is qualified, and the related trust is tax-exempt.</w:t>
      </w:r>
    </w:p>
    <w:p>
      <w:pPr>
        <w:pStyle w:val="TextBody"/>
        <w:pBdr/>
        <w:bidi w:val="0"/>
        <w:ind w:left="0" w:right="0" w:hanging="540"/>
        <w:jc w:val="left"/>
        <w:rPr/>
      </w:pPr>
      <w:r>
        <w:rPr/>
        <w:t> </w:t>
      </w:r>
    </w:p>
    <w:p>
      <w:pPr>
        <w:pStyle w:val="TextBody"/>
        <w:pBdr/>
        <w:bidi w:val="0"/>
        <w:ind w:left="0" w:right="0" w:hanging="547"/>
        <w:jc w:val="left"/>
        <w:rPr>
          <w:rFonts w:ascii="Times New Roman" w:hAnsi="Times New Roman"/>
          <w:sz w:val="20"/>
        </w:rPr>
      </w:pPr>
      <w:r>
        <w:rPr>
          <w:rFonts w:ascii="Times New Roman" w:hAnsi="Times New Roman"/>
          <w:color w:val="000000"/>
          <w:sz w:val="20"/>
        </w:rPr>
        <w:t xml:space="preserve">NOTE F - NEW YORK LIFE </w:t>
      </w:r>
      <w:r>
        <w:rPr>
          <w:rFonts w:ascii="Times New Roman" w:hAnsi="Times New Roman"/>
          <w:caps/>
          <w:color w:val="000000"/>
          <w:sz w:val="20"/>
        </w:rPr>
        <w:t>Stable Value Fund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investment in the Stable Value Fund is a contractual account with New York Life Trust Company (“New York Life”). New York Life maintains the Plan’s contributions in a separate account. The account is credited with earnings on the underlying investments and charged for participant withdrawals and administrative expenses. The investment contract issuer, New York Life, is contractually obligated to repay the principal and a specified interest rate that is guaranteed to the Plan. The crediting rate is based on a formula established by the contract issuer but may not be less than zero percent. Such interest rates are reviewed on a quarterly basis for resetting. The contract does not have a maturity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must provide 12 months’ notice to the contract issuer to redeem its interest in this investment at contract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Contract value is the relevant measurement attribute for the portion of net assets available for benefits attributable to the investment contract because the investment contract is fully benefit-responsive. The Statements of Net Assets Available for Benefits presents the New York Life Stable Value Fund at contract value. Participants may ordinarily direct the withdrawal or transfer of all or a portion of their investments at contract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events could limit the ability of the Plan to transact at contract value with the issuer. Such events include the following: (1) total or partial Plan termination; (2) changes to the Plan’s prohibition on competing investment options; (3) mergers; (4) spin-offs; (5) lay-offs; (6) early retirement incentive programs; (7) sales or closings of all or part of a participating plan sponsor’s operations; (8) bankruptcy; (9) receivership; or (10) the failure of the trust to qualify for exemption from federal income taxes or any required prohibited transaction exemption under ERISA. The Plan administrator does not believe that the occurrence of any such event, which would limit the Plan’s ability to transact at contract value with participants, is probable.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NOTE G - FAIR VALUE OF PLAN ASSETS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follows the guidance set forth by the Financial Accounting Standards Board (“FASB”) for reporting fair value of Plan investments. The FASB guidance establishes a three-tier fair value hierarchy, which prioritizes the inputs used in measuring fair value as follows:</w:t>
      </w:r>
    </w:p>
    <w:tbl>
      <w:tblPr>
        <w:tblW w:w="10205" w:type="dxa"/>
        <w:jc w:val="left"/>
        <w:tblInd w:w="0" w:type="dxa"/>
        <w:tblLayout w:type="fixed"/>
        <w:tblCellMar>
          <w:top w:w="28" w:type="dxa"/>
          <w:left w:w="28" w:type="dxa"/>
          <w:bottom w:w="28" w:type="dxa"/>
          <w:right w:w="28" w:type="dxa"/>
        </w:tblCellMar>
      </w:tblPr>
      <w:tblGrid>
        <w:gridCol w:w="719"/>
        <w:gridCol w:w="9486"/>
      </w:tblGrid>
      <w:tr>
        <w:trPr/>
        <w:tc>
          <w:tcPr>
            <w:tcW w:w="719" w:type="dxa"/>
            <w:tcBorders/>
            <w:vAlign w:val="center"/>
          </w:tcPr>
          <w:p>
            <w:pPr>
              <w:pStyle w:val="TableContents"/>
              <w:bidi w:val="0"/>
              <w:spacing w:before="0" w:after="283"/>
              <w:jc w:val="left"/>
              <w:rPr>
                <w:sz w:val="4"/>
                <w:szCs w:val="4"/>
              </w:rPr>
            </w:pPr>
            <w:r>
              <w:rPr>
                <w:sz w:val="4"/>
                <w:szCs w:val="4"/>
              </w:rPr>
            </w:r>
          </w:p>
        </w:tc>
        <w:tc>
          <w:tcPr>
            <w:tcW w:w="9486" w:type="dxa"/>
            <w:tcBorders/>
            <w:vAlign w:val="center"/>
          </w:tcPr>
          <w:p>
            <w:pPr>
              <w:pStyle w:val="TableContents"/>
              <w:bidi w:val="0"/>
              <w:spacing w:before="0" w:after="283"/>
              <w:jc w:val="left"/>
              <w:rPr>
                <w:sz w:val="4"/>
                <w:szCs w:val="4"/>
              </w:rPr>
            </w:pPr>
            <w:r>
              <w:rPr>
                <w:sz w:val="4"/>
                <w:szCs w:val="4"/>
              </w:rPr>
            </w:r>
          </w:p>
        </w:tc>
      </w:tr>
      <w:tr>
        <w:trPr/>
        <w:tc>
          <w:tcPr>
            <w:tcW w:w="719" w:type="dxa"/>
            <w:tcBorders/>
            <w:tcMar>
              <w:top w:w="0" w:type="dxa"/>
              <w:left w:w="0" w:type="dxa"/>
              <w:bottom w:w="0" w:type="dxa"/>
              <w:right w:w="0" w:type="dxa"/>
            </w:tcMar>
            <w:vAlign w:val="center"/>
          </w:tcPr>
          <w:p>
            <w:pPr>
              <w:pStyle w:val="TableContents"/>
              <w:bidi w:val="0"/>
              <w:spacing w:before="0" w:after="283"/>
              <w:jc w:val="left"/>
              <w:rPr/>
            </w:pPr>
            <w:r>
              <w:rPr/>
              <w:t> </w:t>
            </w:r>
          </w:p>
        </w:tc>
        <w:tc>
          <w:tcPr>
            <w:tcW w:w="94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19"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Level 1 -</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(unadjusted) in active markets for identical assets or liabilities that the reporting entity has the ability to access at the measurement date.</w:t>
            </w:r>
          </w:p>
        </w:tc>
      </w:tr>
      <w:tr>
        <w:trPr/>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19"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 xml:space="preserve">Level 2 - </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Valuations based on quoted prices in markets that are not active or for which all significant inputs are observable, either directly or indirectly.</w:t>
            </w:r>
          </w:p>
        </w:tc>
      </w:tr>
      <w:tr>
        <w:trPr/>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19"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Level 3 -</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Prices or valuations that require inputs that are both significant to the fair value measurement and unobservable.</w:t>
            </w:r>
          </w:p>
        </w:tc>
      </w:tr>
    </w:tbl>
    <w:p>
      <w:pPr>
        <w:pStyle w:val="TextBody"/>
        <w:bidi w:val="0"/>
        <w:ind w:left="720" w:right="0" w:hanging="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bidi w:val="0"/>
        <w:ind w:left="720" w:right="0" w:hanging="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Level 1 to Level 2 or from Level 2 to Level 3.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Valuation Techniques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have been no changes in the valuation techniques used during the current period. </w:t>
      </w:r>
    </w:p>
    <w:p>
      <w:pPr>
        <w:pStyle w:val="TextBody"/>
        <w:bidi w:val="0"/>
        <w:ind w:left="0" w:right="0" w:firstLine="72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Registered Investment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securities, consisting of mutual funds, are valued based on quoted prices from the market. These securities are categorized in Level 1 as they are actively traded and no valuation adjustments have been applied.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Unitil Corporation Stock Fund and PIMCO Money Market Fund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fund includes publicly traded common stock of Unitil Corporation valued at quoted prices available on the New York Stock Exchange (categorized as Level 1) as well as cash and cash equivalents held in the PIMCO Money Market Fund. The PIMCO Money Market Fund is categorized as Level 1 as it is actively traded and no valuation adjustments have been applied.</w:t>
      </w:r>
    </w:p>
    <w:p>
      <w:pPr>
        <w:pStyle w:val="TextBody"/>
        <w:bidi w:val="0"/>
        <w:ind w:left="720" w:right="0" w:hanging="0"/>
        <w:jc w:val="both"/>
        <w:rPr/>
      </w:pPr>
      <w:r>
        <w:rPr/>
        <w:t> </w:t>
      </w:r>
    </w:p>
    <w:p>
      <w:pPr>
        <w:pStyle w:val="TextBody"/>
        <w:pBdr/>
        <w:bidi w:val="0"/>
        <w:ind w:left="0" w:right="0" w:hanging="720"/>
        <w:jc w:val="both"/>
        <w:rPr>
          <w:rFonts w:ascii="Times New Roman" w:hAnsi="Times New Roman"/>
          <w:color w:val="000000"/>
          <w:sz w:val="20"/>
        </w:rPr>
      </w:pPr>
      <w:r>
        <w:rPr>
          <w:rFonts w:ascii="Times New Roman" w:hAnsi="Times New Roman"/>
          <w:color w:val="000000"/>
          <w:sz w:val="20"/>
        </w:rPr>
        <w:t xml:space="preserve">Assets measured at fair value on a recurring basis as of December 31, 2025 and 2024 are as follows: </w:t>
      </w:r>
    </w:p>
    <w:p>
      <w:pPr>
        <w:pStyle w:val="TextBody"/>
        <w:bidi w:val="0"/>
        <w:jc w:val="left"/>
        <w:rPr/>
      </w:pPr>
      <w:r>
        <w:rPr/>
        <w:t> </w:t>
      </w:r>
    </w:p>
    <w:tbl>
      <w:tblPr>
        <w:tblW w:w="8840" w:type="dxa"/>
        <w:jc w:val="left"/>
        <w:tblInd w:w="0" w:type="dxa"/>
        <w:tblLayout w:type="fixed"/>
        <w:tblCellMar>
          <w:top w:w="28" w:type="dxa"/>
          <w:left w:w="28" w:type="dxa"/>
          <w:bottom w:w="28" w:type="dxa"/>
          <w:right w:w="28" w:type="dxa"/>
        </w:tblCellMar>
      </w:tblPr>
      <w:tblGrid>
        <w:gridCol w:w="2896"/>
        <w:gridCol w:w="146"/>
        <w:gridCol w:w="211"/>
        <w:gridCol w:w="1141"/>
        <w:gridCol w:w="146"/>
        <w:gridCol w:w="146"/>
        <w:gridCol w:w="211"/>
        <w:gridCol w:w="1141"/>
        <w:gridCol w:w="146"/>
        <w:gridCol w:w="146"/>
        <w:gridCol w:w="352"/>
        <w:gridCol w:w="579"/>
        <w:gridCol w:w="146"/>
        <w:gridCol w:w="146"/>
        <w:gridCol w:w="415"/>
        <w:gridCol w:w="681"/>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u w:val="single"/>
              </w:rPr>
            </w:pPr>
            <w:r>
              <w:rPr>
                <w:rFonts w:ascii="Times New Roman" w:hAnsi="Times New Roman"/>
                <w:b/>
                <w:color w:val="000000"/>
                <w:sz w:val="19"/>
                <w:u w:val="single"/>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Registered Investment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153,994,534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153,994,534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11,552,966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11,552,966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165,547,500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165,547,500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u w:val="single"/>
              </w:rPr>
            </w:pPr>
            <w:r>
              <w:rPr>
                <w:rFonts w:ascii="Times New Roman" w:hAnsi="Times New Roman"/>
                <w:b/>
                <w:color w:val="000000"/>
                <w:sz w:val="19"/>
                <w:u w:val="single"/>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Registered Investment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132,071,752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132,071,752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12,120,800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12,120,800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144,192,552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144,192,552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aps/>
          <w:color w:val="000000"/>
          <w:sz w:val="20"/>
        </w:rPr>
      </w:pPr>
      <w:r>
        <w:rPr>
          <w:rFonts w:ascii="Times New Roman" w:hAnsi="Times New Roman"/>
          <w:caps/>
          <w:color w:val="000000"/>
          <w:sz w:val="20"/>
        </w:rPr>
        <w:t>NOTE H - PARTY-IN-INTEREST TRANSACTIONS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Included in the Plan’s assets are common shares of Unitil Corporation, the Plan’s sponsor, and notes receivable from participants. These transactions qualify as party-in-interest transactions. As of December 31, 2025 and 2024, there were 230,183 and 214,949 common shares, respectively, of Unitil Corporation, a gross value of $11,150,064 and $11,648,086, respectively, included in the Plan’s assets. During the year ended December 31, 2025, the Unitil Corporation common stock included in the Plan’s assets depreciated by $1,208,483. For the year ended December 31, 2025, $203,196 of administrative expenses were paid to John Hancock Trust Company directly from the Plan.</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Unitil Corporation Tax Deferred Savings and Investment Plan</w:t>
      </w:r>
    </w:p>
    <w:p>
      <w:pPr>
        <w:pStyle w:val="TextBody"/>
        <w:bidi w:val="0"/>
        <w:jc w:val="center"/>
        <w:rPr>
          <w:rFonts w:ascii="Times New Roman" w:hAnsi="Times New Roman"/>
          <w:color w:val="000000"/>
          <w:sz w:val="24"/>
        </w:rPr>
      </w:pPr>
      <w:r>
        <w:rPr>
          <w:rFonts w:ascii="Times New Roman" w:hAnsi="Times New Roman"/>
          <w:color w:val="000000"/>
          <w:sz w:val="24"/>
        </w:rPr>
        <w:t>NOTES TO FINANCIAL STATEMENTS</w:t>
      </w:r>
    </w:p>
    <w:p>
      <w:pPr>
        <w:pStyle w:val="TextBody"/>
        <w:bidi w:val="0"/>
        <w:jc w:val="center"/>
        <w:rPr>
          <w:rFonts w:ascii="Times New Roman" w:hAnsi="Times New Roman"/>
          <w:color w:val="000000"/>
          <w:sz w:val="24"/>
        </w:rPr>
      </w:pPr>
      <w:r>
        <w:rPr>
          <w:rFonts w:ascii="Times New Roman" w:hAnsi="Times New Roman"/>
          <w:color w:val="000000"/>
          <w:sz w:val="24"/>
        </w:rPr>
        <w:t>December 31, 2025 and 2024</w:t>
      </w:r>
    </w:p>
    <w:p>
      <w:pPr>
        <w:pStyle w:val="TextBody"/>
        <w:bidi w:val="0"/>
        <w:jc w:val="center"/>
        <w:rPr/>
      </w:pPr>
      <w:r>
        <w:rPr/>
        <w:t> </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I - 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has evaluated all events or transactions through the date of this filing. During this period, there were no material subsequent events which affected the Plan's financial statements.</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4"/>
        </w:rPr>
      </w:pPr>
      <w:bookmarkStart w:id="6" w:name="supplemental"/>
      <w:bookmarkEnd w:id="6"/>
      <w:r>
        <w:rPr>
          <w:rFonts w:ascii="Times New Roman" w:hAnsi="Times New Roman"/>
          <w:color w:val="000000"/>
          <w:sz w:val="24"/>
        </w:rPr>
        <w:t>SUPPLEMENTAL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bookmarkStart w:id="7" w:name="schedule_h"/>
      <w:bookmarkEnd w:id="7"/>
      <w:r>
        <w:rPr>
          <w:rFonts w:ascii="Times New Roman" w:hAnsi="Times New Roman"/>
          <w:color w:val="000000"/>
          <w:sz w:val="20"/>
        </w:rPr>
        <w:t>Unitil Corporation Tax Deferred Savings and Investment Plan</w:t>
      </w:r>
    </w:p>
    <w:p>
      <w:pPr>
        <w:pStyle w:val="TextBody"/>
        <w:bidi w:val="0"/>
        <w:jc w:val="left"/>
        <w:rPr>
          <w:rFonts w:ascii="Times New Roman" w:hAnsi="Times New Roman"/>
          <w:color w:val="000000"/>
          <w:sz w:val="20"/>
        </w:rPr>
      </w:pPr>
      <w:r>
        <w:rPr>
          <w:rFonts w:ascii="Times New Roman" w:hAnsi="Times New Roman"/>
          <w:color w:val="000000"/>
          <w:sz w:val="20"/>
        </w:rPr>
        <w:t>Employer Identification Number 02-0381573</w:t>
      </w:r>
    </w:p>
    <w:p>
      <w:pPr>
        <w:pStyle w:val="TextBody"/>
        <w:bidi w:val="0"/>
        <w:jc w:val="left"/>
        <w:rPr>
          <w:rFonts w:ascii="Times New Roman" w:hAnsi="Times New Roman"/>
          <w:color w:val="000000"/>
          <w:sz w:val="20"/>
        </w:rPr>
      </w:pPr>
      <w:r>
        <w:rPr>
          <w:rFonts w:ascii="Times New Roman" w:hAnsi="Times New Roman"/>
          <w:color w:val="000000"/>
          <w:sz w:val="20"/>
        </w:rPr>
        <w:t>Plan Number 002</w:t>
      </w:r>
    </w:p>
    <w:p>
      <w:pPr>
        <w:pStyle w:val="TextBody"/>
        <w:bidi w:val="0"/>
        <w:jc w:val="left"/>
        <w:rPr/>
      </w:pPr>
      <w:r>
        <w:rPr/>
        <w:t> </w:t>
      </w:r>
    </w:p>
    <w:tbl>
      <w:tblPr>
        <w:tblW w:w="9449" w:type="dxa"/>
        <w:jc w:val="left"/>
        <w:tblInd w:w="0" w:type="dxa"/>
        <w:tblLayout w:type="fixed"/>
        <w:tblCellMar>
          <w:top w:w="28" w:type="dxa"/>
          <w:left w:w="28" w:type="dxa"/>
          <w:bottom w:w="28" w:type="dxa"/>
          <w:right w:w="28" w:type="dxa"/>
        </w:tblCellMar>
      </w:tblPr>
      <w:tblGrid>
        <w:gridCol w:w="4051"/>
        <w:gridCol w:w="146"/>
        <w:gridCol w:w="2881"/>
        <w:gridCol w:w="146"/>
        <w:gridCol w:w="436"/>
        <w:gridCol w:w="146"/>
        <w:gridCol w:w="211"/>
        <w:gridCol w:w="1141"/>
        <w:gridCol w:w="2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1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SCHEDULE H, LINE 4i - SCHEDULE OF ASSETS (HELD AT END OF YEAR)</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Description of Investment Including Maturity Date, Rate of Interest, Collateral, Par or Maturity 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Identity of Insurer, Borrower, Lessor or Similar 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Vanguard Instit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Registered Investment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23,115,772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JP Morgan Large Growth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20,104,237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American Balanced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20,093,099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Invesco Growth &amp; Income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5,229,768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The Investment Co of Amer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4,955,633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Invesco Value Opportunities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3,959,150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Dodge &amp; Cox Income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3,914,346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American EUPAC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3,614,657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PGIM Jennison Small Company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3,016,146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High Yield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2,896,715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Fid Advisor Mid Cap II Fund 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2,478,731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Undiscovered Mgrs Behav Val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2,149,968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MFS Intntl Intrinsic Value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2,077,903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Loomis Sayles Core Plus Bond 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1,905,982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PIMCO Real Return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1,781,723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Vanguard Total Int Idx Adm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1,710,500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American New World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1,489,854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Vanguard Total Bd Mkt Ind Adm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1,246,173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Goldman Intl SC Insights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1,172,814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Cohen &amp; Steers Inst Realty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985,013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Vanguard Mid Cap Index Adm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567,380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Vanguard Sm Cap Index Fd Adm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512,681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PIMCO Income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212,452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Janus Henderson Enterprise (N)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57,817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JP Morgan US Govt MMkt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2020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2,377,950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2025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4,165,647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2030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8,053,191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2035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4,130,552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2040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5,811,710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2045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5,914,450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2050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4,519,806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2055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7,554,615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2060 Fund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1,251,974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Amer Target 2065 Fund R6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925,276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PIMCO Money Market Fund Admin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402,902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 Unitil Corp Common</w:t>
            </w:r>
            <w:r>
              <w:rPr>
                <w:rFonts w:ascii="Times New Roman" w:hAnsi="Times New Roman"/>
                <w:color w:val="000000"/>
                <w:sz w:val="20"/>
              </w:rPr>
              <w:t xml:space="preserve"> </w:t>
            </w:r>
            <w:r>
              <w:rPr>
                <w:rFonts w:ascii="Times New Roman" w:hAnsi="Times New Roman"/>
                <w:color w:val="000000"/>
                <w:sz w:val="19"/>
              </w:rPr>
              <w:t>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11,150,064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165,547,500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Investments at Contract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New York Life Stable Value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Pooled Separate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9,815,758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9"/>
              </w:rPr>
              <w:t>Total Investments on Financial Statements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175,363,258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Notes Receivable from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Participant Loans - 4.25% - 9.50%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2,354,207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177,717,465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Represents a party-in-interest to the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Cost omitted for participant-directed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exhibits"/>
      <w:bookmarkEnd w:id="8"/>
      <w:r>
        <w:rPr>
          <w:rFonts w:ascii="Times New Roman" w:hAnsi="Times New Roman"/>
          <w:b/>
          <w:color w:val="000000"/>
          <w:sz w:val="20"/>
        </w:rPr>
        <w:t>Exhibits</w:t>
      </w:r>
    </w:p>
    <w:p>
      <w:pPr>
        <w:pStyle w:val="TextBody"/>
        <w:bidi w:val="0"/>
        <w:jc w:val="left"/>
        <w:rPr/>
      </w:pPr>
      <w:r>
        <w:rPr/>
        <w:t> </w:t>
      </w:r>
    </w:p>
    <w:tbl>
      <w:tblPr>
        <w:tblW w:w="7713" w:type="dxa"/>
        <w:jc w:val="left"/>
        <w:tblInd w:w="0" w:type="dxa"/>
        <w:tblLayout w:type="fixed"/>
        <w:tblCellMar>
          <w:top w:w="28" w:type="dxa"/>
          <w:left w:w="28" w:type="dxa"/>
          <w:bottom w:w="28" w:type="dxa"/>
          <w:right w:w="28" w:type="dxa"/>
        </w:tblCellMar>
      </w:tblPr>
      <w:tblGrid>
        <w:gridCol w:w="1426"/>
        <w:gridCol w:w="4966"/>
        <w:gridCol w:w="1321"/>
      </w:tblGrid>
      <w:tr>
        <w:trPr/>
        <w:tc>
          <w:tcPr>
            <w:tcW w:w="142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Description of Exhibit</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Reference</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utl-ex23_1.htm">
              <w:r>
                <w:rPr>
                  <w:rStyle w:val="InternetLink"/>
                  <w:rFonts w:ascii="Times New Roman" w:hAnsi="Times New Roman"/>
                  <w:color w:val="0000FF"/>
                  <w:sz w:val="20"/>
                  <w:u w:val="single"/>
                </w:rPr>
                <w:t>Consent of Independent Registered Public Accounting Firm</w:t>
              </w:r>
            </w:hyperlink>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utl-ex23_2.htm">
              <w:r>
                <w:rPr>
                  <w:rStyle w:val="InternetLink"/>
                  <w:rFonts w:ascii="Times New Roman" w:hAnsi="Times New Roman"/>
                  <w:color w:val="0000FF"/>
                  <w:sz w:val="20"/>
                  <w:u w:val="single"/>
                </w:rPr>
                <w:t>Consent of Independent Registered Public Accounting Firm</w:t>
              </w:r>
            </w:hyperlink>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9" w:name="signatures"/>
      <w:bookmarkEnd w:id="9"/>
      <w:r>
        <w:rPr>
          <w:rFonts w:ascii="Times New Roman" w:hAnsi="Times New Roman"/>
          <w:b/>
          <w:color w:val="000000"/>
          <w:sz w:val="20"/>
        </w:rPr>
        <w:t>SIGNATURES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ind w:left="0" w:right="0" w:firstLine="720"/>
        <w:jc w:val="left"/>
        <w:rPr/>
      </w:pPr>
      <w:r>
        <w:rPr/>
        <w:t> </w:t>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161"/>
        <w:gridCol w:w="6796"/>
      </w:tblGrid>
      <w:tr>
        <w:trPr/>
        <w:tc>
          <w:tcPr>
            <w:tcW w:w="16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CORPORATION TAX DEFERRED SAVINGS AND INVESTMENT PLAN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Plan)</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027" w:type="dxa"/>
        <w:jc w:val="left"/>
        <w:tblInd w:w="0" w:type="dxa"/>
        <w:tblLayout w:type="fixed"/>
        <w:tblCellMar>
          <w:top w:w="28" w:type="dxa"/>
          <w:left w:w="28" w:type="dxa"/>
          <w:bottom w:w="28" w:type="dxa"/>
          <w:right w:w="28" w:type="dxa"/>
        </w:tblCellMar>
      </w:tblPr>
      <w:tblGrid>
        <w:gridCol w:w="1741"/>
        <w:gridCol w:w="3286"/>
      </w:tblGrid>
      <w:tr>
        <w:trPr/>
        <w:tc>
          <w:tcPr>
            <w:tcW w:w="174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Date</w:t>
            </w:r>
            <w:r>
              <w:rPr>
                <w:rFonts w:ascii="Times New Roman" w:hAnsi="Times New Roman"/>
                <w:color w:val="0000CC"/>
                <w:sz w:val="20"/>
              </w:rPr>
              <w:t xml:space="preserve">: </w:t>
            </w:r>
            <w:r>
              <w:rPr>
                <w:rFonts w:ascii="Times New Roman" w:hAnsi="Times New Roman"/>
                <w:color w:val="000000"/>
                <w:sz w:val="20"/>
              </w:rPr>
              <w:t>June 26, 2026</w:t>
            </w:r>
          </w:p>
        </w:tc>
        <w:tc>
          <w:tcPr>
            <w:tcW w:w="32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R. Diggins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R. Diggins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 &amp; Controller</w:t>
            </w:r>
          </w:p>
        </w:tc>
      </w:tr>
    </w:tbl>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1"/>
        </w:rPr>
      </w:pPr>
      <w:r>
        <w:rPr>
          <w:rFonts w:ascii="Times New Roman" w:hAnsi="Times New Roman"/>
          <w:color w:val="000000"/>
          <w:sz w:val="21"/>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utl-ex23_1.htm"/>
      <w:bookmarkStart w:id="11" w:name="ksutlex23_1"/>
      <w:bookmarkEnd w:id="10"/>
      <w:bookmarkEnd w:id="11"/>
      <w:r>
        <w:rPr/>
        <w:t> </w:t>
      </w:r>
      <w:r>
        <w:br w:type="page"/>
      </w:r>
    </w:p>
    <w:p>
      <w:pPr>
        <w:pStyle w:val="TextBody"/>
        <w:bidi w:val="0"/>
        <w:jc w:val="right"/>
        <w:rPr>
          <w:rFonts w:ascii="Arial" w:hAnsi="Arial"/>
          <w:b/>
          <w:color w:val="000000"/>
          <w:sz w:val="22"/>
        </w:rPr>
      </w:pPr>
      <w:r>
        <w:rPr>
          <w:rFonts w:ascii="Arial" w:hAnsi="Arial"/>
          <w:b/>
          <w:color w:val="000000"/>
          <w:sz w:val="22"/>
        </w:rPr>
        <w:t>Exhibit 23.1</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1"/>
        </w:rPr>
      </w:pPr>
      <w:r>
        <w:rPr>
          <w:rFonts w:ascii="Times New Roman" w:hAnsi="Times New Roman"/>
          <w:color w:val="000000"/>
          <w:sz w:val="21"/>
        </w:rPr>
        <w:t>We consent to the incorporation by reference in Registration Statement No. 333-73327 of Unitil Corporation on Form S-8 of our report dated June 26, 2026, appearing in this Annual Report on Form 11-K of Unitil Corporation Tax Deferred Savings and Investment Plan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/s/ BDMP Assurance, LLP</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Manchester, New Hampshire</w:t>
      </w:r>
    </w:p>
    <w:p>
      <w:pPr>
        <w:pStyle w:val="TextBody"/>
        <w:bidi w:val="0"/>
        <w:jc w:val="left"/>
        <w:rPr>
          <w:rFonts w:ascii="Times New Roman" w:hAnsi="Times New Roman"/>
          <w:color w:val="000000"/>
          <w:sz w:val="21"/>
        </w:rPr>
      </w:pPr>
      <w:r>
        <w:rPr>
          <w:rFonts w:ascii="Times New Roman" w:hAnsi="Times New Roman"/>
          <w:color w:val="000000"/>
          <w:sz w:val="21"/>
        </w:rPr>
        <w:t>June 26,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12" w:name="utl-ex23_2.htm"/>
      <w:bookmarkStart w:id="13" w:name="ksutlex23_2"/>
      <w:bookmarkEnd w:id="12"/>
      <w:bookmarkEnd w:id="13"/>
      <w:r>
        <w:rPr>
          <w:rFonts w:ascii="Arial" w:hAnsi="Arial"/>
          <w:b/>
          <w:color w:val="000000"/>
          <w:sz w:val="22"/>
        </w:rPr>
        <w:t>Exhibit 23.2</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333-73327 on Form S-8 of Unitil Corporation of our report dated June 25, 2025, appearing on this Annual Report on Form 11-K of the Unitil Corporation Tax Deferred Savings and Investment Plan for the year ended December 31, 2024.</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/s/ Berry, Dunn, McNeil &amp; Parker, LLC</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Manchester, New Hampshire</w:t>
      </w:r>
    </w:p>
    <w:p>
      <w:pPr>
        <w:pStyle w:val="TextBody"/>
        <w:bidi w:val="0"/>
        <w:jc w:val="left"/>
        <w:rPr>
          <w:rFonts w:ascii="Times New Roman" w:hAnsi="Times New Roman"/>
          <w:color w:val="000000"/>
          <w:sz w:val="21"/>
        </w:rPr>
      </w:pPr>
      <w:r>
        <w:rPr>
          <w:rFonts w:ascii="Times New Roman" w:hAnsi="Times New Roman"/>
          <w:color w:val="000000"/>
          <w:sz w:val="21"/>
        </w:rPr>
        <w:t>June 26,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5586</Words>
  <Characters>30290</Characters>
  <CharactersWithSpaces>36507</CharactersWithSpaces>
  <Paragraphs>1495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