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2"/>
        <w:gridCol w:w="3572"/>
        <w:gridCol w:w="3061"/>
      </w:tblGrid>
      <w:tr>
        <w:trPr/>
        <w:tc>
          <w:tcPr>
            <w:tcW w:w="3572"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pPr>
                  <w:hyperlink r:id="rId4">
                    <w:r>
                      <w:rPr>
                        <w:rStyle w:val="InternetLink"/>
                      </w:rPr>
                      <w:t>Awad Neveen F</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 LIBERTY LANE WEST</w:t>
                  </w:r>
                </w:p>
              </w:tc>
            </w:tr>
            <w:tr>
              <w:trPr/>
              <w:tc>
                <w:tcPr>
                  <w:tcW w:w="345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HAMPTON</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NH</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03842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UNITIL CORP</w:t>
              </w:r>
            </w:hyperlink>
            <w:r>
              <w:rPr/>
              <w:t xml:space="preserve"> [ </w:t>
            </w:r>
            <w:r>
              <w:rPr>
                <w:rFonts w:ascii="Times;serif" w:hAnsi="Times;serif"/>
                <w:color w:val="0000FF"/>
                <w:sz w:val="24"/>
                <w:shd w:fill="FFFFFF" w:val="clear"/>
              </w:rPr>
              <w:t>UTL</w:t>
            </w:r>
            <w:r>
              <w:rPr/>
              <w:t xml:space="preserve"> ] </w:t>
              <w:br/>
            </w:r>
            <w:r>
              <w:rPr>
                <w:rFonts w:ascii="arial;helvetica;sans-serif" w:hAnsi="arial;helvetica;sans-serif"/>
                <w:sz w:val="20"/>
              </w:rPr>
              <w:t>Foreign Trading Symbol</w:t>
            </w:r>
          </w:p>
        </w:tc>
        <w:tc>
          <w:tcPr>
            <w:tcW w:w="306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0"/>
              <w:gridCol w:w="441"/>
              <w:gridCol w:w="1030"/>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1"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10/01/2026</w:t>
            </w:r>
          </w:p>
        </w:tc>
        <w:tc>
          <w:tcPr>
            <w:tcW w:w="306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2"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1"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84"/>
        <w:gridCol w:w="902"/>
        <w:gridCol w:w="771"/>
        <w:gridCol w:w="599"/>
        <w:gridCol w:w="352"/>
        <w:gridCol w:w="817"/>
        <w:gridCol w:w="465"/>
        <w:gridCol w:w="626"/>
        <w:gridCol w:w="1251"/>
        <w:gridCol w:w="1010"/>
        <w:gridCol w:w="928"/>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84"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08"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5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1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84"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1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2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5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1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8"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84"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no par value</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5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6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2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5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4,132.63</w:t>
            </w:r>
            <w:r>
              <w:rPr>
                <w:rFonts w:ascii="Times;serif" w:hAnsi="Times;serif"/>
                <w:color w:val="008000"/>
                <w:position w:val="7"/>
                <w:sz w:val="16"/>
                <w:sz w:val="20"/>
                <w:shd w:fill="FFFFFF" w:val="clear"/>
              </w:rPr>
              <w:t>(1)</w:t>
            </w:r>
          </w:p>
        </w:tc>
        <w:tc>
          <w:tcPr>
            <w:tcW w:w="101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969"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606"/>
        <w:gridCol w:w="276"/>
        <w:gridCol w:w="906"/>
        <w:gridCol w:w="801"/>
        <w:gridCol w:w="891"/>
        <w:gridCol w:w="681"/>
        <w:gridCol w:w="801"/>
        <w:gridCol w:w="936"/>
        <w:gridCol w:w="831"/>
        <w:gridCol w:w="846"/>
      </w:tblGrid>
      <w:tr>
        <w:trPr>
          <w:tblHeader w:val="true"/>
        </w:trPr>
        <w:tc>
          <w:tcPr>
            <w:tcW w:w="1196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8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6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8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10/01/2026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2,272</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2,272</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4,707</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Includes 36.324 shares of common stock acquired on November 28, 2025, 36.997 shares of common stock acquired on February 27, 2026, 37.470 shares of common stock acquired on May 29, 2026, and 36.339 shares of common stock acquired on August 31, 2026, in each case resulting from the reinvestment of dividends pursuant to Unitil Corporation's Dividend Reinvestment and Stock Purchase Plan.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Each restricted stock unit is equivalent in value to one share of Unitil Corporation's common stock, no par value ("Common Stock"), and represents the right to receive a combination of cash and Common Stock after separation from service on Unitil Corporation's Board of Directors. Each restricted stock unit is fully vested upon grant and is payable 70% in Common Stock and 30% in cash, based upon the closing price of Common Stock on the day prior to settlement.</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Thomas P. Meissner, Jr., attorney-in-fact for Neveen F. Awad</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10/02/2026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952995" TargetMode="External"/><Relationship Id="rId5" Type="http://schemas.openxmlformats.org/officeDocument/2006/relationships/hyperlink" Target="http://www.sec.gov/cgi-bin/browse-edgar?action=getcompany&amp;CIK=0000755001"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719</Words>
  <Characters>3836</Characters>
  <CharactersWithSpaces>4481</CharactersWithSpaces>
  <Paragraphs>102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