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UNITIL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New Hampshire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1-8858</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02-0381573</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6 Liberty Lane West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Hampton, New Hampshire</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03842-1720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(603) 772-0775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UTL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On April 30, 2026, Fitchburg Gas and Electric Light Company (“Fitchburg”), an electric and natural gas distribution utility subsidiary of Unitil Corporation (the “Company” or the “Registrant”), entered into a Note Purchase Agreement with State Farm Life Insurance Company, State Farm Life and Accident Assurance Company and CoBank, ACB (the “Note Purchase Agreement”) pursuant to which it issued and sold (i) $23,000,000 of 5.62% Senior Unsecured Notes, Series 2026A, due April 30, 2036 and (ii) $17,000,000 of 5.87% Senior Unsecured Notes, Series 2026B, due April 30, 2041 (collectively, the “Notes”).</w:t>
      </w:r>
    </w:p>
    <w:p>
      <w:pPr>
        <w:spacing w:after="0" w:line="18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Note Purchase Agreement and the Notes collectively contain customary representations and warranties, covenants and events of default for a transaction of this type. The Notes may or will become immediately due and payable upon an event of default, as described in the Note Purchase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Note Purchase Agreement and the Notes does not purport to be complete and is subject to, and qualified in its entirety by, the full text of such documents, the executed copies or forms of which are attached hereto as exhibits to this Current Report on Form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purchasers of the Notes (or their affiliates) are holders of other indebtedness of the Company or its subsidiaries.</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Fitchburg plans to use the net proceeds from this long-term financing to refinance existing debt of the Company (on a consolidated basis) and/or for general corporate purposes.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Fitchburg offered the Notes principally to institutional investors in an offering made pursuant to the exemption from registration requirements under Section 4(a)(2) of the Securities Act of 1933, as amended (“Act”).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Act, or any state securities laws, and may not be offered or sold in the United States absent registration or an applicable exemption from the registration requirements of the Act and applicable state securities laws.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this notice to comply with Rule 135c of the Act and, accordingly, this notice does not constitute an offer to sell or the solicitation of an offer to buy any security and shall not constitute an offer, solicitation or sale of any securities in any jurisdiction in which such offer, solicitation or sale would be unlawful.</w:t>
      </w:r>
    </w:p>
    <w:p>
      <w:pPr>
        <w:spacing w:after="0" w:line="1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Note Purchase Agreement and the Notes have been attached as exhibits to this Current Report on Form 8-K to provide investors with information regarding their terms. The representations, warranties and covenants contained in such documents were made only for purposes of such documents and as of specific dates, were solely for the benefit of the parties to such documents, and are subject to limitations agreed upon by the parties to such documents. Moreover, the representations and warranties contained in such documents were made for the purpose of allocating contractual risk between the parties to such documents instead of establishing matters as facts, and may be subject to standards of materiality applicable to the parties to such documents that differ from those applicable to investors generally. Investors (other than the parties to such documents) are not third-party beneficiaries under such documents and should not rely on the representations, warranties and covenants contained therein or any descriptions thereof as characterizations of the actual state of facts or condition of the Company or any of its subsidiaries or affiliates.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Item 1.01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7680" w:type="dxa"/>
            <w:vAlign w:val="bottom"/>
            <w:gridSpan w:val="6"/>
          </w:tcPr>
          <w:p>
            <w:pPr>
              <w:ind w:left="2600"/>
              <w:spacing w:after="0"/>
              <w:rPr>
                <w:sz w:val="20"/>
                <w:szCs w:val="20"/>
                <w:color w:val="auto"/>
              </w:rPr>
            </w:pPr>
            <w:r>
              <w:rPr>
                <w:rFonts w:ascii="Times New Roman" w:cs="Times New Roman" w:eastAsia="Times New Roman" w:hAnsi="Times New Roman"/>
                <w:sz w:val="18"/>
                <w:szCs w:val="18"/>
                <w:color w:val="auto"/>
              </w:rPr>
              <w:t>Description of Exhibit</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Reference (1)</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4.1</w:t>
            </w:r>
          </w:p>
        </w:tc>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4"/>
                <w:szCs w:val="24"/>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 Purchase Agreement dated April 30, 2026 by and among Fitchburg Gas and Electric</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Light Company and the several purchasers named therein.</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62%</w:t>
            </w:r>
            <w:r>
              <w:rPr>
                <w:rFonts w:ascii="Times New Roman" w:cs="Times New Roman" w:eastAsia="Times New Roman" w:hAnsi="Times New Roman"/>
                <w:sz w:val="18"/>
                <w:szCs w:val="18"/>
                <w:color w:val="0000FF"/>
              </w:rPr>
              <w:t xml:space="preserve"> Senior Note, Series 2026A, due April 30, 2036, issued by Fitchburg Gas and Electric</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68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Light Company to State Farm Life Insurance Company</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680" w:type="dxa"/>
            <w:vAlign w:val="bottom"/>
            <w:tcBorders>
              <w:left w:val="single" w:sz="8" w:color="0000EE"/>
            </w:tcBorders>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4.3</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87%</w:t>
            </w:r>
            <w:r>
              <w:rPr>
                <w:rFonts w:ascii="Times New Roman" w:cs="Times New Roman" w:eastAsia="Times New Roman" w:hAnsi="Times New Roman"/>
                <w:sz w:val="18"/>
                <w:szCs w:val="18"/>
                <w:color w:val="0000FF"/>
              </w:rPr>
              <w:t xml:space="preserve"> Senior Note, Series 2026B, due April 30, 2041, issued by Fitchburg Gas and Electric</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40" w:type="dxa"/>
            <w:vAlign w:val="bottom"/>
            <w:gridSpan w:val="5"/>
            <w:shd w:val="clear" w:color="auto" w:fill="0000FF"/>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Light Company to State Farm Life Insurance Company</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20" w:type="dxa"/>
            <w:vAlign w:val="bottom"/>
            <w:gridSpan w:val="3"/>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53"/>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r>
    </w:tbl>
    <w:p>
      <w:pPr>
        <w:spacing w:after="0" w:line="202" w:lineRule="exact"/>
        <w:rPr>
          <w:sz w:val="20"/>
          <w:szCs w:val="20"/>
          <w:color w:val="auto"/>
        </w:rPr>
      </w:pPr>
    </w:p>
    <w:p>
      <w:pPr>
        <w:ind w:left="440" w:right="1080" w:hanging="432"/>
        <w:spacing w:after="0" w:line="298" w:lineRule="auto"/>
        <w:tabs>
          <w:tab w:leader="none" w:pos="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exhibits referred to in this column by specific designations and dates have heretofore been filed with or furnished to the Securities and Exchange Commission under such designations and are hereby incorporated by reference.</w:t>
      </w:r>
    </w:p>
    <w:p>
      <w:pPr>
        <w:spacing w:after="0" w:line="56" w:lineRule="exact"/>
        <w:rPr>
          <w:rFonts w:ascii="Times New Roman" w:cs="Times New Roman" w:eastAsia="Times New Roman" w:hAnsi="Times New Roman"/>
          <w:sz w:val="16"/>
          <w:szCs w:val="16"/>
          <w:color w:val="auto"/>
        </w:rPr>
      </w:pPr>
    </w:p>
    <w:p>
      <w:pPr>
        <w:ind w:left="460" w:hanging="452"/>
        <w:spacing w:after="0" w:line="281" w:lineRule="auto"/>
        <w:tabs>
          <w:tab w:leader="none" w:pos="4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spacing w:after="0" w:line="69"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excluded from this exhibit pursuant to Item 601(b)(2)(ii) of Regulation S-K.</w:t>
      </w:r>
    </w:p>
    <w:p>
      <w:pPr>
        <w:spacing w:after="0" w:line="126"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is substantially identical in all material respects to other notes that are otherwise required to be filed as exhibits, except as to the</w:t>
      </w:r>
    </w:p>
    <w:p>
      <w:pPr>
        <w:spacing w:after="0" w:line="26" w:lineRule="exact"/>
        <w:rPr>
          <w:rFonts w:ascii="Times New Roman" w:cs="Times New Roman" w:eastAsia="Times New Roman" w:hAnsi="Times New Roman"/>
          <w:sz w:val="16"/>
          <w:szCs w:val="16"/>
          <w:color w:val="auto"/>
        </w:rPr>
      </w:pPr>
    </w:p>
    <w:p>
      <w:pPr>
        <w:ind w:left="460" w:right="8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registered payee of such note, the identifying number of such note, and the principal amount of such note. In accordance with instruction no. 2 to Item 601 of Regulation S-K, the Registrant has filed a copy of only one of such notes, with a schedule identifying the other notes omitted and setting forth the material details in which such notes differ from the note that was filed. The Registrant acknowledges that the Securities and Exchange Commission may at any time in its discretion require filing of copies of any notes so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UNITIL CORPORATION</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w:t>
        <w:tab/>
        <w:t>/s/ Daniel J. Hurstak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Daniel J. Hurstak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4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NOTE 1: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spacing w:after="0" w:line="207" w:lineRule="exact"/>
        <w:rPr>
          <w:sz w:val="20"/>
          <w:szCs w:val="20"/>
          <w:color w:val="auto"/>
        </w:rPr>
      </w:pPr>
    </w:p>
    <w:p>
      <w:pPr>
        <w:jc w:val="both"/>
        <w:ind w:right="540"/>
        <w:spacing w:after="0" w:line="244" w:lineRule="auto"/>
        <w:rPr>
          <w:sz w:val="20"/>
          <w:szCs w:val="20"/>
          <w:color w:val="auto"/>
        </w:rPr>
      </w:pPr>
      <w:r>
        <w:rPr>
          <w:rFonts w:ascii="Times New Roman" w:cs="Times New Roman" w:eastAsia="Times New Roman" w:hAnsi="Times New Roman"/>
          <w:sz w:val="22"/>
          <w:szCs w:val="22"/>
          <w:color w:val="auto"/>
        </w:rPr>
        <w:t>NOTE 2: In accordance with Item 601(b)(2)(ii) of Regulation S-K, certain information has been excluded from this exhibit because it is both not material and is of the type that the registrant treats as private or confidential. Whenever information is excluded from this exhibit, such exclusions are denoted by “[information omitted]”.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itchburg</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as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$23,000,000 5.62% Senior Notes, Series 2026A, due April 30, 2036</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$17,000,000 5.87% Senior Notes, Series 2026B, due April 30, 2041</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1978660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799465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660" w:type="dxa"/>
            <w:vAlign w:val="bottom"/>
          </w:tcPr>
          <w:p>
            <w:pPr>
              <w:spacing w:after="0"/>
              <w:rPr>
                <w:sz w:val="24"/>
                <w:szCs w:val="24"/>
                <w:color w:val="auto"/>
              </w:rPr>
            </w:pPr>
          </w:p>
        </w:tc>
        <w:tc>
          <w:tcPr>
            <w:tcW w:w="8920" w:type="dxa"/>
            <w:vAlign w:val="bottom"/>
          </w:tcPr>
          <w:p>
            <w:pPr>
              <w:ind w:left="310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660" w:type="dxa"/>
            <w:vAlign w:val="bottom"/>
          </w:tcPr>
          <w:p>
            <w:pPr>
              <w:spacing w:after="0"/>
              <w:rPr>
                <w:sz w:val="24"/>
                <w:szCs w:val="24"/>
                <w:color w:val="auto"/>
              </w:rPr>
            </w:pPr>
          </w:p>
        </w:tc>
      </w:tr>
      <w:tr>
        <w:trPr>
          <w:trHeight w:val="499"/>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eading</w:t>
            </w:r>
          </w:p>
        </w:tc>
        <w:tc>
          <w:tcPr>
            <w:tcW w:w="8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c>
          <w:tcPr>
            <w:tcW w:w="660" w:type="dxa"/>
            <w:vAlign w:val="bottom"/>
          </w:tcPr>
          <w:p>
            <w:pPr>
              <w:spacing w:after="0"/>
              <w:rPr>
                <w:sz w:val="24"/>
                <w:szCs w:val="24"/>
                <w:color w:val="auto"/>
              </w:rPr>
            </w:pPr>
          </w:p>
        </w:tc>
      </w:tr>
      <w:tr>
        <w:trPr>
          <w:trHeight w:val="486"/>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uthorization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60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ale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60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3.</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losing</w:t>
            </w: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60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4.</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losing</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25"/>
        </w:trPr>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Performance; No Default</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Compliance Certificates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4.4.</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Opinions of Counsel</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Purchase Permitted By Applicable Law, Etc</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4.6.</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Sale of Other Notes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4.7.</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Payment of Special Counsel Fees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4.8.</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Private Placement Number</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4.9.</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Changes in Corporate Structure</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4.10.</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Funding Instructions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4.11.</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Proceedings and Documents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82"/>
        </w:trPr>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4.12.</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Regulatory Approvals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486"/>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5.</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25"/>
        </w:trPr>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Organization; Power and Authority</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Authorization, Etc</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Organization and Ownership of Shares of the Company and Subsidiaries; Affiliates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Financial Statements; Material Liabilities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Compliance with Laws, Other Instruments, Etc</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Governmental Authorizations, Etc</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Litigation; Observance of Agreements, Statutes and Orders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Title to Property; Leases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Licenses, Permits, Etc</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Compliance with ERISA</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5.13.</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Private Offering by the Company</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5.14.</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Use of Proceeds; Margin Regulations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5.15.</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Existing Indebtedness; Future Liens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5.16.</w:t>
            </w:r>
          </w:p>
        </w:tc>
        <w:tc>
          <w:tcPr>
            <w:tcW w:w="892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Foreign Assets Control Regulations, Etc</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2"/>
        </w:trPr>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5.17.</w:t>
            </w:r>
          </w:p>
        </w:tc>
        <w:tc>
          <w:tcPr>
            <w:tcW w:w="89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Status under Certain Statutes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pacing w:after="0" w:line="3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5.18.</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Environmental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5.19.</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Notes Rank Pari Passu</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5.20.</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Solvency and Consideration.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99"/>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6.</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6.1.</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Purchase for Investment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Source of Funds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6.3.</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Binding Effect</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6.4.</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Access to Information; Knowledge and Experience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99"/>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7.</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nformation as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Financial and Business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7.2.</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Officer’s Certificate</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7.3.</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Visitation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50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8.</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repayment of the</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Maturity</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8.2.</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Optional Prepayments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Allocation of Partial Prepayments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8.4.</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Maturity; Surrender, Etc</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8.5.</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Purchase of Notes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16"/>
        </w:trPr>
        <w:tc>
          <w:tcPr>
            <w:tcW w:w="212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8.6.</w:t>
            </w:r>
          </w:p>
        </w:tc>
        <w:tc>
          <w:tcPr>
            <w:tcW w:w="7160" w:type="dxa"/>
            <w:vAlign w:val="bottom"/>
          </w:tcPr>
          <w:p>
            <w:pPr>
              <w:ind w:left="820"/>
              <w:spacing w:after="0" w:line="217" w:lineRule="exact"/>
              <w:rPr>
                <w:sz w:val="20"/>
                <w:szCs w:val="20"/>
                <w:color w:val="auto"/>
              </w:rPr>
            </w:pPr>
            <w:r>
              <w:rPr>
                <w:rFonts w:ascii="Times New Roman" w:cs="Times New Roman" w:eastAsia="Times New Roman" w:hAnsi="Times New Roman"/>
                <w:sz w:val="22"/>
                <w:szCs w:val="22"/>
                <w:color w:val="auto"/>
              </w:rPr>
              <w:t>Make-Whole Amount</w:t>
            </w:r>
          </w:p>
        </w:tc>
        <w:tc>
          <w:tcPr>
            <w:tcW w:w="19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20</w:t>
            </w:r>
          </w:p>
        </w:tc>
      </w:tr>
      <w:tr>
        <w:trPr>
          <w:trHeight w:val="36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8.7.</w:t>
            </w:r>
          </w:p>
        </w:tc>
        <w:tc>
          <w:tcPr>
            <w:tcW w:w="7160" w:type="dxa"/>
            <w:vAlign w:val="bottom"/>
          </w:tcPr>
          <w:p>
            <w:pPr>
              <w:ind w:left="820"/>
              <w:spacing w:after="0" w:line="253" w:lineRule="exact"/>
              <w:rPr>
                <w:sz w:val="20"/>
                <w:szCs w:val="20"/>
                <w:color w:val="auto"/>
              </w:rPr>
            </w:pPr>
            <w:r>
              <w:rPr>
                <w:rFonts w:ascii="Times New Roman" w:cs="Times New Roman" w:eastAsia="Times New Roman" w:hAnsi="Times New Roman"/>
                <w:sz w:val="22"/>
                <w:szCs w:val="22"/>
                <w:color w:val="auto"/>
              </w:rPr>
              <w:t>Payments Due on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Business Days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6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9.</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Compliance with Law</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9.2.</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9.3.</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Maintenance of Properties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9.4.</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Payment of Taxes and Claims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9.5.</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Corporate Existence, Etc.; Ownership of Subsidiaries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9.6.</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9.7.</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Notes to Rank Pari Passu</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9.8.</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Guarantors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50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10.</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10.1.</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Limitation on Funded Indebtedness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Limitation on Liens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Merger or Consolidation; Sale or Transfer of Assets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10.5.</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Restrictions on Dividends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10.6.</w:t>
            </w:r>
          </w:p>
        </w:tc>
        <w:tc>
          <w:tcPr>
            <w:tcW w:w="71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Line of Business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10.7.</w:t>
            </w:r>
          </w:p>
        </w:tc>
        <w:tc>
          <w:tcPr>
            <w:tcW w:w="71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Economics Sanctions Regulations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pacing w:after="0" w:line="3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 w:name="page8"/>
    <w:bookmarkEnd w:id="7"/>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60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12.</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emedies 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Acceleration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12.2.</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Other Remedies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12.3.</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Rescission</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12.4.</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No Waivers or Election of Remedies, Expenses,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99"/>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13.</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egistration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xchange</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Registration of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13.2.</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Transfer and Exchange of Notes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13.3.</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Replacement of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99"/>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14.</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ayments on</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14.1.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Place of Payment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14.2.</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Home Office Payment</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14.3.</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FATCA Information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50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15.</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xpenses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15.1.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Transaction Expenses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15.2.</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Certain Taxes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15.3.</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Tax Withholding</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15.4.</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Survival</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50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16.</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urvival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ntire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60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17.</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mendment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aiver</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17.1.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Requirements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17.2.</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Solicitation of Holders of Notes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17.3.</w:t>
            </w:r>
          </w:p>
        </w:tc>
        <w:tc>
          <w:tcPr>
            <w:tcW w:w="77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Binding Effect, etc</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17.4.</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Notes Held by Company, Etc</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99"/>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18.</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otices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60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19.</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eproduction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ocuments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60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20.</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nformation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60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21.</w:t>
            </w:r>
          </w:p>
        </w:tc>
        <w:tc>
          <w:tcPr>
            <w:tcW w:w="77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756"/>
        </w:trPr>
        <w:tc>
          <w:tcPr>
            <w:tcW w:w="21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-iii-</w:t>
            </w:r>
          </w:p>
        </w:tc>
        <w:tc>
          <w:tcPr>
            <w:tcW w:w="77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51"/>
        </w:trPr>
        <w:tc>
          <w:tcPr>
            <w:tcW w:w="212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22.</w:t>
            </w:r>
          </w:p>
        </w:tc>
        <w:tc>
          <w:tcPr>
            <w:tcW w:w="694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1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22.1.</w:t>
            </w:r>
          </w:p>
        </w:tc>
        <w:tc>
          <w:tcPr>
            <w:tcW w:w="694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Successors and Assigns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22.2.</w:t>
            </w:r>
          </w:p>
        </w:tc>
        <w:tc>
          <w:tcPr>
            <w:tcW w:w="694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Accounting Terms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22.3.</w:t>
            </w:r>
          </w:p>
        </w:tc>
        <w:tc>
          <w:tcPr>
            <w:tcW w:w="694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22.4.</w:t>
            </w:r>
          </w:p>
        </w:tc>
        <w:tc>
          <w:tcPr>
            <w:tcW w:w="694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Construction, Etc</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22.5.</w:t>
            </w:r>
          </w:p>
        </w:tc>
        <w:tc>
          <w:tcPr>
            <w:tcW w:w="694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2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22.6.</w:t>
            </w:r>
          </w:p>
        </w:tc>
        <w:tc>
          <w:tcPr>
            <w:tcW w:w="694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overning</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aw</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82"/>
        </w:trPr>
        <w:tc>
          <w:tcPr>
            <w:tcW w:w="21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22.7.</w:t>
            </w:r>
          </w:p>
        </w:tc>
        <w:tc>
          <w:tcPr>
            <w:tcW w:w="694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14"/>
                <w:szCs w:val="14"/>
                <w:color w:val="auto"/>
              </w:rPr>
              <w:t>urisdiction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rocess</w:t>
            </w:r>
            <w:r>
              <w:rPr>
                <w:rFonts w:ascii="Times New Roman" w:cs="Times New Roman" w:eastAsia="Times New Roman" w:hAnsi="Times New Roman"/>
                <w:sz w:val="22"/>
                <w:szCs w:val="22"/>
                <w:color w:val="auto"/>
              </w:rPr>
              <w:t>; W</w:t>
            </w:r>
            <w:r>
              <w:rPr>
                <w:rFonts w:ascii="Times New Roman" w:cs="Times New Roman" w:eastAsia="Times New Roman" w:hAnsi="Times New Roman"/>
                <w:sz w:val="14"/>
                <w:szCs w:val="14"/>
                <w:color w:val="auto"/>
              </w:rPr>
              <w:t>aiver of</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ury</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40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Information Relating to Purchasers</w:t>
            </w:r>
          </w:p>
        </w:tc>
      </w:tr>
      <w:tr>
        <w:trPr>
          <w:trHeight w:val="486"/>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B</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Defined Terms</w:t>
            </w:r>
          </w:p>
        </w:tc>
      </w:tr>
      <w:tr>
        <w:trPr>
          <w:trHeight w:val="50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5.3</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Disclosure Documents</w:t>
            </w:r>
          </w:p>
        </w:tc>
      </w:tr>
      <w:tr>
        <w:trPr>
          <w:trHeight w:val="499"/>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5.4</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Organization and Ownership of Shares and Subsidiaries</w:t>
            </w:r>
          </w:p>
        </w:tc>
      </w:tr>
      <w:tr>
        <w:trPr>
          <w:trHeight w:val="486"/>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5.5</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4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5.15 —</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4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10.1 —</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Existing Funded Indebtedness</w:t>
            </w:r>
          </w:p>
        </w:tc>
      </w:tr>
      <w:tr>
        <w:trPr>
          <w:trHeight w:val="4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10.2 —</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499"/>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5.62% Senior Note, Series 2026A, due April 30, 2036</w:t>
            </w:r>
          </w:p>
        </w:tc>
      </w:tr>
      <w:tr>
        <w:trPr>
          <w:trHeight w:val="499"/>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1(b)</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5.87% Senior Note, Series 2026B, due April 30, 2041</w:t>
            </w:r>
          </w:p>
        </w:tc>
      </w:tr>
      <w:tr>
        <w:trPr>
          <w:trHeight w:val="4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4.4(a) —</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Opinion of Special Counsel for the Company</w:t>
            </w:r>
          </w:p>
        </w:tc>
      </w:tr>
      <w:tr>
        <w:trPr>
          <w:trHeight w:val="500"/>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4.4(b) —</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Form of Opinion of Patrick Taylor, Chief Regulatory Counsel for Unitil Service Corp.</w:t>
            </w:r>
          </w:p>
        </w:tc>
      </w:tr>
      <w:tr>
        <w:trPr>
          <w:trHeight w:val="500"/>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4.4(c) —</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Opinion of Special Counsel for the Purchasers</w:t>
            </w:r>
          </w:p>
        </w:tc>
      </w:tr>
      <w:tr>
        <w:trPr>
          <w:trHeight w:val="486"/>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15.3</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7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itchburg</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as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lectric</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 Liberty Lane West</w:t>
      </w:r>
    </w:p>
    <w:p>
      <w:pPr>
        <w:jc w:val="center"/>
        <w:spacing w:after="0"/>
        <w:rPr>
          <w:sz w:val="20"/>
          <w:szCs w:val="20"/>
          <w:color w:val="auto"/>
        </w:rPr>
      </w:pPr>
      <w:r>
        <w:rPr>
          <w:rFonts w:ascii="Times New Roman" w:cs="Times New Roman" w:eastAsia="Times New Roman" w:hAnsi="Times New Roman"/>
          <w:sz w:val="22"/>
          <w:szCs w:val="22"/>
          <w:color w:val="auto"/>
        </w:rPr>
        <w:t>Hampton, New Hampshire 03842-1720</w:t>
      </w:r>
    </w:p>
    <w:p>
      <w:pPr>
        <w:spacing w:after="0" w:line="200" w:lineRule="exact"/>
        <w:rPr>
          <w:sz w:val="20"/>
          <w:szCs w:val="20"/>
          <w:color w:val="auto"/>
        </w:rPr>
      </w:pPr>
    </w:p>
    <w:p>
      <w:pPr>
        <w:spacing w:after="0" w:line="252" w:lineRule="exact"/>
        <w:rPr>
          <w:sz w:val="20"/>
          <w:szCs w:val="20"/>
          <w:color w:val="auto"/>
        </w:rPr>
      </w:pPr>
    </w:p>
    <w:p>
      <w:pPr>
        <w:ind w:left="2680" w:right="2680" w:hanging="5"/>
        <w:spacing w:after="0" w:line="282" w:lineRule="auto"/>
        <w:rPr>
          <w:sz w:val="20"/>
          <w:szCs w:val="20"/>
          <w:color w:val="auto"/>
        </w:rPr>
      </w:pPr>
      <w:r>
        <w:rPr>
          <w:rFonts w:ascii="Times New Roman" w:cs="Times New Roman" w:eastAsia="Times New Roman" w:hAnsi="Times New Roman"/>
          <w:sz w:val="21"/>
          <w:szCs w:val="21"/>
          <w:color w:val="auto"/>
        </w:rPr>
        <w:t>$23,000,000 5.62% Senior Notes, Series 2026A, due April 30, 2036 $17,000,000 5.87% Senior Notes, Series 2026B, due April 30, 2041</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Dated as of April 30, 2026</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ach of 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urchasers</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isted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A H</w:t>
      </w:r>
      <w:r>
        <w:rPr>
          <w:rFonts w:ascii="Times New Roman" w:cs="Times New Roman" w:eastAsia="Times New Roman" w:hAnsi="Times New Roman"/>
          <w:sz w:val="14"/>
          <w:szCs w:val="14"/>
          <w:color w:val="auto"/>
        </w:rPr>
        <w:t>ereto</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Fitchburg Gas and Electric Light Company, a Massachusetts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xml:space="preserve">), agrees with each of the purchasers whose names appear at the end hereof (each, a </w:t>
      </w:r>
      <w:r>
        <w:rPr>
          <w:rFonts w:ascii="Times New Roman" w:cs="Times New Roman" w:eastAsia="Times New Roman" w:hAnsi="Times New Roman"/>
          <w:sz w:val="22"/>
          <w:szCs w:val="22"/>
          <w:i w:val="1"/>
          <w:iCs w:val="1"/>
          <w:color w:val="auto"/>
        </w:rPr>
        <w:t>“Purchaser”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“Purchasers”</w:t>
      </w:r>
      <w:r>
        <w:rPr>
          <w:rFonts w:ascii="Times New Roman" w:cs="Times New Roman" w:eastAsia="Times New Roman" w:hAnsi="Times New Roman"/>
          <w:sz w:val="22"/>
          <w:szCs w:val="22"/>
          <w:color w:val="auto"/>
        </w:rPr>
        <w:t>) as follows:</w:t>
      </w:r>
    </w:p>
    <w:p>
      <w:pPr>
        <w:spacing w:after="0" w:line="221" w:lineRule="exact"/>
        <w:rPr>
          <w:sz w:val="20"/>
          <w:szCs w:val="20"/>
          <w:color w:val="auto"/>
        </w:rPr>
      </w:pPr>
    </w:p>
    <w:p>
      <w:pPr>
        <w:spacing w:after="0"/>
        <w:tabs>
          <w:tab w:leader="none" w:pos="1280" w:val="left"/>
          <w:tab w:leader="none" w:pos="51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w:t>
      </w:r>
      <w:r>
        <w:rPr>
          <w:sz w:val="20"/>
          <w:szCs w:val="20"/>
          <w:color w:val="auto"/>
        </w:rPr>
        <w:tab/>
      </w: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uthorization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w:t>
      </w:r>
      <w:r>
        <w:rPr>
          <w:sz w:val="20"/>
          <w:szCs w:val="20"/>
          <w:color w:val="auto"/>
        </w:rPr>
        <w:tab/>
      </w: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uthorization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The Company will authorize the issue and sale of (i) $23,000,000 aggregate principal amount of its 5.62% Senior Notes, Series 2026A, due April 30, 2036 (the </w:t>
      </w:r>
      <w:r>
        <w:rPr>
          <w:rFonts w:ascii="Times New Roman" w:cs="Times New Roman" w:eastAsia="Times New Roman" w:hAnsi="Times New Roman"/>
          <w:sz w:val="22"/>
          <w:szCs w:val="22"/>
          <w:i w:val="1"/>
          <w:iCs w:val="1"/>
          <w:color w:val="auto"/>
        </w:rPr>
        <w:t>“Series A Notes”</w:t>
      </w:r>
      <w:r>
        <w:rPr>
          <w:rFonts w:ascii="Times New Roman" w:cs="Times New Roman" w:eastAsia="Times New Roman" w:hAnsi="Times New Roman"/>
          <w:sz w:val="22"/>
          <w:szCs w:val="22"/>
          <w:color w:val="auto"/>
        </w:rPr>
        <w:t xml:space="preserve">), and (ii) $17,000,000 aggregate principal amount of its 5.87% Senior Notes, Series 2026B, due April 30, 2041 (the </w:t>
      </w:r>
      <w:r>
        <w:rPr>
          <w:rFonts w:ascii="Times New Roman" w:cs="Times New Roman" w:eastAsia="Times New Roman" w:hAnsi="Times New Roman"/>
          <w:sz w:val="22"/>
          <w:szCs w:val="22"/>
          <w:i w:val="1"/>
          <w:iCs w:val="1"/>
          <w:color w:val="auto"/>
        </w:rPr>
        <w:t>“Series B Notes”</w:t>
      </w:r>
      <w:r>
        <w:rPr>
          <w:rFonts w:ascii="Times New Roman" w:cs="Times New Roman" w:eastAsia="Times New Roman" w:hAnsi="Times New Roman"/>
          <w:sz w:val="22"/>
          <w:szCs w:val="22"/>
          <w:color w:val="auto"/>
        </w:rPr>
        <w:t xml:space="preserve">) (each of the Series A Notes and Series B Notes, as amended, restated or otherwise modified from time to time pursuant to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are collectively referred to as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xml:space="preserve">), such term to include any such notes issued in substitution therefor pursuant to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The Series A Notes and the Series B Notes shall be substantially in the form set out in </w:t>
      </w:r>
      <w:r>
        <w:rPr>
          <w:rFonts w:ascii="Times New Roman" w:cs="Times New Roman" w:eastAsia="Times New Roman" w:hAnsi="Times New Roman"/>
          <w:sz w:val="22"/>
          <w:szCs w:val="22"/>
          <w:b w:val="1"/>
          <w:bCs w:val="1"/>
          <w:color w:val="auto"/>
        </w:rPr>
        <w:t>Exhibit 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Exhibit 1(b)</w:t>
      </w:r>
      <w:r>
        <w:rPr>
          <w:rFonts w:ascii="Times New Roman" w:cs="Times New Roman" w:eastAsia="Times New Roman" w:hAnsi="Times New Roman"/>
          <w:sz w:val="22"/>
          <w:szCs w:val="22"/>
          <w:color w:val="auto"/>
        </w:rPr>
        <w:t xml:space="preserve">, respectively, with such changes therefrom, if any, as may be approved by each Purchaser and the Company. Certain capitalized and other terms used in this Agreement are defined in </w:t>
      </w:r>
      <w:r>
        <w:rPr>
          <w:rFonts w:ascii="Times New Roman" w:cs="Times New Roman" w:eastAsia="Times New Roman" w:hAnsi="Times New Roman"/>
          <w:sz w:val="22"/>
          <w:szCs w:val="22"/>
          <w:b w:val="1"/>
          <w:bCs w:val="1"/>
          <w:color w:val="auto"/>
        </w:rPr>
        <w:t>Schedule B</w:t>
      </w:r>
      <w:r>
        <w:rPr>
          <w:rFonts w:ascii="Times New Roman" w:cs="Times New Roman" w:eastAsia="Times New Roman" w:hAnsi="Times New Roman"/>
          <w:sz w:val="22"/>
          <w:szCs w:val="22"/>
          <w:color w:val="auto"/>
        </w:rPr>
        <w:t>; and references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“Exhibit”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unless otherwise specified, to a Schedule or an Exhibit attached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Agreement.</w:t>
      </w:r>
    </w:p>
    <w:p>
      <w:pPr>
        <w:spacing w:after="0" w:line="25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w:t>
      </w:r>
      <w:r>
        <w:rPr>
          <w:sz w:val="20"/>
          <w:szCs w:val="20"/>
          <w:color w:val="auto"/>
        </w:rPr>
        <w:tab/>
      </w: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ale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 S</w:t>
      </w:r>
      <w:r>
        <w:rPr>
          <w:rFonts w:ascii="Times New Roman" w:cs="Times New Roman" w:eastAsia="Times New Roman" w:hAnsi="Times New Roman"/>
          <w:sz w:val="14"/>
          <w:szCs w:val="14"/>
          <w:color w:val="auto"/>
        </w:rPr>
        <w:t>ale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Subject to the terms and conditions of this Agreement, the Company will issue and sell to each Purchaser and each Purchaser will purchase from the Company, at the Closing provided for in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Notes in the principal amount and of the series specified opposite such Purchaser’s name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3.</w:t>
      </w:r>
      <w:r>
        <w:rPr>
          <w:sz w:val="20"/>
          <w:szCs w:val="20"/>
          <w:color w:val="auto"/>
        </w:rPr>
        <w:tab/>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losing</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3. C</w:t>
      </w:r>
      <w:r>
        <w:rPr>
          <w:rFonts w:ascii="Times New Roman" w:cs="Times New Roman" w:eastAsia="Times New Roman" w:hAnsi="Times New Roman"/>
          <w:sz w:val="14"/>
          <w:szCs w:val="14"/>
          <w:color w:val="auto"/>
        </w:rPr>
        <w:t>losing</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sale and purchase of the Notes to be purchased by each Purchaser shall occur at the offices of Chapman and Cutler LLP, 320 South Canal Street, Chicago, Illinois 60606 at 10:00 a.m. Central time, at a closing (the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xml:space="preserve">) on April 30, 2026 or on such other Business Day thereafter on or prior to May 15, 2026 as may be agreed upon by the Company and the Purchasers. At the Closing the Company will deliver to each Purchaser the Notes of the series to be purchased by such Purchaser in the form of a single Note of such series (or such greater number of Notes of such series in denominations of at least $500,000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to account number: [information omitted]. If at the Closing the Company shall fail to tender such Notes to any Purchaser as provided above in this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or any of the conditions 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shall not have been fulfilled to such Purchaser’s reasonable satisfaction, such Purchaser shall, at its election, be relieved of all further obligations under this Agreement, without thereby waiving any rights such Purchaser may have by reason of such failure by the Company to tender such Notes or any of the conditions 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not having been fulfilled to such Purchaser’s reasonable satisfaction or such nonfulfillment.</w:t>
      </w:r>
    </w:p>
    <w:p>
      <w:pPr>
        <w:spacing w:after="0" w:line="2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4.</w:t>
      </w:r>
      <w:r>
        <w:rPr>
          <w:sz w:val="20"/>
          <w:szCs w:val="20"/>
          <w:color w:val="auto"/>
        </w:rPr>
        <w:tab/>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losing</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4.  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losing</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Purchaser’s obligation to purchase and pay for the Notes to be sold to such Purchaser at the Closing is subject to the fulfillment to such Purchaser’s reasonable satisfaction, prior to or at the Closing, of the following conditions:</w:t>
      </w:r>
    </w:p>
    <w:p>
      <w:pPr>
        <w:spacing w:after="0" w:line="195"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4.1. Representations and Warranties </w:t>
      </w:r>
      <w:r>
        <w:rPr>
          <w:rFonts w:ascii="Times New Roman" w:cs="Times New Roman" w:eastAsia="Times New Roman" w:hAnsi="Times New Roman"/>
          <w:sz w:val="22"/>
          <w:szCs w:val="22"/>
          <w:color w:val="auto"/>
        </w:rPr>
        <w:t>TC "Section 4.1. Representations and Warranties" \f C \l "2" .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representations and warranties of the Company in this Agreement shall be correct when made and at the time of the Closing (except, in each case, to the extent any representation or warranty expressly relates to a different date, in which case as of such different date).</w:t>
      </w:r>
    </w:p>
    <w:p>
      <w:pPr>
        <w:spacing w:after="0" w:line="199"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4.2. Performance; No Default </w:t>
      </w:r>
      <w:r>
        <w:rPr>
          <w:rFonts w:ascii="Times New Roman" w:cs="Times New Roman" w:eastAsia="Times New Roman" w:hAnsi="Times New Roman"/>
          <w:sz w:val="22"/>
          <w:szCs w:val="22"/>
          <w:color w:val="auto"/>
        </w:rPr>
        <w:t>TC "Section 4.2. Performance; No Default" \f C \l "2" . The Company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performed and complied with all agreements and conditions contained in this Agreement required to be performed or complied with by it prior to or at the Closing. Before and after giving effect to the issue and sale of the Notes (and the application of the proceeds thereof as contemplated by </w:t>
      </w:r>
      <w:r>
        <w:rPr>
          <w:rFonts w:ascii="Times New Roman" w:cs="Times New Roman" w:eastAsia="Times New Roman" w:hAnsi="Times New Roman"/>
          <w:sz w:val="22"/>
          <w:szCs w:val="22"/>
          <w:b w:val="1"/>
          <w:bCs w:val="1"/>
          <w:color w:val="auto"/>
        </w:rPr>
        <w:t>Section 5.14</w:t>
      </w:r>
      <w:r>
        <w:rPr>
          <w:rFonts w:ascii="Times New Roman" w:cs="Times New Roman" w:eastAsia="Times New Roman" w:hAnsi="Times New Roman"/>
          <w:sz w:val="22"/>
          <w:szCs w:val="22"/>
          <w:color w:val="auto"/>
        </w:rPr>
        <w:t xml:space="preserve">), no Default or Event of Default shall have occurred and be continuing. Neither the Company nor any Subsidiary shall have entered into any transaction since the date of this Agreement that would have been prohibited by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had such Section applied since such date.</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1720" w:val="left"/>
          <w:tab w:leader="none" w:pos="5600" w:val="left"/>
        </w:tabs>
        <w:rPr>
          <w:sz w:val="20"/>
          <w:szCs w:val="20"/>
          <w:color w:val="auto"/>
        </w:rPr>
      </w:pPr>
      <w:r>
        <w:rPr>
          <w:rFonts w:ascii="Times New Roman" w:cs="Times New Roman" w:eastAsia="Times New Roman" w:hAnsi="Times New Roman"/>
          <w:sz w:val="22"/>
          <w:szCs w:val="22"/>
          <w:i w:val="1"/>
          <w:iCs w:val="1"/>
          <w:color w:val="auto"/>
        </w:rPr>
        <w:t>Section 4.3.</w:t>
        <w:tab/>
        <w:t xml:space="preserve">Compliance Certificates </w:t>
      </w:r>
      <w:r>
        <w:rPr>
          <w:rFonts w:ascii="Times New Roman" w:cs="Times New Roman" w:eastAsia="Times New Roman" w:hAnsi="Times New Roman"/>
          <w:sz w:val="22"/>
          <w:szCs w:val="22"/>
          <w:color w:val="auto"/>
        </w:rPr>
        <w:t>TC "Section 4.3.</w:t>
      </w:r>
      <w:r>
        <w:rPr>
          <w:sz w:val="20"/>
          <w:szCs w:val="20"/>
          <w:color w:val="auto"/>
        </w:rPr>
        <w:tab/>
      </w:r>
      <w:r>
        <w:rPr>
          <w:rFonts w:ascii="Times New Roman" w:cs="Times New Roman" w:eastAsia="Times New Roman" w:hAnsi="Times New Roman"/>
          <w:sz w:val="21"/>
          <w:szCs w:val="21"/>
          <w:color w:val="auto"/>
        </w:rPr>
        <w:t>Compliance Certificates" \f C \l "2" .</w:t>
      </w:r>
    </w:p>
    <w:p>
      <w:pPr>
        <w:spacing w:after="0" w:line="233" w:lineRule="exact"/>
        <w:rPr>
          <w:sz w:val="20"/>
          <w:szCs w:val="20"/>
          <w:color w:val="auto"/>
        </w:rPr>
      </w:pPr>
    </w:p>
    <w:p>
      <w:pPr>
        <w:ind w:right="100" w:firstLine="440"/>
        <w:spacing w:after="0" w:line="262" w:lineRule="auto"/>
        <w:tabs>
          <w:tab w:leader="none" w:pos="89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The Company shall have delivered to such Purchaser an Officer’s Certificate, dated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Closing, certifying that the conditions specified in </w:t>
      </w:r>
      <w:r>
        <w:rPr>
          <w:rFonts w:ascii="Times New Roman" w:cs="Times New Roman" w:eastAsia="Times New Roman" w:hAnsi="Times New Roman"/>
          <w:sz w:val="22"/>
          <w:szCs w:val="22"/>
          <w:b w:val="1"/>
          <w:bCs w:val="1"/>
          <w:color w:val="auto"/>
        </w:rPr>
        <w:t>Sections 4.1, 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4.9</w:t>
      </w:r>
      <w:r>
        <w:rPr>
          <w:rFonts w:ascii="Times New Roman" w:cs="Times New Roman" w:eastAsia="Times New Roman" w:hAnsi="Times New Roman"/>
          <w:sz w:val="22"/>
          <w:szCs w:val="22"/>
          <w:color w:val="auto"/>
        </w:rPr>
        <w:t xml:space="preserve"> have been fulfilled.</w:t>
      </w:r>
    </w:p>
    <w:p>
      <w:pPr>
        <w:spacing w:after="0" w:line="190" w:lineRule="exact"/>
        <w:rPr>
          <w:rFonts w:ascii="Times New Roman" w:cs="Times New Roman" w:eastAsia="Times New Roman" w:hAnsi="Times New Roman"/>
          <w:sz w:val="22"/>
          <w:szCs w:val="22"/>
          <w:color w:val="auto"/>
        </w:rPr>
      </w:pPr>
    </w:p>
    <w:p>
      <w:pPr>
        <w:jc w:val="both"/>
        <w:ind w:right="100" w:firstLine="440"/>
        <w:spacing w:after="0" w:line="246" w:lineRule="auto"/>
        <w:tabs>
          <w:tab w:leader="none" w:pos="87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Secretary’s Certificate</w:t>
      </w:r>
      <w:r>
        <w:rPr>
          <w:rFonts w:ascii="Times New Roman" w:cs="Times New Roman" w:eastAsia="Times New Roman" w:hAnsi="Times New Roman"/>
          <w:sz w:val="22"/>
          <w:szCs w:val="22"/>
          <w:color w:val="auto"/>
        </w:rPr>
        <w:t>. The Company shall have delivered to such Purchaser a certificate of its Secretary or Assistant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Secretary, dated the date of Closing, certifying as to the resolutions attached thereto and other corporate proceedings relating to the authorization, execution and delivery of the Notes and this Agreement.</w:t>
      </w:r>
    </w:p>
    <w:p>
      <w:pPr>
        <w:spacing w:after="0" w:line="208" w:lineRule="exact"/>
        <w:rPr>
          <w:sz w:val="20"/>
          <w:szCs w:val="20"/>
          <w:color w:val="auto"/>
        </w:rPr>
      </w:pPr>
    </w:p>
    <w:p>
      <w:pPr>
        <w:jc w:val="both"/>
        <w:ind w:right="100" w:firstLine="432"/>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Section 4.4. Opinions of Counsel </w:t>
      </w:r>
      <w:r>
        <w:rPr>
          <w:rFonts w:ascii="Times New Roman" w:cs="Times New Roman" w:eastAsia="Times New Roman" w:hAnsi="Times New Roman"/>
          <w:sz w:val="21"/>
          <w:szCs w:val="21"/>
          <w:color w:val="auto"/>
        </w:rPr>
        <w:t>TC "Section 4.4. Opinions of Counsel" \f C \l "2" . Such Purchaser shall have received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opinions in form and substance reasonably satisfactory to such Purchaser, dated the date of the Closing (a) from Dentons US LLP or another member firm of Dentons, in each case special counsel for the Company, covering the matters set forth in </w:t>
      </w:r>
      <w:r>
        <w:rPr>
          <w:rFonts w:ascii="Times New Roman" w:cs="Times New Roman" w:eastAsia="Times New Roman" w:hAnsi="Times New Roman"/>
          <w:sz w:val="21"/>
          <w:szCs w:val="21"/>
          <w:b w:val="1"/>
          <w:bCs w:val="1"/>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4.4(a) </w:t>
      </w:r>
      <w:r>
        <w:rPr>
          <w:rFonts w:ascii="Times New Roman" w:cs="Times New Roman" w:eastAsia="Times New Roman" w:hAnsi="Times New Roman"/>
          <w:sz w:val="21"/>
          <w:szCs w:val="21"/>
          <w:color w:val="auto"/>
        </w:rPr>
        <w:t>and covering such other matters incident to the transactions contemplated hereby as such Purchaser or its counsel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reasonably request (and the Company hereby instructs such special counsel to deliver such opinion to the Purchasers), (b) from Patrick Taylor, Esq., Chief Regulatory Counsel for Unitil Service Corp., covering the matters set forth in </w:t>
      </w:r>
      <w:r>
        <w:rPr>
          <w:rFonts w:ascii="Times New Roman" w:cs="Times New Roman" w:eastAsia="Times New Roman" w:hAnsi="Times New Roman"/>
          <w:sz w:val="21"/>
          <w:szCs w:val="21"/>
          <w:b w:val="1"/>
          <w:bCs w:val="1"/>
          <w:color w:val="auto"/>
        </w:rPr>
        <w:t>Exhibit 4.4(b)</w:t>
      </w:r>
      <w:r>
        <w:rPr>
          <w:rFonts w:ascii="Times New Roman" w:cs="Times New Roman" w:eastAsia="Times New Roman" w:hAnsi="Times New Roman"/>
          <w:sz w:val="21"/>
          <w:szCs w:val="21"/>
          <w:color w:val="auto"/>
        </w:rPr>
        <w:t xml:space="preserve"> and covering such other matters incident to the transactions contemplated hereby as such Purchaser or its counsel may reasonably request (and the Company hereby instructs such Chief Regulatory Counsel to deliver such opinion to the Purchasers) and (c) from Chapman and Cutler LLP, the Purchasers’ special counsel in connection with such transactions, substantially in the form set forth in </w:t>
      </w:r>
      <w:r>
        <w:rPr>
          <w:rFonts w:ascii="Times New Roman" w:cs="Times New Roman" w:eastAsia="Times New Roman" w:hAnsi="Times New Roman"/>
          <w:sz w:val="21"/>
          <w:szCs w:val="21"/>
          <w:b w:val="1"/>
          <w:bCs w:val="1"/>
          <w:color w:val="auto"/>
        </w:rPr>
        <w:t>Exhibit 4.4(c)</w:t>
      </w:r>
      <w:r>
        <w:rPr>
          <w:rFonts w:ascii="Times New Roman" w:cs="Times New Roman" w:eastAsia="Times New Roman" w:hAnsi="Times New Roman"/>
          <w:sz w:val="21"/>
          <w:szCs w:val="21"/>
          <w:color w:val="auto"/>
        </w:rPr>
        <w:t xml:space="preserve"> and covering such other matters incident to such transactions as such Purchaser may reasonably request.</w:t>
      </w:r>
    </w:p>
    <w:p>
      <w:pPr>
        <w:spacing w:after="0" w:line="198" w:lineRule="exact"/>
        <w:rPr>
          <w:sz w:val="20"/>
          <w:szCs w:val="20"/>
          <w:color w:val="auto"/>
        </w:rPr>
      </w:pPr>
    </w:p>
    <w:p>
      <w:pPr>
        <w:ind w:left="440"/>
        <w:spacing w:after="0"/>
        <w:tabs>
          <w:tab w:leader="none" w:pos="1720" w:val="left"/>
          <w:tab w:leader="none" w:pos="7760" w:val="left"/>
        </w:tabs>
        <w:rPr>
          <w:sz w:val="20"/>
          <w:szCs w:val="20"/>
          <w:color w:val="auto"/>
        </w:rPr>
      </w:pPr>
      <w:r>
        <w:rPr>
          <w:rFonts w:ascii="Times New Roman" w:cs="Times New Roman" w:eastAsia="Times New Roman" w:hAnsi="Times New Roman"/>
          <w:sz w:val="22"/>
          <w:szCs w:val="22"/>
          <w:i w:val="1"/>
          <w:iCs w:val="1"/>
          <w:color w:val="auto"/>
        </w:rPr>
        <w:t>Section 4.5.</w:t>
        <w:tab/>
        <w:t xml:space="preserve">Purchase Permitted By Applicable Law, Etc  </w:t>
      </w:r>
      <w:r>
        <w:rPr>
          <w:rFonts w:ascii="Times New Roman" w:cs="Times New Roman" w:eastAsia="Times New Roman" w:hAnsi="Times New Roman"/>
          <w:sz w:val="22"/>
          <w:szCs w:val="22"/>
          <w:color w:val="auto"/>
        </w:rPr>
        <w:t>TC "Section 4.5.</w:t>
      </w:r>
      <w:r>
        <w:rPr>
          <w:sz w:val="20"/>
          <w:szCs w:val="20"/>
          <w:color w:val="auto"/>
        </w:rPr>
        <w:tab/>
      </w:r>
      <w:r>
        <w:rPr>
          <w:rFonts w:ascii="Times New Roman" w:cs="Times New Roman" w:eastAsia="Times New Roman" w:hAnsi="Times New Roman"/>
          <w:sz w:val="22"/>
          <w:szCs w:val="22"/>
          <w:color w:val="auto"/>
        </w:rPr>
        <w:t>Purchase Permitted By Applicable Law,</w:t>
      </w:r>
    </w:p>
    <w:p>
      <w:pPr>
        <w:spacing w:after="0" w:line="18"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22"/>
          <w:szCs w:val="22"/>
          <w:color w:val="auto"/>
        </w:rPr>
        <w:t>Etc" \f C \l "2" .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21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4.6. Sale of Other Notes </w:t>
      </w:r>
      <w:r>
        <w:rPr>
          <w:rFonts w:ascii="Times New Roman" w:cs="Times New Roman" w:eastAsia="Times New Roman" w:hAnsi="Times New Roman"/>
          <w:sz w:val="22"/>
          <w:szCs w:val="22"/>
          <w:color w:val="auto"/>
        </w:rPr>
        <w:t>TC "Section 4.6. Sale of Other Notes" \f C \l "2" . Contemporaneously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Closing the Company shall sell to each other Purchaser and each other Purchaser shall purchase the Notes of the series to be purchased by it at the Closing as specified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00"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4.7. Payment of Special Counsel Fees </w:t>
      </w:r>
      <w:r>
        <w:rPr>
          <w:rFonts w:ascii="Times New Roman" w:cs="Times New Roman" w:eastAsia="Times New Roman" w:hAnsi="Times New Roman"/>
          <w:sz w:val="22"/>
          <w:szCs w:val="22"/>
          <w:color w:val="auto"/>
        </w:rPr>
        <w:t>TC "Section 4.7. Payment of Special Counsel Fees" \f C \l "2" .</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Without limiting the provisions of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xml:space="preserve">, the Company shall have paid on or before the Closing the reasonable fees, charges and disbursements of the Purchasers’ special counsel referred to in </w:t>
      </w:r>
      <w:r>
        <w:rPr>
          <w:rFonts w:ascii="Times New Roman" w:cs="Times New Roman" w:eastAsia="Times New Roman" w:hAnsi="Times New Roman"/>
          <w:sz w:val="22"/>
          <w:szCs w:val="22"/>
          <w:b w:val="1"/>
          <w:bCs w:val="1"/>
          <w:color w:val="auto"/>
        </w:rPr>
        <w:t>Section 4.4</w:t>
      </w:r>
      <w:r>
        <w:rPr>
          <w:rFonts w:ascii="Times New Roman" w:cs="Times New Roman" w:eastAsia="Times New Roman" w:hAnsi="Times New Roman"/>
          <w:sz w:val="22"/>
          <w:szCs w:val="22"/>
          <w:color w:val="auto"/>
        </w:rPr>
        <w:t xml:space="preserve"> to the extent reflected in a statement of such counsel rendered to the Company at least one Business Day prior to the Closing, unless the Company and the Purchasers’ special counsel have agreed to make such payment due on a later date.</w:t>
      </w:r>
    </w:p>
    <w:p>
      <w:pPr>
        <w:spacing w:after="0" w:line="20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4.8. Private Placement Number </w:t>
      </w:r>
      <w:r>
        <w:rPr>
          <w:rFonts w:ascii="Times New Roman" w:cs="Times New Roman" w:eastAsia="Times New Roman" w:hAnsi="Times New Roman"/>
          <w:sz w:val="22"/>
          <w:szCs w:val="22"/>
          <w:color w:val="auto"/>
        </w:rPr>
        <w:t>TC "Section 4.8. Private Placement Number" \f C \l "2" . A Private Placeme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issued by the PPN CUSIP Unit of CUSIP Global Services (in cooperation with the SVO) shall have been obtained for each series of the Notes.</w:t>
      </w:r>
    </w:p>
    <w:p>
      <w:pPr>
        <w:spacing w:after="0" w:line="208" w:lineRule="exact"/>
        <w:rPr>
          <w:sz w:val="20"/>
          <w:szCs w:val="20"/>
          <w:color w:val="auto"/>
        </w:rPr>
      </w:pPr>
    </w:p>
    <w:p>
      <w:pPr>
        <w:jc w:val="both"/>
        <w:ind w:right="100"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4.9. Changes in Corporate Structure </w:t>
      </w:r>
      <w:r>
        <w:rPr>
          <w:rFonts w:ascii="Times New Roman" w:cs="Times New Roman" w:eastAsia="Times New Roman" w:hAnsi="Times New Roman"/>
          <w:sz w:val="22"/>
          <w:szCs w:val="22"/>
          <w:color w:val="auto"/>
        </w:rPr>
        <w:t>TC "Section 4.9. Changes in Corporate Structure" \f C \l "2" .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cs="Times New Roman" w:eastAsia="Times New Roman" w:hAnsi="Times New Roman"/>
          <w:sz w:val="22"/>
          <w:szCs w:val="22"/>
          <w:b w:val="1"/>
          <w:bCs w:val="1"/>
          <w:color w:val="auto"/>
        </w:rPr>
        <w:t>Schedule 5.5</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4.10. Funding Instructions </w:t>
      </w:r>
      <w:r>
        <w:rPr>
          <w:rFonts w:ascii="Times New Roman" w:cs="Times New Roman" w:eastAsia="Times New Roman" w:hAnsi="Times New Roman"/>
          <w:sz w:val="22"/>
          <w:szCs w:val="22"/>
          <w:color w:val="auto"/>
        </w:rPr>
        <w:t>TC "Section 4.10. Funding Instructions" \f C \l "2" . (a) At least five (5) Business 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to the date of the Closing, each Purchaser shall have received written instructions signed by a Responsible Officer on letterhead of the Company confirming the information specified in Section 3 including (i) the name and address of the transferee bank and any correspondent bank, (ii) such transferee bank’s and correspondent bank’s ABA number/SWIFT Code/IBAN, (iii) the account name and number into which the purchase price for the Notes is to be deposited, which account shall be fully opened and able to receive micro deposits in accordance with this Section 4.10 at least five (5) Business Days prior to the date of Closing and (iv) contact information of a representative at the transferee bank and a representative at the Company available to confirm such instructions by telephone and email.</w:t>
      </w:r>
    </w:p>
    <w:p>
      <w:pPr>
        <w:spacing w:after="0" w:line="209" w:lineRule="exact"/>
        <w:rPr>
          <w:sz w:val="20"/>
          <w:szCs w:val="20"/>
          <w:color w:val="auto"/>
        </w:rPr>
      </w:pPr>
    </w:p>
    <w:p>
      <w:pPr>
        <w:jc w:val="both"/>
        <w:ind w:right="100" w:firstLine="757"/>
        <w:spacing w:after="0" w:line="253" w:lineRule="auto"/>
        <w:tabs>
          <w:tab w:leader="none" w:pos="1057"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Purchaser has the right, but not the obligation, upon written notice (which may be by email) to the Company, to elect to deliver a micro deposit (equal to or less than $51.00) to the account identified in the written instructions no later than two</w:t>
      </w:r>
    </w:p>
    <w:p>
      <w:pPr>
        <w:jc w:val="both"/>
        <w:ind w:right="100" w:firstLine="8"/>
        <w:spacing w:after="0" w:line="234" w:lineRule="auto"/>
        <w:tabs>
          <w:tab w:leader="none" w:pos="3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Closing. If a Purchaser delivers a micro deposit, a Responsible Officer must verbally verify the receipt and amount of the micro deposit to such Purchaser on a telephone call initiated by such Purchaser prior to Closing and during the business hours of the Company. The Company shall not be obligated to return the amount of the micro deposit, nor will the amount of the micro deposit be netted against the Purchaser’s purchase price of the Notes.</w:t>
      </w:r>
    </w:p>
    <w:p>
      <w:pPr>
        <w:spacing w:after="0" w:line="217" w:lineRule="exact"/>
        <w:rPr>
          <w:rFonts w:ascii="Times New Roman" w:cs="Times New Roman" w:eastAsia="Times New Roman" w:hAnsi="Times New Roman"/>
          <w:sz w:val="22"/>
          <w:szCs w:val="22"/>
          <w:color w:val="auto"/>
        </w:rPr>
      </w:pPr>
    </w:p>
    <w:p>
      <w:pPr>
        <w:ind w:right="100" w:firstLine="757"/>
        <w:spacing w:after="0" w:line="258" w:lineRule="auto"/>
        <w:tabs>
          <w:tab w:leader="none" w:pos="104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two (2) Business Days prior to the date of the Closing, if requested by a Purchaser, a Responsible Officer of the Company shall have confirmed such written instructions in a live video conference call made available to the Purchasers.</w:t>
      </w:r>
    </w:p>
    <w:p>
      <w:pPr>
        <w:spacing w:after="0" w:line="195" w:lineRule="exact"/>
        <w:rPr>
          <w:sz w:val="20"/>
          <w:szCs w:val="20"/>
          <w:color w:val="auto"/>
        </w:rPr>
      </w:pPr>
    </w:p>
    <w:p>
      <w:pPr>
        <w:jc w:val="both"/>
        <w:ind w:right="100"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4.11. Proceedings and Documents </w:t>
      </w:r>
      <w:r>
        <w:rPr>
          <w:rFonts w:ascii="Times New Roman" w:cs="Times New Roman" w:eastAsia="Times New Roman" w:hAnsi="Times New Roman"/>
          <w:sz w:val="22"/>
          <w:szCs w:val="22"/>
          <w:color w:val="auto"/>
        </w:rPr>
        <w:t>TC "Section 4.11. Proceedings and Documents" \f C \l "2" . All corporate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proceedings in connection with the transactions contemplated by this Agreement and all documents and instruments incident to such transactions shall be reasonably satisfactory to such Purchaser and its special counsel, and such Purchaser and</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its special counsel shall have received all such counterpart originals or certified or other copies of such documents as such Purchaser or such special counsel may reasonably request.</w:t>
      </w:r>
    </w:p>
    <w:p>
      <w:pPr>
        <w:spacing w:after="0" w:line="181"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4.12. Regulatory Approvals </w:t>
      </w:r>
      <w:r>
        <w:rPr>
          <w:rFonts w:ascii="Times New Roman" w:cs="Times New Roman" w:eastAsia="Times New Roman" w:hAnsi="Times New Roman"/>
          <w:sz w:val="22"/>
          <w:szCs w:val="22"/>
          <w:color w:val="auto"/>
        </w:rPr>
        <w:t>TC "Section 4.12. Regulatory Approvals" \f C \l "2" . The issue and sale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Notes shall have been duly authorized by order of the MDPU and such other regulatory authorities as may have jurisdiction, such order(s) shall be in full force and effect at the time of the Closing and any appeal periods applicable thereto shall have expired with no appeals filed during such periods.</w:t>
      </w:r>
    </w:p>
    <w:p>
      <w:pPr>
        <w:sectPr>
          <w:pgSz w:w="11900" w:h="16838" w:orient="portrait"/>
          <w:cols w:equalWidth="0" w:num="1">
            <w:col w:w="11240"/>
          </w:cols>
          <w:pgMar w:left="320" w:top="760" w:right="3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5.</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5.</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p>
    <w:p>
      <w:pPr>
        <w:spacing w:after="0" w:line="466" w:lineRule="exact"/>
        <w:rPr>
          <w:sz w:val="20"/>
          <w:szCs w:val="20"/>
          <w:color w:val="auto"/>
        </w:rPr>
      </w:pPr>
    </w:p>
    <w:p>
      <w:pPr>
        <w:sectPr>
          <w:pgSz w:w="11900" w:h="16838" w:orient="portrait"/>
          <w:cols w:equalWidth="0" w:num="3">
            <w:col w:w="880" w:space="420"/>
            <w:col w:w="5680" w:space="380"/>
            <w:col w:w="3880"/>
          </w:cols>
          <w:pgMar w:left="320" w:top="760" w:right="339" w:bottom="1440" w:gutter="0" w:footer="0" w:header="0"/>
          <w:type w:val="continuous"/>
        </w:sectPr>
      </w:pPr>
    </w:p>
    <w:p>
      <w:pPr>
        <w:spacing w:after="0" w:line="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Company represents and warrants to each Purchaser that the representations and warranties contained in this </w:t>
      </w: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color w:val="auto"/>
        </w:rPr>
        <w:t>are true and correct as of the date of this Agreement and the Closing (except, in each case, to the extent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or warranty expressly relates to a different date, in which case as of such different date):</w:t>
      </w:r>
    </w:p>
    <w:p>
      <w:pPr>
        <w:spacing w:after="0" w:line="210"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5.1. Organization; Power and Authority </w:t>
      </w:r>
      <w:r>
        <w:rPr>
          <w:rFonts w:ascii="Times New Roman" w:cs="Times New Roman" w:eastAsia="Times New Roman" w:hAnsi="Times New Roman"/>
          <w:sz w:val="22"/>
          <w:szCs w:val="22"/>
          <w:color w:val="auto"/>
        </w:rPr>
        <w:t>TC "Section 5.1. Organization; Power and Authority"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except, in each case, as would not, individually or in the aggregate, reasonably be expected to have a Material Adverse Effect. The Company has the corporate power and authority to execute and deliver this Agreement and the Notes and to perform the provisions hereof and thereof.</w:t>
      </w:r>
    </w:p>
    <w:p>
      <w:pPr>
        <w:spacing w:after="0" w:line="214"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5.2. Authorization, Etc </w:t>
      </w:r>
      <w:r>
        <w:rPr>
          <w:rFonts w:ascii="Times New Roman" w:cs="Times New Roman" w:eastAsia="Times New Roman" w:hAnsi="Times New Roman"/>
          <w:sz w:val="22"/>
          <w:szCs w:val="22"/>
          <w:color w:val="auto"/>
        </w:rPr>
        <w:t>TC "Section 5.2. Authorization, Etc" \f C \l "2" . This Agreement and the Notes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fraudulent transfer, reorganization, moratorium or other similar laws affecting the enforcement of creditors’ rights generally and (ii) general principles of equity (regardless of whether such enforceability is considered in a proceeding in equity or at law).</w:t>
      </w:r>
    </w:p>
    <w:p>
      <w:pPr>
        <w:spacing w:after="0" w:line="203"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5.3. Disclosure </w:t>
      </w:r>
      <w:r>
        <w:rPr>
          <w:rFonts w:ascii="Times New Roman" w:cs="Times New Roman" w:eastAsia="Times New Roman" w:hAnsi="Times New Roman"/>
          <w:sz w:val="22"/>
          <w:szCs w:val="22"/>
          <w:color w:val="auto"/>
        </w:rPr>
        <w:t>TC "Section 5.3. Disclosure" \f C \l "2" . The Company, through its agent, TD Securities (USA)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LLC, has delivered to each Purchaser documents, certificates or other writings identified on </w:t>
      </w:r>
      <w:r>
        <w:rPr>
          <w:rFonts w:ascii="Times New Roman" w:cs="Times New Roman" w:eastAsia="Times New Roman" w:hAnsi="Times New Roman"/>
          <w:sz w:val="22"/>
          <w:szCs w:val="22"/>
          <w:b w:val="1"/>
          <w:bCs w:val="1"/>
          <w:color w:val="auto"/>
        </w:rPr>
        <w:t>Schedule 5.3</w:t>
      </w:r>
      <w:r>
        <w:rPr>
          <w:rFonts w:ascii="Times New Roman" w:cs="Times New Roman" w:eastAsia="Times New Roman" w:hAnsi="Times New Roman"/>
          <w:sz w:val="22"/>
          <w:szCs w:val="22"/>
          <w:color w:val="auto"/>
        </w:rPr>
        <w:t xml:space="preserve"> and such financial statements listed in </w:t>
      </w:r>
      <w:r>
        <w:rPr>
          <w:rFonts w:ascii="Times New Roman" w:cs="Times New Roman" w:eastAsia="Times New Roman" w:hAnsi="Times New Roman"/>
          <w:sz w:val="22"/>
          <w:szCs w:val="22"/>
          <w:b w:val="1"/>
          <w:bCs w:val="1"/>
          <w:color w:val="auto"/>
        </w:rPr>
        <w:t>Schedule 5.5</w:t>
      </w:r>
      <w:r>
        <w:rPr>
          <w:rFonts w:ascii="Times New Roman" w:cs="Times New Roman" w:eastAsia="Times New Roman" w:hAnsi="Times New Roman"/>
          <w:sz w:val="22"/>
          <w:szCs w:val="22"/>
          <w:color w:val="auto"/>
        </w:rPr>
        <w:t>, relating to the transactions contemplated hereby. The Disclosure Documents (defined below) fairly describe, in all material respects, the general nature of the business and principal properties of the Company and its Subsidiaries. This Agreement and the documents, certificates or other writings delivered to the Purchasers by or on behalf of the Company in</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connection with the transactions contemplated hereby and identified in </w:t>
      </w:r>
      <w:r>
        <w:rPr>
          <w:rFonts w:ascii="Times New Roman" w:cs="Times New Roman" w:eastAsia="Times New Roman" w:hAnsi="Times New Roman"/>
          <w:sz w:val="21"/>
          <w:szCs w:val="21"/>
          <w:b w:val="1"/>
          <w:bCs w:val="1"/>
          <w:color w:val="auto"/>
        </w:rPr>
        <w:t>Schedule 5.3</w:t>
      </w:r>
      <w:r>
        <w:rPr>
          <w:rFonts w:ascii="Times New Roman" w:cs="Times New Roman" w:eastAsia="Times New Roman" w:hAnsi="Times New Roman"/>
          <w:sz w:val="21"/>
          <w:szCs w:val="21"/>
          <w:color w:val="auto"/>
        </w:rPr>
        <w:t xml:space="preserve">, and the financial statements listed in </w:t>
      </w:r>
      <w:r>
        <w:rPr>
          <w:rFonts w:ascii="Times New Roman" w:cs="Times New Roman" w:eastAsia="Times New Roman" w:hAnsi="Times New Roman"/>
          <w:sz w:val="21"/>
          <w:szCs w:val="21"/>
          <w:b w:val="1"/>
          <w:bCs w:val="1"/>
          <w:color w:val="auto"/>
        </w:rPr>
        <w:t xml:space="preserve">Schedule 5.5 </w:t>
      </w:r>
      <w:r>
        <w:rPr>
          <w:rFonts w:ascii="Times New Roman" w:cs="Times New Roman" w:eastAsia="Times New Roman" w:hAnsi="Times New Roman"/>
          <w:sz w:val="21"/>
          <w:szCs w:val="21"/>
          <w:color w:val="auto"/>
        </w:rPr>
        <w:t>(this Agreement and such documents, certificates or other writings identified in</w:t>
      </w:r>
      <w:r>
        <w:rPr>
          <w:rFonts w:ascii="Times New Roman" w:cs="Times New Roman" w:eastAsia="Times New Roman" w:hAnsi="Times New Roman"/>
          <w:sz w:val="21"/>
          <w:szCs w:val="21"/>
          <w:b w:val="1"/>
          <w:bCs w:val="1"/>
          <w:color w:val="auto"/>
        </w:rPr>
        <w:t xml:space="preserve"> Schedule 5.3 </w:t>
      </w:r>
      <w:r>
        <w:rPr>
          <w:rFonts w:ascii="Times New Roman" w:cs="Times New Roman" w:eastAsia="Times New Roman" w:hAnsi="Times New Roman"/>
          <w:sz w:val="21"/>
          <w:szCs w:val="21"/>
          <w:color w:val="auto"/>
        </w:rPr>
        <w:t>and such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statements listed in </w:t>
      </w:r>
      <w:r>
        <w:rPr>
          <w:rFonts w:ascii="Times New Roman" w:cs="Times New Roman" w:eastAsia="Times New Roman" w:hAnsi="Times New Roman"/>
          <w:sz w:val="21"/>
          <w:szCs w:val="21"/>
          <w:b w:val="1"/>
          <w:bCs w:val="1"/>
          <w:color w:val="auto"/>
        </w:rPr>
        <w:t>Schedule 5.5</w:t>
      </w:r>
      <w:r>
        <w:rPr>
          <w:rFonts w:ascii="Times New Roman" w:cs="Times New Roman" w:eastAsia="Times New Roman" w:hAnsi="Times New Roman"/>
          <w:sz w:val="21"/>
          <w:szCs w:val="21"/>
          <w:color w:val="auto"/>
        </w:rPr>
        <w:t xml:space="preserve"> delivered to each Purchaser being referred to, collectively, as the </w:t>
      </w:r>
      <w:r>
        <w:rPr>
          <w:rFonts w:ascii="Times New Roman" w:cs="Times New Roman" w:eastAsia="Times New Roman" w:hAnsi="Times New Roman"/>
          <w:sz w:val="21"/>
          <w:szCs w:val="21"/>
          <w:i w:val="1"/>
          <w:iCs w:val="1"/>
          <w:color w:val="auto"/>
        </w:rPr>
        <w:t>“Disclosure Documents”</w:t>
      </w:r>
      <w:r>
        <w:rPr>
          <w:rFonts w:ascii="Times New Roman" w:cs="Times New Roman" w:eastAsia="Times New Roman" w:hAnsi="Times New Roman"/>
          <w:sz w:val="21"/>
          <w:szCs w:val="21"/>
          <w:color w:val="auto"/>
        </w:rPr>
        <w:t>), taken as a whole, do not, as of their respective dates, contain any untrue statement of a material fact or omit to state any material fact necessary to make the statements therein not misleading in light of the circumstances under which they were made. Except as disclosed in the Disclosure Documents, since March 31, 2026, there has been no change in the financial condition, operations, business or properties of the Company and its Subsidiaries (taken as a whole) except changes that individually or in the aggregate would not reasonably be expected to have a Material Adverse Effect. There is no fact known to the Company that would reasonably be expected to have a Material Adverse Effect that has not been set forth herein or in the Disclosure Documents.</w:t>
      </w:r>
    </w:p>
    <w:p>
      <w:pPr>
        <w:spacing w:after="0" w:line="193"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5.4. Organization and Ownership of Shares of the Company and Subsidiaries; Affiliates </w:t>
      </w:r>
      <w:r>
        <w:rPr>
          <w:rFonts w:ascii="Times New Roman" w:cs="Times New Roman" w:eastAsia="Times New Roman" w:hAnsi="Times New Roman"/>
          <w:sz w:val="22"/>
          <w:szCs w:val="22"/>
          <w:color w:val="auto"/>
        </w:rPr>
        <w:t>TC "Section 5.4.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Organization and Ownership of Shares of the Company and Subsidiaries; Affiliates" \f C \l "2" . (a) </w:t>
      </w:r>
      <w:r>
        <w:rPr>
          <w:rFonts w:ascii="Times New Roman" w:cs="Times New Roman" w:eastAsia="Times New Roman" w:hAnsi="Times New Roman"/>
          <w:sz w:val="22"/>
          <w:szCs w:val="22"/>
          <w:b w:val="1"/>
          <w:bCs w:val="1"/>
          <w:color w:val="auto"/>
        </w:rPr>
        <w:t>Schedule 5.4</w:t>
      </w:r>
      <w:r>
        <w:rPr>
          <w:rFonts w:ascii="Times New Roman" w:cs="Times New Roman" w:eastAsia="Times New Roman" w:hAnsi="Times New Roman"/>
          <w:sz w:val="22"/>
          <w:szCs w:val="22"/>
          <w:color w:val="auto"/>
        </w:rPr>
        <w:t xml:space="preserve"> contains (except as noted therein) complete and correct lists (i) of the Company’s Subsidiaries, showing, as to each Subsidiary, the correct name thereof, the jurisdiction of its organization, and the percentage of shares of each class of its capital stock or similar equity interests outstanding owned by the Company and each other Subsidiary, (ii) of the Company’s Affiliates, other than Subsidiaries or shareholders of Unitil, and (iii) of the Company’s directors and senior officers.</w:t>
      </w:r>
    </w:p>
    <w:p>
      <w:pPr>
        <w:spacing w:after="0" w:line="216" w:lineRule="exact"/>
        <w:rPr>
          <w:sz w:val="20"/>
          <w:szCs w:val="20"/>
          <w:color w:val="auto"/>
        </w:rPr>
      </w:pPr>
    </w:p>
    <w:p>
      <w:pPr>
        <w:jc w:val="both"/>
        <w:ind w:firstLine="440"/>
        <w:spacing w:after="0" w:line="241" w:lineRule="auto"/>
        <w:tabs>
          <w:tab w:leader="none" w:pos="8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outstanding shares of capital stock or similar equity interests of each Subsidiary shown in </w:t>
      </w:r>
      <w:r>
        <w:rPr>
          <w:rFonts w:ascii="Times New Roman" w:cs="Times New Roman" w:eastAsia="Times New Roman" w:hAnsi="Times New Roman"/>
          <w:sz w:val="22"/>
          <w:szCs w:val="22"/>
          <w:b w:val="1"/>
          <w:bCs w:val="1"/>
          <w:color w:val="auto"/>
        </w:rPr>
        <w:t>Schedule 5.4</w:t>
      </w:r>
      <w:r>
        <w:rPr>
          <w:rFonts w:ascii="Times New Roman" w:cs="Times New Roman" w:eastAsia="Times New Roman" w:hAnsi="Times New Roman"/>
          <w:sz w:val="22"/>
          <w:szCs w:val="22"/>
          <w:color w:val="auto"/>
        </w:rPr>
        <w:t xml:space="preserve"> as being owned by the Company and its Subsidiaries have been validly issued, are fully paid and nonassessable and are owned by the Company or another Subsidiary free and clear of any Lien prohibited by this Agreement (except as otherwise disclosed in </w:t>
      </w:r>
      <w:r>
        <w:rPr>
          <w:rFonts w:ascii="Times New Roman" w:cs="Times New Roman" w:eastAsia="Times New Roman" w:hAnsi="Times New Roman"/>
          <w:sz w:val="22"/>
          <w:szCs w:val="22"/>
          <w:b w:val="1"/>
          <w:bCs w:val="1"/>
          <w:color w:val="auto"/>
        </w:rPr>
        <w:t>Schedule 5.4</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jc w:val="both"/>
        <w:ind w:firstLine="440"/>
        <w:spacing w:after="0" w:line="248" w:lineRule="auto"/>
        <w:tabs>
          <w:tab w:leader="none" w:pos="86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Subsidiary identified in </w:t>
      </w:r>
      <w:r>
        <w:rPr>
          <w:rFonts w:ascii="Times New Roman" w:cs="Times New Roman" w:eastAsia="Times New Roman" w:hAnsi="Times New Roman"/>
          <w:sz w:val="21"/>
          <w:szCs w:val="21"/>
          <w:b w:val="1"/>
          <w:bCs w:val="1"/>
          <w:color w:val="auto"/>
        </w:rPr>
        <w:t>Schedule 5.4</w:t>
      </w:r>
      <w:r>
        <w:rPr>
          <w:rFonts w:ascii="Times New Roman" w:cs="Times New Roman" w:eastAsia="Times New Roman" w:hAnsi="Times New Roman"/>
          <w:sz w:val="21"/>
          <w:szCs w:val="21"/>
          <w:color w:val="auto"/>
        </w:rPr>
        <w:t xml:space="preserve">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in each case, as would not, individually or in the aggregate, reasonably be expected to have a Material Adverse Effect.</w:t>
      </w:r>
    </w:p>
    <w:p>
      <w:pPr>
        <w:spacing w:after="0" w:line="201" w:lineRule="exact"/>
        <w:rPr>
          <w:rFonts w:ascii="Times New Roman" w:cs="Times New Roman" w:eastAsia="Times New Roman" w:hAnsi="Times New Roman"/>
          <w:sz w:val="21"/>
          <w:szCs w:val="21"/>
          <w:color w:val="auto"/>
        </w:rPr>
      </w:pPr>
    </w:p>
    <w:p>
      <w:pPr>
        <w:jc w:val="both"/>
        <w:ind w:firstLine="440"/>
        <w:spacing w:after="0" w:line="238" w:lineRule="auto"/>
        <w:tabs>
          <w:tab w:leader="none" w:pos="8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Subsidiary is a party to, or otherwise subject to any legal, regulatory, contractual or other restriction (other than this Agreement, the agreements listed on </w:t>
      </w:r>
      <w:r>
        <w:rPr>
          <w:rFonts w:ascii="Times New Roman" w:cs="Times New Roman" w:eastAsia="Times New Roman" w:hAnsi="Times New Roman"/>
          <w:sz w:val="22"/>
          <w:szCs w:val="22"/>
          <w:b w:val="1"/>
          <w:bCs w:val="1"/>
          <w:color w:val="auto"/>
        </w:rPr>
        <w:t>Schedule 5.4</w:t>
      </w:r>
      <w:r>
        <w:rPr>
          <w:rFonts w:ascii="Times New Roman" w:cs="Times New Roman" w:eastAsia="Times New Roman" w:hAnsi="Times New Roman"/>
          <w:sz w:val="22"/>
          <w:szCs w:val="22"/>
          <w:color w:val="auto"/>
        </w:rPr>
        <w:t xml:space="preserve"> and customary limitations imposed by corporate or utility regulatory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 in an amount substantially inconsistent with the past practice of such Subsidiary.</w:t>
      </w:r>
    </w:p>
    <w:p>
      <w:pPr>
        <w:spacing w:after="0" w:line="3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line="253" w:lineRule="exact"/>
        <w:tabs>
          <w:tab w:leader="none" w:pos="8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The Company is a Wholly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Owned Subsidiary of Unitil.</w:t>
      </w:r>
    </w:p>
    <w:p>
      <w:pPr>
        <w:spacing w:after="0" w:line="277" w:lineRule="exact"/>
        <w:rPr>
          <w:sz w:val="20"/>
          <w:szCs w:val="20"/>
          <w:color w:val="auto"/>
        </w:rPr>
      </w:pPr>
    </w:p>
    <w:p>
      <w:pPr>
        <w:jc w:val="both"/>
        <w:ind w:right="100"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5.5. Financial Statements; Material Liabilities </w:t>
      </w:r>
      <w:r>
        <w:rPr>
          <w:rFonts w:ascii="Times New Roman" w:cs="Times New Roman" w:eastAsia="Times New Roman" w:hAnsi="Times New Roman"/>
          <w:sz w:val="22"/>
          <w:szCs w:val="22"/>
          <w:color w:val="auto"/>
        </w:rPr>
        <w:t>TC "Section 5.5. Financial Statements; Material Liabilities" \f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"2" . The Company has delivered to each Purchaser copies of the consolidated financial statements of the Company and its Subsidiaries listed on </w:t>
      </w:r>
      <w:r>
        <w:rPr>
          <w:rFonts w:ascii="Times New Roman" w:cs="Times New Roman" w:eastAsia="Times New Roman" w:hAnsi="Times New Roman"/>
          <w:sz w:val="22"/>
          <w:szCs w:val="22"/>
          <w:b w:val="1"/>
          <w:bCs w:val="1"/>
          <w:color w:val="auto"/>
        </w:rPr>
        <w:t>Schedule 5.5</w:t>
      </w:r>
      <w:r>
        <w:rPr>
          <w:rFonts w:ascii="Times New Roman" w:cs="Times New Roman" w:eastAsia="Times New Roman" w:hAnsi="Times New Roman"/>
          <w:sz w:val="22"/>
          <w:szCs w:val="22"/>
          <w:color w:val="auto"/>
        </w:rPr>
        <w:t>. All of said consolidated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on such financial statements or otherwise disclosed in the Disclosure Documents except liabilities, as would not, individually or in the aggregate, be reasonably expected to have a Material Adverse Effect.</w:t>
      </w:r>
    </w:p>
    <w:p>
      <w:pPr>
        <w:spacing w:after="0" w:line="220" w:lineRule="exact"/>
        <w:rPr>
          <w:sz w:val="20"/>
          <w:szCs w:val="20"/>
          <w:color w:val="auto"/>
        </w:rPr>
      </w:pPr>
    </w:p>
    <w:p>
      <w:pPr>
        <w:ind w:left="440"/>
        <w:spacing w:after="0"/>
        <w:tabs>
          <w:tab w:leader="none" w:pos="1720" w:val="left"/>
          <w:tab w:leader="none" w:pos="7760" w:val="left"/>
        </w:tabs>
        <w:rPr>
          <w:sz w:val="20"/>
          <w:szCs w:val="20"/>
          <w:color w:val="auto"/>
        </w:rPr>
      </w:pPr>
      <w:r>
        <w:rPr>
          <w:rFonts w:ascii="Times New Roman" w:cs="Times New Roman" w:eastAsia="Times New Roman" w:hAnsi="Times New Roman"/>
          <w:sz w:val="22"/>
          <w:szCs w:val="22"/>
          <w:i w:val="1"/>
          <w:iCs w:val="1"/>
          <w:color w:val="auto"/>
        </w:rPr>
        <w:t>Section 5.6.</w:t>
        <w:tab/>
        <w:t xml:space="preserve">Compliance with Laws, Other Instruments, Etc </w:t>
      </w:r>
      <w:r>
        <w:rPr>
          <w:rFonts w:ascii="Times New Roman" w:cs="Times New Roman" w:eastAsia="Times New Roman" w:hAnsi="Times New Roman"/>
          <w:sz w:val="22"/>
          <w:szCs w:val="22"/>
          <w:color w:val="auto"/>
        </w:rPr>
        <w:t>TC "Section 5.6.</w:t>
      </w:r>
      <w:r>
        <w:rPr>
          <w:sz w:val="20"/>
          <w:szCs w:val="20"/>
          <w:color w:val="auto"/>
        </w:rPr>
        <w:tab/>
      </w:r>
      <w:r>
        <w:rPr>
          <w:rFonts w:ascii="Times New Roman" w:cs="Times New Roman" w:eastAsia="Times New Roman" w:hAnsi="Times New Roman"/>
          <w:sz w:val="21"/>
          <w:szCs w:val="21"/>
          <w:color w:val="auto"/>
        </w:rPr>
        <w:t>Compliance with Laws, Other Instrumen</w:t>
      </w:r>
    </w:p>
    <w:p>
      <w:pPr>
        <w:spacing w:after="0" w:line="18"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21"/>
          <w:szCs w:val="21"/>
          <w:color w:val="auto"/>
        </w:rPr>
        <w:t>Etc" \f C \l "2" . The execution, delivery and performance by the Company of this Agreement and the Notes will not (i) contravene, result in any breach of, or constitute a default under, or result in the creation of any Lien prohibited by this Agreement in respect of any property of the Company or any Subsidiary under, any indenture, mortgage, deed of trust, loan, purchase or credit agreement, lease, corporate charter or by-laws, members agreement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 except, in each case, as would not reasonably be expected to have a Material Adverse Effect.</w:t>
      </w:r>
    </w:p>
    <w:p>
      <w:pPr>
        <w:spacing w:after="0" w:line="215" w:lineRule="exact"/>
        <w:rPr>
          <w:sz w:val="20"/>
          <w:szCs w:val="20"/>
          <w:color w:val="auto"/>
        </w:rPr>
      </w:pPr>
    </w:p>
    <w:p>
      <w:pPr>
        <w:ind w:right="100" w:firstLine="432"/>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Section 5.7. Governmental Authorizations, Etc </w:t>
      </w:r>
      <w:r>
        <w:rPr>
          <w:rFonts w:ascii="Times New Roman" w:cs="Times New Roman" w:eastAsia="Times New Roman" w:hAnsi="Times New Roman"/>
          <w:sz w:val="21"/>
          <w:szCs w:val="21"/>
          <w:color w:val="auto"/>
        </w:rPr>
        <w:t>TC "Section 5.7. Governmental Authorizations, Etc" \f C \l "2" .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is subject to regulation by the MDPU with respect to retail rates, adequacy of service, issuance of securities, accounting and other matters and to regulation by FERC under the Energy Policy Act of 2005 in regards to certain bookkeeping, accounting and reporting requirements, and under the Federal Power Act, as amended by Public Utility Regulatory Policies Act (PURPA), the Energy Policy Act of 1992 and the Energy Policy Act of 2005 with respect to wholesale rates for transmission. The issuance and sale of the Notes have been authorized by an order of the MDPU, which order has become final and the applicable waiting or appeal period (including any extension thereof) has expired with no appeals filed during such periods. No consent, approval or authorization of, or registration, filing or declaration with any Governmental Authority is required in connection with the execution, delivery or performance by the Company of this Agreement or the Notes other than (i) the orders of the MDPU referenced above or (ii) as may be required under applicable state securities or blue sky laws.</w:t>
      </w:r>
    </w:p>
    <w:p>
      <w:pPr>
        <w:spacing w:after="0" w:line="3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color w:val="auto"/>
        </w:rPr>
        <w:t>Fitchburg Gas and Electric Light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ectPr>
          <w:pgSz w:w="11900" w:h="16838" w:orient="portrait"/>
          <w:cols w:equalWidth="0" w:num="2">
            <w:col w:w="3740" w:space="160"/>
            <w:col w:w="7440"/>
          </w:cols>
          <w:pgMar w:left="320" w:top="760"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40"/>
        <w:spacing w:after="0"/>
        <w:tabs>
          <w:tab w:leader="none" w:pos="1720" w:val="left"/>
          <w:tab w:leader="none" w:pos="9060" w:val="left"/>
        </w:tabs>
        <w:rPr>
          <w:sz w:val="20"/>
          <w:szCs w:val="20"/>
          <w:color w:val="auto"/>
        </w:rPr>
      </w:pPr>
      <w:r>
        <w:rPr>
          <w:rFonts w:ascii="Times New Roman" w:cs="Times New Roman" w:eastAsia="Times New Roman" w:hAnsi="Times New Roman"/>
          <w:sz w:val="22"/>
          <w:szCs w:val="22"/>
          <w:i w:val="1"/>
          <w:iCs w:val="1"/>
          <w:color w:val="auto"/>
        </w:rPr>
        <w:t>Section 5.8.</w:t>
        <w:tab/>
        <w:t xml:space="preserve">Litigation; Observance of Agreements, Statutes and Orders  </w:t>
      </w:r>
      <w:r>
        <w:rPr>
          <w:rFonts w:ascii="Times New Roman" w:cs="Times New Roman" w:eastAsia="Times New Roman" w:hAnsi="Times New Roman"/>
          <w:sz w:val="22"/>
          <w:szCs w:val="22"/>
          <w:color w:val="auto"/>
        </w:rPr>
        <w:t>TC "Section 5.8.</w:t>
      </w:r>
      <w:r>
        <w:rPr>
          <w:sz w:val="20"/>
          <w:szCs w:val="20"/>
          <w:color w:val="auto"/>
        </w:rPr>
        <w:tab/>
      </w:r>
      <w:r>
        <w:rPr>
          <w:rFonts w:ascii="Times New Roman" w:cs="Times New Roman" w:eastAsia="Times New Roman" w:hAnsi="Times New Roman"/>
          <w:sz w:val="21"/>
          <w:szCs w:val="21"/>
          <w:color w:val="auto"/>
        </w:rPr>
        <w:t>Litigation; Observance of</w:t>
      </w:r>
    </w:p>
    <w:p>
      <w:pPr>
        <w:sectPr>
          <w:pgSz w:w="11900" w:h="16838" w:orient="portrait"/>
          <w:cols w:equalWidth="0" w:num="1">
            <w:col w:w="11340"/>
          </w:cols>
          <w:pgMar w:left="320" w:top="760" w:right="239" w:bottom="1440" w:gutter="0" w:footer="0" w:header="0"/>
          <w:type w:val="continuous"/>
        </w:sectPr>
      </w:pPr>
    </w:p>
    <w:p>
      <w:pPr>
        <w:spacing w:after="0" w:line="33" w:lineRule="exact"/>
        <w:rPr>
          <w:sz w:val="20"/>
          <w:szCs w:val="20"/>
          <w:color w:val="auto"/>
        </w:rPr>
      </w:pPr>
    </w:p>
    <w:p>
      <w:pPr>
        <w:jc w:val="both"/>
        <w:ind w:right="100"/>
        <w:spacing w:after="0" w:line="230" w:lineRule="auto"/>
        <w:rPr>
          <w:sz w:val="20"/>
          <w:szCs w:val="20"/>
          <w:color w:val="auto"/>
        </w:rPr>
      </w:pPr>
      <w:r>
        <w:rPr>
          <w:rFonts w:ascii="Times New Roman" w:cs="Times New Roman" w:eastAsia="Times New Roman" w:hAnsi="Times New Roman"/>
          <w:sz w:val="22"/>
          <w:szCs w:val="22"/>
          <w:color w:val="auto"/>
        </w:rPr>
        <w:t>Agreements, Statutes and Orders" \f C \l "2" . (a) Other than as described below and except as disclosed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206" w:lineRule="exact"/>
        <w:rPr>
          <w:sz w:val="20"/>
          <w:szCs w:val="20"/>
          <w:color w:val="auto"/>
        </w:rPr>
      </w:pPr>
    </w:p>
    <w:p>
      <w:pPr>
        <w:jc w:val="both"/>
        <w:ind w:right="100" w:firstLine="440"/>
        <w:spacing w:after="0" w:line="236" w:lineRule="auto"/>
        <w:tabs>
          <w:tab w:leader="none" w:pos="86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the Disclosure Documents, neither the Company nor any Subsidiary is (i) in default under any term of any agreement or instrument to which it is a party or by which it is bound, (ii) in violation of any order, judgment, decree or ruling of any court, arbitrator or Governmental Authority or (iii) in violation of any applicable law, ordinance, rule or regulation of any Governmental Authority (including, without limitation Environmental Laws, the USA Patriot Act or any of the other laws and regulations that are referred to in </w:t>
      </w:r>
      <w:r>
        <w:rPr>
          <w:rFonts w:ascii="Times New Roman" w:cs="Times New Roman" w:eastAsia="Times New Roman" w:hAnsi="Times New Roman"/>
          <w:sz w:val="22"/>
          <w:szCs w:val="22"/>
          <w:b w:val="1"/>
          <w:bCs w:val="1"/>
          <w:color w:val="auto"/>
        </w:rPr>
        <w:t>Section 5.16</w:t>
      </w:r>
      <w:r>
        <w:rPr>
          <w:rFonts w:ascii="Times New Roman" w:cs="Times New Roman" w:eastAsia="Times New Roman" w:hAnsi="Times New Roman"/>
          <w:sz w:val="22"/>
          <w:szCs w:val="22"/>
          <w:color w:val="auto"/>
        </w:rPr>
        <w:t>), in each case which default or violation, individually or in the aggregate, would reasonably be expected to have a Material Adverse Effect.</w:t>
      </w:r>
    </w:p>
    <w:p>
      <w:pPr>
        <w:spacing w:after="0" w:line="218" w:lineRule="exact"/>
        <w:rPr>
          <w:sz w:val="20"/>
          <w:szCs w:val="20"/>
          <w:color w:val="auto"/>
        </w:rPr>
      </w:pPr>
    </w:p>
    <w:p>
      <w:pPr>
        <w:ind w:left="440"/>
        <w:spacing w:after="0"/>
        <w:tabs>
          <w:tab w:leader="none" w:pos="1720" w:val="left"/>
          <w:tab w:leader="none" w:pos="2440" w:val="left"/>
          <w:tab w:leader="none" w:pos="4300" w:val="left"/>
          <w:tab w:leader="none" w:pos="9380" w:val="left"/>
        </w:tabs>
        <w:rPr>
          <w:sz w:val="20"/>
          <w:szCs w:val="20"/>
          <w:color w:val="auto"/>
        </w:rPr>
      </w:pPr>
      <w:r>
        <w:rPr>
          <w:rFonts w:ascii="Times New Roman" w:cs="Times New Roman" w:eastAsia="Times New Roman" w:hAnsi="Times New Roman"/>
          <w:sz w:val="22"/>
          <w:szCs w:val="22"/>
          <w:i w:val="1"/>
          <w:iCs w:val="1"/>
          <w:color w:val="auto"/>
        </w:rPr>
        <w:t>Section 5.9.</w:t>
        <w:tab/>
        <w:t>Taxes</w:t>
      </w:r>
      <w:r>
        <w:rPr>
          <w:sz w:val="20"/>
          <w:szCs w:val="20"/>
          <w:color w:val="auto"/>
        </w:rPr>
        <w:tab/>
      </w:r>
      <w:r>
        <w:rPr>
          <w:rFonts w:ascii="Times New Roman" w:cs="Times New Roman" w:eastAsia="Times New Roman" w:hAnsi="Times New Roman"/>
          <w:sz w:val="22"/>
          <w:szCs w:val="22"/>
          <w:color w:val="auto"/>
        </w:rPr>
        <w:t>TC "Section 5.9.</w:t>
      </w:r>
      <w:r>
        <w:rPr>
          <w:sz w:val="20"/>
          <w:szCs w:val="20"/>
          <w:color w:val="auto"/>
        </w:rPr>
        <w:tab/>
      </w:r>
      <w:r>
        <w:rPr>
          <w:rFonts w:ascii="Times New Roman" w:cs="Times New Roman" w:eastAsia="Times New Roman" w:hAnsi="Times New Roman"/>
          <w:sz w:val="22"/>
          <w:szCs w:val="22"/>
          <w:color w:val="auto"/>
        </w:rPr>
        <w:t>Taxes........................................................." \f C \l "2" .</w:t>
        <w:tab/>
        <w:t>The Company and its</w:t>
      </w:r>
    </w:p>
    <w:p>
      <w:pPr>
        <w:spacing w:after="0" w:line="18"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21"/>
          <w:szCs w:val="21"/>
          <w:color w:val="auto"/>
        </w:rPr>
        <w:t>Subsidiaries have filed all income, franchise and other Material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individually or in the aggregate, reasonably be expected to have a Material Adverse Effect. The charges, accruals and reserves on the books of the Company and its Subsidiaries in respect of income taxes for all fiscal periods are recognized in accordance with GAAP, and, except as disclosed in the Disclosure Documents, the Company knows of no Material unpaid assessment for additional income taxes for any fiscal period or any reasonable basis therefor. As of the date of this Agreement, the federal income tax liabilities of the Company and its Subsidiaries have been finally determined (whether by reason of completed audits or the statute of limitations having run) for all fiscal years up to and including the fiscal year ended December 31, 2021.</w:t>
      </w:r>
    </w:p>
    <w:p>
      <w:pPr>
        <w:spacing w:after="0" w:line="222"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5.10. Title to Property; Leases </w:t>
      </w:r>
      <w:r>
        <w:rPr>
          <w:rFonts w:ascii="Times New Roman" w:cs="Times New Roman" w:eastAsia="Times New Roman" w:hAnsi="Times New Roman"/>
          <w:sz w:val="22"/>
          <w:szCs w:val="22"/>
          <w:color w:val="auto"/>
        </w:rPr>
        <w:t>TC "Section 5.10. Title to Property; Leases" \f C \l "2" . The Company and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Subsidiaries have good and sufficient title to their respective properties that individually or in the aggregate are Material, including all such properties reflected in the most recent audited balance sheet referred to in </w:t>
      </w:r>
      <w:r>
        <w:rPr>
          <w:rFonts w:ascii="Times New Roman" w:cs="Times New Roman" w:eastAsia="Times New Roman" w:hAnsi="Times New Roman"/>
          <w:sz w:val="22"/>
          <w:szCs w:val="22"/>
          <w:b w:val="1"/>
          <w:bCs w:val="1"/>
          <w:color w:val="auto"/>
        </w:rPr>
        <w:t>Section 5.5</w:t>
      </w:r>
      <w:r>
        <w:rPr>
          <w:rFonts w:ascii="Times New Roman" w:cs="Times New Roman" w:eastAsia="Times New Roman" w:hAnsi="Times New Roman"/>
          <w:sz w:val="22"/>
          <w:szCs w:val="22"/>
          <w:color w:val="auto"/>
        </w:rPr>
        <w:t xml:space="preserve"> (other than leases relating to property not owned by the Company and required to be reflected on a balance sheet in accordance with GAAP) or purported to have been acquired by the Company or any Subsidiary after said date (except as sold or otherwise disposed of in the ordinary course of business), in each case free and clear of Liens prohibited by this Agreement, except for those defects in title and Liens that, individually or in the aggregate, would not reasonably be expected to have a Material Adverse</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Effect. All leases that individually or in the aggregate are Material are valid and subsisting and are in full force and effect in all material respects.</w:t>
      </w:r>
    </w:p>
    <w:p>
      <w:pPr>
        <w:spacing w:after="0" w:line="181"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5.11. Licenses, Permits, Etc </w:t>
      </w:r>
      <w:r>
        <w:rPr>
          <w:rFonts w:ascii="Times New Roman" w:cs="Times New Roman" w:eastAsia="Times New Roman" w:hAnsi="Times New Roman"/>
          <w:sz w:val="22"/>
          <w:szCs w:val="22"/>
          <w:color w:val="auto"/>
        </w:rPr>
        <w:t>TC "Section 5.11. Licenses, Permits, Etc" \f C \l "2" . (a) The Company and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in each case for such lack of ownership or possession or for those conflicts that, individually or in the aggregate, would not reasonably be expected to have a Material Adverse Effect.</w:t>
      </w:r>
    </w:p>
    <w:p>
      <w:pPr>
        <w:spacing w:after="0" w:line="221" w:lineRule="exact"/>
        <w:rPr>
          <w:sz w:val="20"/>
          <w:szCs w:val="20"/>
          <w:color w:val="auto"/>
        </w:rPr>
      </w:pPr>
    </w:p>
    <w:p>
      <w:pPr>
        <w:jc w:val="both"/>
        <w:ind w:firstLine="440"/>
        <w:spacing w:after="0" w:line="261" w:lineRule="auto"/>
        <w:tabs>
          <w:tab w:leader="none" w:pos="86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Company, there is no Material violation by any Person of any right of the Company or any of its Subsidiaries with respect to any patent, copyright, proprietary software, service mark, trademark, trade name or other right owned or used by the Company or any of its Subsidiaries that would reasonably be expected to have a Material Adverse Effect.</w:t>
      </w:r>
    </w:p>
    <w:p>
      <w:pPr>
        <w:spacing w:after="0" w:line="194" w:lineRule="exact"/>
        <w:rPr>
          <w:sz w:val="20"/>
          <w:szCs w:val="20"/>
          <w:color w:val="auto"/>
        </w:rPr>
      </w:pPr>
    </w:p>
    <w:p>
      <w:pPr>
        <w:ind w:firstLine="445"/>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5.12. Compliance with ERISA </w:t>
      </w:r>
      <w:r>
        <w:rPr>
          <w:rFonts w:ascii="Times New Roman" w:cs="Times New Roman" w:eastAsia="Times New Roman" w:hAnsi="Times New Roman"/>
          <w:sz w:val="22"/>
          <w:szCs w:val="22"/>
          <w:color w:val="auto"/>
        </w:rPr>
        <w:t>TC "Section 5.12. Compliance with ERISA" \f C \l "2" . (a) The Company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ERISA Affiliate have operated and administered each Plan in compliance with all applicable laws except for such instances of noncompliance as have not resulted in and would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prohibited by this Agreement on any of the rights, properties or assets of the Company or any ERISA Affiliate, in either case pursuant to Title I or IV of ERISA to Section 430(k) of the Code or to any such penalty or excise tax provisions under the Code or federal law or Section 4068 of ERISA or by the granting of a security interest in connection with the amendment of a Plan, other than such liabilities or Liens (i) as would not be individually or in the aggregate Material or (ii) that have been discharged.</w:t>
      </w:r>
    </w:p>
    <w:p>
      <w:pPr>
        <w:spacing w:after="0" w:line="207" w:lineRule="exact"/>
        <w:rPr>
          <w:sz w:val="20"/>
          <w:szCs w:val="20"/>
          <w:color w:val="auto"/>
        </w:rPr>
      </w:pPr>
    </w:p>
    <w:p>
      <w:pPr>
        <w:jc w:val="both"/>
        <w:ind w:firstLine="440"/>
        <w:spacing w:after="0" w:line="239" w:lineRule="auto"/>
        <w:tabs>
          <w:tab w:leader="none" w:pos="86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Plans that are subject to the minimum funding requirements of Section 412 of the Code or Section 302 of ERISA, nor any trust established thereunder, have incurred any “accumulated funding deficiency” or “liquidity shortfall” (as those terms are defined in Section 302 of ERISA or Section 412 of the Code), whether or not waived, other than those that have been remedied.</w:t>
      </w:r>
    </w:p>
    <w:p>
      <w:pPr>
        <w:spacing w:after="0" w:line="220" w:lineRule="exact"/>
        <w:rPr>
          <w:rFonts w:ascii="Times New Roman" w:cs="Times New Roman" w:eastAsia="Times New Roman" w:hAnsi="Times New Roman"/>
          <w:sz w:val="22"/>
          <w:szCs w:val="22"/>
          <w:color w:val="auto"/>
        </w:rPr>
      </w:pPr>
    </w:p>
    <w:p>
      <w:pPr>
        <w:jc w:val="both"/>
        <w:ind w:firstLine="440"/>
        <w:spacing w:after="0" w:line="244" w:lineRule="auto"/>
        <w:tabs>
          <w:tab w:leader="none" w:pos="86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 other than such liabilities that have been discharged.</w:t>
      </w:r>
    </w:p>
    <w:p>
      <w:pPr>
        <w:spacing w:after="0" w:line="213" w:lineRule="exact"/>
        <w:rPr>
          <w:rFonts w:ascii="Times New Roman" w:cs="Times New Roman" w:eastAsia="Times New Roman" w:hAnsi="Times New Roman"/>
          <w:sz w:val="22"/>
          <w:szCs w:val="22"/>
          <w:color w:val="auto"/>
        </w:rPr>
      </w:pPr>
    </w:p>
    <w:p>
      <w:pPr>
        <w:ind w:right="20" w:firstLine="440"/>
        <w:spacing w:after="0" w:line="258" w:lineRule="auto"/>
        <w:tabs>
          <w:tab w:leader="none" w:pos="86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postretirement benefit obligations (determined as of the last day of the Company’s most recently ended fiscal year in accordance with Financial Accounting Standards</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2" w:lineRule="exact"/>
        <w:rPr>
          <w:sz w:val="20"/>
          <w:szCs w:val="20"/>
          <w:color w:val="auto"/>
        </w:rPr>
      </w:pPr>
      <w:r>
        <w:rPr>
          <w:rFonts w:ascii="Times New Roman" w:cs="Times New Roman" w:eastAsia="Times New Roman" w:hAnsi="Times New Roman"/>
          <w:sz w:val="22"/>
          <w:szCs w:val="22"/>
          <w:color w:val="auto"/>
        </w:rPr>
        <w:t>Board Accounting Standards Codification Topic 715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without regard to liabilities attributable to continuation coverage mandated by Section 4980B of the Code) of the Company and its Subsidiaries have been determined in accordance with GAAP and are reflected in footnote 8 of the Company’s audited financial statements for its most recently ended fiscal year.</w:t>
      </w:r>
    </w:p>
    <w:p>
      <w:pPr>
        <w:spacing w:after="0" w:line="204" w:lineRule="exact"/>
        <w:rPr>
          <w:sz w:val="20"/>
          <w:szCs w:val="20"/>
          <w:color w:val="auto"/>
        </w:rPr>
      </w:pPr>
    </w:p>
    <w:p>
      <w:pPr>
        <w:jc w:val="both"/>
        <w:ind w:firstLine="440"/>
        <w:spacing w:after="0" w:line="238" w:lineRule="auto"/>
        <w:tabs>
          <w:tab w:leader="none" w:pos="86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w:t>
      </w:r>
      <w:r>
        <w:rPr>
          <w:rFonts w:ascii="Times New Roman" w:cs="Times New Roman" w:eastAsia="Times New Roman" w:hAnsi="Times New Roman"/>
          <w:sz w:val="22"/>
          <w:szCs w:val="22"/>
          <w:b w:val="1"/>
          <w:bCs w:val="1"/>
          <w:color w:val="auto"/>
        </w:rPr>
        <w:t>Section 5.12(e)</w:t>
      </w:r>
      <w:r>
        <w:rPr>
          <w:rFonts w:ascii="Times New Roman" w:cs="Times New Roman" w:eastAsia="Times New Roman" w:hAnsi="Times New Roman"/>
          <w:sz w:val="22"/>
          <w:szCs w:val="22"/>
          <w:color w:val="auto"/>
        </w:rPr>
        <w:t xml:space="preserve"> is made in reliance upon and subject to the accuracy of such Purchaser’s representation in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as to the sources of the funds used to pay the purchase price of the Notes to be purchased by such Purchaser.</w:t>
      </w:r>
    </w:p>
    <w:p>
      <w:pPr>
        <w:spacing w:after="0" w:line="182" w:lineRule="exact"/>
        <w:rPr>
          <w:rFonts w:ascii="Times New Roman" w:cs="Times New Roman" w:eastAsia="Times New Roman" w:hAnsi="Times New Roman"/>
          <w:sz w:val="22"/>
          <w:szCs w:val="22"/>
          <w:color w:val="auto"/>
        </w:rPr>
      </w:pPr>
    </w:p>
    <w:p>
      <w:pPr>
        <w:ind w:left="880" w:hanging="440"/>
        <w:spacing w:after="0" w:line="253" w:lineRule="exact"/>
        <w:tabs>
          <w:tab w:leader="none" w:pos="8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do not have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w:t>
      </w:r>
    </w:p>
    <w:p>
      <w:pPr>
        <w:spacing w:after="0" w:line="291"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5.13. Private Offering by the Company </w:t>
      </w:r>
      <w:r>
        <w:rPr>
          <w:rFonts w:ascii="Times New Roman" w:cs="Times New Roman" w:eastAsia="Times New Roman" w:hAnsi="Times New Roman"/>
          <w:sz w:val="21"/>
          <w:szCs w:val="21"/>
          <w:color w:val="auto"/>
        </w:rPr>
        <w:t>TC "Section 5.13. Private Offering by the Company" \f C \l "2" . Neither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nor anyone acting on its behalf has offered the Notes or any similar securities for sale to, solicited any offer to buy any of the same from, or otherwise approached or negotiated in respect thereof with, any Person other than not more than eight</w:t>
      </w:r>
    </w:p>
    <w:p>
      <w:pPr>
        <w:spacing w:after="0" w:line="2" w:lineRule="exact"/>
        <w:rPr>
          <w:sz w:val="20"/>
          <w:szCs w:val="20"/>
          <w:color w:val="auto"/>
        </w:rPr>
      </w:pPr>
    </w:p>
    <w:p>
      <w:pPr>
        <w:jc w:val="both"/>
        <w:ind w:firstLine="8"/>
        <w:spacing w:after="0" w:line="245" w:lineRule="auto"/>
        <w:tabs>
          <w:tab w:leader="none" w:pos="32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Institutional Investors (including the Purchasers), each of which has been offered the Notes at a private sale for investment (treating all Persons that are affiliated with each other as one offeree). Neither the Company nor anyone acting on its behalf has taken, or will take, any action that would subject the issuance or sale of the Notes to the registration requirements of Section 5 of the Securities Act. The representation and warranty by the Company to each Purchaser in the second sentence of this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5.13 </w:t>
      </w:r>
      <w:r>
        <w:rPr>
          <w:rFonts w:ascii="Times New Roman" w:cs="Times New Roman" w:eastAsia="Times New Roman" w:hAnsi="Times New Roman"/>
          <w:sz w:val="21"/>
          <w:szCs w:val="21"/>
          <w:color w:val="auto"/>
        </w:rPr>
        <w:t>is made in reliance upon and subject to the accuracy of the Purchasers’ representations in</w:t>
      </w:r>
      <w:r>
        <w:rPr>
          <w:rFonts w:ascii="Times New Roman" w:cs="Times New Roman" w:eastAsia="Times New Roman" w:hAnsi="Times New Roman"/>
          <w:sz w:val="21"/>
          <w:szCs w:val="21"/>
          <w:b w:val="1"/>
          <w:bCs w:val="1"/>
          <w:color w:val="auto"/>
        </w:rPr>
        <w:t xml:space="preserve"> Section 6.1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Section 6.4</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440"/>
        <w:spacing w:after="0"/>
        <w:tabs>
          <w:tab w:leader="none" w:pos="1720" w:val="left"/>
          <w:tab w:leader="none" w:pos="6900" w:val="left"/>
        </w:tabs>
        <w:rPr>
          <w:sz w:val="20"/>
          <w:szCs w:val="20"/>
          <w:color w:val="auto"/>
        </w:rPr>
      </w:pPr>
      <w:r>
        <w:rPr>
          <w:rFonts w:ascii="Times New Roman" w:cs="Times New Roman" w:eastAsia="Times New Roman" w:hAnsi="Times New Roman"/>
          <w:sz w:val="22"/>
          <w:szCs w:val="22"/>
          <w:i w:val="1"/>
          <w:iCs w:val="1"/>
          <w:color w:val="auto"/>
        </w:rPr>
        <w:t>Section 5.14.</w:t>
        <w:tab/>
        <w:t xml:space="preserve">Use of Proceeds; Margin Regulations </w:t>
      </w:r>
      <w:r>
        <w:rPr>
          <w:rFonts w:ascii="Times New Roman" w:cs="Times New Roman" w:eastAsia="Times New Roman" w:hAnsi="Times New Roman"/>
          <w:sz w:val="22"/>
          <w:szCs w:val="22"/>
          <w:color w:val="auto"/>
        </w:rPr>
        <w:t>TC "Section 5.14.</w:t>
      </w:r>
      <w:r>
        <w:rPr>
          <w:sz w:val="20"/>
          <w:szCs w:val="20"/>
          <w:color w:val="auto"/>
        </w:rPr>
        <w:tab/>
      </w:r>
      <w:r>
        <w:rPr>
          <w:rFonts w:ascii="Times New Roman" w:cs="Times New Roman" w:eastAsia="Times New Roman" w:hAnsi="Times New Roman"/>
          <w:sz w:val="21"/>
          <w:szCs w:val="21"/>
          <w:color w:val="auto"/>
        </w:rPr>
        <w:t>Use of Proceeds; Margin Regulations" \f C \l "2"</w:t>
      </w:r>
    </w:p>
    <w:p>
      <w:pPr>
        <w:spacing w:after="0" w:line="18" w:lineRule="exact"/>
        <w:rPr>
          <w:sz w:val="20"/>
          <w:szCs w:val="20"/>
          <w:color w:val="auto"/>
        </w:rPr>
      </w:pPr>
    </w:p>
    <w:p>
      <w:pPr>
        <w:jc w:val="both"/>
        <w:ind w:firstLine="8"/>
        <w:spacing w:after="0" w:line="244" w:lineRule="auto"/>
        <w:tabs>
          <w:tab w:leader="none" w:pos="17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will apply the proceeds of the sale of the Notes to refinance existing debt and/or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The Company does not own or carry any margin stock. As used in this Section, the terms </w:t>
      </w:r>
      <w:r>
        <w:rPr>
          <w:rFonts w:ascii="Times New Roman" w:cs="Times New Roman" w:eastAsia="Times New Roman" w:hAnsi="Times New Roman"/>
          <w:sz w:val="21"/>
          <w:szCs w:val="21"/>
          <w:i w:val="1"/>
          <w:iCs w:val="1"/>
          <w:color w:val="auto"/>
        </w:rPr>
        <w:t>“margin stock”</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“purpose of buying or carrying”</w:t>
      </w:r>
      <w:r>
        <w:rPr>
          <w:rFonts w:ascii="Times New Roman" w:cs="Times New Roman" w:eastAsia="Times New Roman" w:hAnsi="Times New Roman"/>
          <w:sz w:val="21"/>
          <w:szCs w:val="21"/>
          <w:color w:val="auto"/>
        </w:rPr>
        <w:t xml:space="preserve"> shall have the meanings assigned to them in said Regulation U.</w:t>
      </w:r>
    </w:p>
    <w:p>
      <w:pPr>
        <w:spacing w:after="0" w:line="211" w:lineRule="exact"/>
        <w:rPr>
          <w:sz w:val="20"/>
          <w:szCs w:val="20"/>
          <w:color w:val="auto"/>
        </w:rPr>
      </w:pPr>
    </w:p>
    <w:p>
      <w:pPr>
        <w:ind w:left="440"/>
        <w:spacing w:after="0"/>
        <w:tabs>
          <w:tab w:leader="none" w:pos="1720" w:val="left"/>
          <w:tab w:leader="none" w:pos="6900" w:val="left"/>
        </w:tabs>
        <w:rPr>
          <w:sz w:val="20"/>
          <w:szCs w:val="20"/>
          <w:color w:val="auto"/>
        </w:rPr>
      </w:pPr>
      <w:r>
        <w:rPr>
          <w:rFonts w:ascii="Times New Roman" w:cs="Times New Roman" w:eastAsia="Times New Roman" w:hAnsi="Times New Roman"/>
          <w:sz w:val="22"/>
          <w:szCs w:val="22"/>
          <w:i w:val="1"/>
          <w:iCs w:val="1"/>
          <w:color w:val="auto"/>
        </w:rPr>
        <w:t>Section 5.15.</w:t>
        <w:tab/>
        <w:t xml:space="preserve">Existing Indebtedness; Future Liens </w:t>
      </w:r>
      <w:r>
        <w:rPr>
          <w:rFonts w:ascii="Times New Roman" w:cs="Times New Roman" w:eastAsia="Times New Roman" w:hAnsi="Times New Roman"/>
          <w:sz w:val="22"/>
          <w:szCs w:val="22"/>
          <w:color w:val="auto"/>
        </w:rPr>
        <w:t>TC "Section 5.15.</w:t>
      </w:r>
      <w:r>
        <w:rPr>
          <w:sz w:val="20"/>
          <w:szCs w:val="20"/>
          <w:color w:val="auto"/>
        </w:rPr>
        <w:tab/>
      </w:r>
      <w:r>
        <w:rPr>
          <w:rFonts w:ascii="Times New Roman" w:cs="Times New Roman" w:eastAsia="Times New Roman" w:hAnsi="Times New Roman"/>
          <w:sz w:val="22"/>
          <w:szCs w:val="22"/>
          <w:color w:val="auto"/>
        </w:rPr>
        <w:t xml:space="preserve">Existing Indebtedness; Future Liens" \f C \l "2" </w:t>
      </w:r>
      <w:r>
        <w:rPr>
          <w:rFonts w:ascii="Times New Roman" w:cs="Times New Roman" w:eastAsia="Times New Roman" w:hAnsi="Times New Roman"/>
          <w:sz w:val="22"/>
          <w:szCs w:val="22"/>
          <w:i w:val="1"/>
          <w:iCs w:val="1"/>
          <w:color w:val="auto"/>
        </w:rPr>
        <w:t>.</w:t>
      </w:r>
    </w:p>
    <w:p>
      <w:pPr>
        <w:spacing w:after="0" w:line="18" w:lineRule="exact"/>
        <w:rPr>
          <w:sz w:val="20"/>
          <w:szCs w:val="20"/>
          <w:color w:val="auto"/>
        </w:rPr>
      </w:pPr>
    </w:p>
    <w:p>
      <w:pPr>
        <w:jc w:val="both"/>
        <w:ind w:firstLine="8"/>
        <w:spacing w:after="0" w:line="233" w:lineRule="auto"/>
        <w:tabs>
          <w:tab w:leader="none" w:pos="32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therein, </w:t>
      </w:r>
      <w:r>
        <w:rPr>
          <w:rFonts w:ascii="Times New Roman" w:cs="Times New Roman" w:eastAsia="Times New Roman" w:hAnsi="Times New Roman"/>
          <w:sz w:val="22"/>
          <w:szCs w:val="22"/>
          <w:b w:val="1"/>
          <w:bCs w:val="1"/>
          <w:color w:val="auto"/>
        </w:rPr>
        <w:t>Schedule 5.15</w:t>
      </w:r>
      <w:r>
        <w:rPr>
          <w:rFonts w:ascii="Times New Roman" w:cs="Times New Roman" w:eastAsia="Times New Roman" w:hAnsi="Times New Roman"/>
          <w:sz w:val="22"/>
          <w:szCs w:val="22"/>
          <w:color w:val="auto"/>
        </w:rPr>
        <w:t xml:space="preserve"> sets forth a complete and correct list of all outstanding Indebtedness of the Company and its Subsidiaries as of December 31, 2025 (including a description of the obligors and obligees, principal amount outstanding and collateral therefor, if any, and Guaranty thereof, if any), since which date there has been no Material change in the amounts, interest rates, sinking funds, installment payments or maturities of the Indebtedness of the Company or its Subsidiaries. Neither the Company nor any</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Subsidiary is in default and no waiver of default is currently in effect, in the payment of any principal or interest on any Indebtedness of the Company or such Subsidiary and no event or condition exists with respect to any Indebtedness of the Company or any Subsidiary with an outstanding principal amount in excess of $4,000,000 that would permit (or that with notice or the lapse of time, or both, would permit) one or more Persons to cause such Indebtedness to become due and payable before its stated maturity or before its regularly scheduled dates of payment.</w:t>
      </w:r>
    </w:p>
    <w:p>
      <w:pPr>
        <w:spacing w:after="0" w:line="204" w:lineRule="exact"/>
        <w:rPr>
          <w:sz w:val="20"/>
          <w:szCs w:val="20"/>
          <w:color w:val="auto"/>
        </w:rPr>
      </w:pPr>
    </w:p>
    <w:p>
      <w:pPr>
        <w:jc w:val="both"/>
        <w:ind w:right="100" w:firstLine="440"/>
        <w:spacing w:after="0" w:line="244" w:lineRule="auto"/>
        <w:tabs>
          <w:tab w:leader="none" w:pos="8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Company nor any Subsidiary has agreed or consented to cause or permit in the future (upon the happening of a contingency or otherwise) any of its property, whether now owned or hereafter acquired, to be subject to a Lien not permitted by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jc w:val="both"/>
        <w:ind w:right="100" w:firstLine="440"/>
        <w:spacing w:after="0" w:line="241" w:lineRule="auto"/>
        <w:tabs>
          <w:tab w:leader="none" w:pos="8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b w:val="1"/>
          <w:bCs w:val="1"/>
          <w:color w:val="auto"/>
        </w:rPr>
        <w:t>Schedule 5.15</w:t>
      </w:r>
      <w:r>
        <w:rPr>
          <w:rFonts w:ascii="Times New Roman" w:cs="Times New Roman" w:eastAsia="Times New Roman" w:hAnsi="Times New Roman"/>
          <w:sz w:val="22"/>
          <w:szCs w:val="22"/>
          <w:color w:val="auto"/>
        </w:rPr>
        <w:t>, neither the Company nor any Subsidiary is a party to, or otherwise subject to any provision contained in, any instrument evidencing Funded Indebtedness of the Company or such Subsidiary, any agreement relating thereto or any other agreement (including, but not limited to, its charter or other organizational document) which limits the amount of, or otherwise imposes restrictions on the incurring of, Funded Indebtedness of the Company.</w:t>
      </w:r>
    </w:p>
    <w:p>
      <w:pPr>
        <w:spacing w:after="0" w:line="212"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5.16. Foreign Assets Control Regulations, Etc </w:t>
      </w:r>
      <w:r>
        <w:rPr>
          <w:rFonts w:ascii="Times New Roman" w:cs="Times New Roman" w:eastAsia="Times New Roman" w:hAnsi="Times New Roman"/>
          <w:sz w:val="22"/>
          <w:szCs w:val="22"/>
          <w:color w:val="auto"/>
        </w:rPr>
        <w:t>TC "Section 5.16. Foreign Assets Control Regulations, Etc" \f 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 . (a) 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spacing w:after="0" w:line="203" w:lineRule="exact"/>
        <w:rPr>
          <w:sz w:val="20"/>
          <w:szCs w:val="20"/>
          <w:color w:val="auto"/>
        </w:rPr>
      </w:pPr>
    </w:p>
    <w:p>
      <w:pPr>
        <w:ind w:right="100" w:firstLine="440"/>
        <w:spacing w:after="0" w:line="267" w:lineRule="exact"/>
        <w:tabs>
          <w:tab w:leader="none" w:pos="86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8"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from the sale of the Notes hereunder:</w:t>
      </w:r>
    </w:p>
    <w:p>
      <w:pPr>
        <w:spacing w:after="0" w:line="246" w:lineRule="exact"/>
        <w:rPr>
          <w:rFonts w:ascii="Times New Roman" w:cs="Times New Roman" w:eastAsia="Times New Roman" w:hAnsi="Times New Roman"/>
          <w:sz w:val="22"/>
          <w:szCs w:val="22"/>
          <w:color w:val="auto"/>
        </w:rPr>
      </w:pPr>
    </w:p>
    <w:p>
      <w:pPr>
        <w:jc w:val="both"/>
        <w:ind w:left="760" w:right="100" w:firstLine="558"/>
        <w:spacing w:after="0" w:line="238" w:lineRule="auto"/>
        <w:tabs>
          <w:tab w:leader="none" w:pos="175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or will constitute funds obtained on behalf of any Blocked Person or will otherwise be used by the Company or any Controlled Entity, directly or indirectly, (A) in connection with any investment in, or, to the knowledge of the Company, any transactions or dealings with, any Blocked Person, (B) for any purpose that, to the knowledge of the Company, would cause any Purchaser to be in violation of any U.S. Economic Sanctions Laws or (C) to the knowledge of the Company, otherwise in violation of any U.S. Economic Sanctions Laws;</w:t>
      </w:r>
    </w:p>
    <w:p>
      <w:pPr>
        <w:spacing w:after="0" w:line="203" w:lineRule="exact"/>
        <w:rPr>
          <w:rFonts w:ascii="Times New Roman" w:cs="Times New Roman" w:eastAsia="Times New Roman" w:hAnsi="Times New Roman"/>
          <w:sz w:val="22"/>
          <w:szCs w:val="22"/>
          <w:color w:val="auto"/>
        </w:rPr>
      </w:pPr>
    </w:p>
    <w:p>
      <w:pPr>
        <w:ind w:left="760" w:right="100" w:firstLine="558"/>
        <w:spacing w:after="0" w:line="285" w:lineRule="exact"/>
        <w:tabs>
          <w:tab w:leader="none" w:pos="175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w:t>
      </w:r>
    </w:p>
    <w:p>
      <w:pPr>
        <w:spacing w:after="0" w:line="186" w:lineRule="exact"/>
        <w:rPr>
          <w:rFonts w:ascii="Times New Roman" w:cs="Times New Roman" w:eastAsia="Times New Roman" w:hAnsi="Times New Roman"/>
          <w:sz w:val="22"/>
          <w:szCs w:val="22"/>
          <w:color w:val="auto"/>
        </w:rPr>
      </w:pPr>
    </w:p>
    <w:p>
      <w:pPr>
        <w:ind w:left="760" w:right="140" w:firstLine="558"/>
        <w:spacing w:after="0" w:line="258" w:lineRule="auto"/>
        <w:tabs>
          <w:tab w:leader="none" w:pos="175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for the purpose of making any improper payments, including bribes, to any Governmental Official or commercial counterparty in</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right="120"/>
        <w:spacing w:after="0" w:line="285" w:lineRule="exact"/>
        <w:rPr>
          <w:sz w:val="20"/>
          <w:szCs w:val="20"/>
          <w:color w:val="auto"/>
        </w:rPr>
      </w:pPr>
      <w:r>
        <w:rPr>
          <w:rFonts w:ascii="Times New Roman" w:cs="Times New Roman" w:eastAsia="Times New Roman" w:hAnsi="Times New Roman"/>
          <w:sz w:val="21"/>
          <w:szCs w:val="21"/>
          <w:color w:val="auto"/>
        </w:rPr>
        <w:t>order to obtain, retain or direct business or obtain any improper advantage, in each case which would be in violation of, or, to the knowledge of the Company, cause any Purchaser to be in violation of, any applicable Anti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Corruption Laws.</w:t>
      </w:r>
    </w:p>
    <w:p>
      <w:pPr>
        <w:spacing w:after="0" w:line="173" w:lineRule="exact"/>
        <w:rPr>
          <w:sz w:val="20"/>
          <w:szCs w:val="20"/>
          <w:color w:val="auto"/>
        </w:rPr>
      </w:pPr>
    </w:p>
    <w:p>
      <w:pPr>
        <w:jc w:val="both"/>
        <w:ind w:right="100" w:firstLine="757"/>
        <w:spacing w:after="0" w:line="271" w:lineRule="exact"/>
        <w:tabs>
          <w:tab w:leader="none" w:pos="118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2"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5.17. Status under Certain Statutes </w:t>
      </w:r>
      <w:r>
        <w:rPr>
          <w:rFonts w:ascii="Times New Roman" w:cs="Times New Roman" w:eastAsia="Times New Roman" w:hAnsi="Times New Roman"/>
          <w:sz w:val="22"/>
          <w:szCs w:val="22"/>
          <w:color w:val="auto"/>
        </w:rPr>
        <w:t>TC "Section 5.17. Status under Certain Statutes" \f C \l "2" . Neither 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nor any Subsidiary is subject to regulation under the Investment Company Act of 1940, as amended, or the ICC Termination Act of 1995 as amended. The Company is subject to regulation under the Public Utility Holding Company Act of 2005, as amended, the Energy Policy Act of 2005, as amended, and the Federal Power Act, as amended.</w:t>
      </w:r>
    </w:p>
    <w:p>
      <w:pPr>
        <w:spacing w:after="0" w:line="212" w:lineRule="exact"/>
        <w:rPr>
          <w:sz w:val="20"/>
          <w:szCs w:val="20"/>
          <w:color w:val="auto"/>
        </w:rPr>
      </w:pPr>
    </w:p>
    <w:p>
      <w:pPr>
        <w:jc w:val="both"/>
        <w:ind w:right="100"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5.18. Environmental Matters </w:t>
      </w:r>
      <w:r>
        <w:rPr>
          <w:rFonts w:ascii="Times New Roman" w:cs="Times New Roman" w:eastAsia="Times New Roman" w:hAnsi="Times New Roman"/>
          <w:sz w:val="22"/>
          <w:szCs w:val="22"/>
          <w:color w:val="auto"/>
        </w:rPr>
        <w:t>TC "Section 5.18. Environmental Matters" \f C \l "2" . (a) Except as disclosed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Disclosure Documents, neither the Company nor any Subsidiary has knowledge of any claim or has received any notice of any claim, and no proceeding has been 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would not reasonably be expected to result in a Material Adverse Effect.</w:t>
      </w:r>
    </w:p>
    <w:p>
      <w:pPr>
        <w:spacing w:after="0" w:line="206" w:lineRule="exact"/>
        <w:rPr>
          <w:sz w:val="20"/>
          <w:szCs w:val="20"/>
          <w:color w:val="auto"/>
        </w:rPr>
      </w:pPr>
    </w:p>
    <w:p>
      <w:pPr>
        <w:jc w:val="both"/>
        <w:ind w:right="100" w:firstLine="440"/>
        <w:spacing w:after="0" w:line="244" w:lineRule="auto"/>
        <w:tabs>
          <w:tab w:leader="none" w:pos="86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Disclosure Documents, all buildings on all real properties now owned, leased or operated by the Company or any Subsidiary are in compliance with applicable Environmental Laws, except where failure to comply would not reasonably be expected to result in a Material Adverse Effect.</w:t>
      </w:r>
    </w:p>
    <w:p>
      <w:pPr>
        <w:spacing w:after="0" w:line="210" w:lineRule="exact"/>
        <w:rPr>
          <w:sz w:val="20"/>
          <w:szCs w:val="20"/>
          <w:color w:val="auto"/>
        </w:rPr>
      </w:pPr>
    </w:p>
    <w:p>
      <w:pPr>
        <w:jc w:val="both"/>
        <w:ind w:right="100"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5.19. Notes Rank Pari Passu </w:t>
      </w:r>
      <w:r>
        <w:rPr>
          <w:rFonts w:ascii="Times New Roman" w:cs="Times New Roman" w:eastAsia="Times New Roman" w:hAnsi="Times New Roman"/>
          <w:sz w:val="22"/>
          <w:szCs w:val="22"/>
          <w:color w:val="auto"/>
        </w:rPr>
        <w:t>TC "Section 5.19. Notes Rank Pari Passu"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The obligations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under this Agreement and the Notes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all other senior unsecured Funded Indebtedness (actual or contingent) of the Company.</w:t>
      </w:r>
    </w:p>
    <w:p>
      <w:pPr>
        <w:spacing w:after="0" w:line="208" w:lineRule="exact"/>
        <w:rPr>
          <w:sz w:val="20"/>
          <w:szCs w:val="20"/>
          <w:color w:val="auto"/>
        </w:rPr>
      </w:pPr>
    </w:p>
    <w:p>
      <w:pPr>
        <w:ind w:right="100" w:firstLine="445"/>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5.20. Solvency and Consideration. </w:t>
      </w:r>
      <w:r>
        <w:rPr>
          <w:rFonts w:ascii="Times New Roman" w:cs="Times New Roman" w:eastAsia="Times New Roman" w:hAnsi="Times New Roman"/>
          <w:sz w:val="22"/>
          <w:szCs w:val="22"/>
          <w:color w:val="auto"/>
        </w:rPr>
        <w:t>TC "Section 5.20. Solvency and Consideration." \f C \l "2" On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Closing, after giving effect to the issue and sale of the Notes and the application of the proceeds as contemplated by </w:t>
      </w:r>
      <w:r>
        <w:rPr>
          <w:rFonts w:ascii="Times New Roman" w:cs="Times New Roman" w:eastAsia="Times New Roman" w:hAnsi="Times New Roman"/>
          <w:sz w:val="22"/>
          <w:szCs w:val="22"/>
          <w:b w:val="1"/>
          <w:bCs w:val="1"/>
          <w:color w:val="auto"/>
        </w:rPr>
        <w:t>Section 5.14</w:t>
      </w:r>
      <w:r>
        <w:rPr>
          <w:rFonts w:ascii="Times New Roman" w:cs="Times New Roman" w:eastAsia="Times New Roman" w:hAnsi="Times New Roman"/>
          <w:sz w:val="22"/>
          <w:szCs w:val="22"/>
          <w:color w:val="auto"/>
        </w:rPr>
        <w:t xml:space="preserve"> hereof, the Company is solvent, has capital not unreasonably small in relation to its business or any contemplated or undertaken transaction and has assets having a value both at fair valuation and a present fair salable value greater than the amount required to pay its debts as they become due and greater than the amount that will be required to pay its probable liability on its existing debts as they become due and matured. The Company does not intend to incur, nor does it believe, nor should it believe that it will incur, debts beyond its ability to pay such debts as they become due. The Company will not be rendered insolvent by the execution, delivery and performance of its obligations under or in respect of the Notes or this Agreement. The Company does not intend to hinder, delay or defraud its creditors by or through the execution, delivery or performance of its obligations under or in respect of the Notes or this Agreement.</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00" w:right="480" w:hanging="1766"/>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6.</w:t>
      </w:r>
      <w:r>
        <w:rPr>
          <w:sz w:val="20"/>
          <w:szCs w:val="20"/>
          <w:color w:val="auto"/>
        </w:rPr>
        <w:tab/>
      </w: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6. 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00" w:lineRule="exact"/>
        <w:rPr>
          <w:sz w:val="20"/>
          <w:szCs w:val="20"/>
          <w:color w:val="auto"/>
        </w:rPr>
      </w:pPr>
    </w:p>
    <w:p>
      <w:pPr>
        <w:spacing w:after="0" w:line="256" w:lineRule="exact"/>
        <w:rPr>
          <w:sz w:val="20"/>
          <w:szCs w:val="20"/>
          <w:color w:val="auto"/>
        </w:rPr>
      </w:pPr>
    </w:p>
    <w:p>
      <w:pPr>
        <w:ind w:left="440"/>
        <w:spacing w:after="0"/>
        <w:tabs>
          <w:tab w:leader="none" w:pos="1720" w:val="left"/>
          <w:tab w:leader="none" w:pos="5600" w:val="left"/>
        </w:tabs>
        <w:rPr>
          <w:sz w:val="20"/>
          <w:szCs w:val="20"/>
          <w:color w:val="auto"/>
        </w:rPr>
      </w:pPr>
      <w:r>
        <w:rPr>
          <w:rFonts w:ascii="Times New Roman" w:cs="Times New Roman" w:eastAsia="Times New Roman" w:hAnsi="Times New Roman"/>
          <w:sz w:val="22"/>
          <w:szCs w:val="22"/>
          <w:i w:val="1"/>
          <w:iCs w:val="1"/>
          <w:color w:val="auto"/>
        </w:rPr>
        <w:t>Section 6.1.</w:t>
        <w:tab/>
        <w:t xml:space="preserve">Purchase for Investment </w:t>
      </w:r>
      <w:r>
        <w:rPr>
          <w:rFonts w:ascii="Times New Roman" w:cs="Times New Roman" w:eastAsia="Times New Roman" w:hAnsi="Times New Roman"/>
          <w:sz w:val="22"/>
          <w:szCs w:val="22"/>
          <w:color w:val="auto"/>
        </w:rPr>
        <w:t>TC "Section 6.1.</w:t>
      </w:r>
      <w:r>
        <w:rPr>
          <w:sz w:val="20"/>
          <w:szCs w:val="20"/>
          <w:color w:val="auto"/>
        </w:rPr>
        <w:tab/>
      </w:r>
      <w:r>
        <w:rPr>
          <w:rFonts w:ascii="Times New Roman" w:cs="Times New Roman" w:eastAsia="Times New Roman" w:hAnsi="Times New Roman"/>
          <w:sz w:val="21"/>
          <w:szCs w:val="21"/>
          <w:color w:val="auto"/>
        </w:rPr>
        <w:t>Purchase for Investment" \f C \l "2" .</w:t>
      </w:r>
    </w:p>
    <w:p>
      <w:pPr>
        <w:spacing w:after="0" w:line="251" w:lineRule="exact"/>
        <w:rPr>
          <w:sz w:val="20"/>
          <w:szCs w:val="20"/>
          <w:color w:val="auto"/>
        </w:rPr>
      </w:pPr>
    </w:p>
    <w:p>
      <w:pPr>
        <w:jc w:val="both"/>
        <w:ind w:right="60" w:firstLine="440"/>
        <w:spacing w:after="0" w:line="238" w:lineRule="auto"/>
        <w:tabs>
          <w:tab w:leader="none" w:pos="8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Purchaser severally represents and warrants that it (i) is an institutional “accredited investor” as defined in Rule 501(a)(1), (2), (3), or (7) under the Securities Act, (ii) is not an “underwriter” as defined in Section 2(a)(11) of the Securities Act, and (iii) is purchasing the Notes for its own account or for one or more separate accounts maintained by such Purchaser or for the account of one or more pension or trust funds and not with a view to the distribution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disposition of such Purchaser’s or their property shall at all times be within such Purchaser’s or their control.</w:t>
      </w:r>
    </w:p>
    <w:p>
      <w:pPr>
        <w:spacing w:after="0" w:line="203" w:lineRule="exact"/>
        <w:rPr>
          <w:rFonts w:ascii="Times New Roman" w:cs="Times New Roman" w:eastAsia="Times New Roman" w:hAnsi="Times New Roman"/>
          <w:sz w:val="22"/>
          <w:szCs w:val="22"/>
          <w:color w:val="auto"/>
        </w:rPr>
      </w:pPr>
    </w:p>
    <w:p>
      <w:pPr>
        <w:jc w:val="both"/>
        <w:ind w:right="60" w:firstLine="440"/>
        <w:spacing w:after="0" w:line="239" w:lineRule="auto"/>
        <w:tabs>
          <w:tab w:leader="none" w:pos="8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and does not intend to register the Notes.</w:t>
      </w:r>
    </w:p>
    <w:p>
      <w:pPr>
        <w:spacing w:after="0" w:line="220" w:lineRule="exact"/>
        <w:rPr>
          <w:rFonts w:ascii="Times New Roman" w:cs="Times New Roman" w:eastAsia="Times New Roman" w:hAnsi="Times New Roman"/>
          <w:sz w:val="22"/>
          <w:szCs w:val="22"/>
          <w:color w:val="auto"/>
        </w:rPr>
      </w:pPr>
    </w:p>
    <w:p>
      <w:pPr>
        <w:ind w:right="160" w:firstLine="440"/>
        <w:spacing w:after="0" w:line="258" w:lineRule="auto"/>
        <w:tabs>
          <w:tab w:leader="none" w:pos="8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understands that the Notes will bear a legend, prominently stamped or printed thereon, reading substantially as follows:</w:t>
      </w:r>
    </w:p>
    <w:p>
      <w:pPr>
        <w:spacing w:after="0" w:line="199" w:lineRule="exact"/>
        <w:rPr>
          <w:sz w:val="20"/>
          <w:szCs w:val="20"/>
          <w:color w:val="auto"/>
        </w:rPr>
      </w:pPr>
    </w:p>
    <w:p>
      <w:pPr>
        <w:jc w:val="both"/>
        <w:ind w:left="760" w:right="60"/>
        <w:spacing w:after="0" w:line="235" w:lineRule="auto"/>
        <w:rPr>
          <w:sz w:val="20"/>
          <w:szCs w:val="20"/>
          <w:color w:val="auto"/>
        </w:rPr>
      </w:pPr>
      <w:r>
        <w:rPr>
          <w:rFonts w:ascii="Times New Roman" w:cs="Times New Roman" w:eastAsia="Times New Roman" w:hAnsi="Times New Roman"/>
          <w:sz w:val="22"/>
          <w:szCs w:val="22"/>
          <w:color w:val="auto"/>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6.2. Source of Funds </w:t>
      </w:r>
      <w:r>
        <w:rPr>
          <w:rFonts w:ascii="Times New Roman" w:cs="Times New Roman" w:eastAsia="Times New Roman" w:hAnsi="Times New Roman"/>
          <w:sz w:val="22"/>
          <w:szCs w:val="22"/>
          <w:color w:val="auto"/>
        </w:rPr>
        <w:t>TC "Section 6.2. Source of Funds" \f C \l "2" . Each Purchaser severally represents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warrants that at least one of the following statements is an accurate representation as to each source of funds (a </w:t>
      </w:r>
      <w:r>
        <w:rPr>
          <w:rFonts w:ascii="Times New Roman" w:cs="Times New Roman" w:eastAsia="Times New Roman" w:hAnsi="Times New Roman"/>
          <w:sz w:val="22"/>
          <w:szCs w:val="22"/>
          <w:i w:val="1"/>
          <w:iCs w:val="1"/>
          <w:color w:val="auto"/>
        </w:rPr>
        <w:t>“Source”</w:t>
      </w:r>
      <w:r>
        <w:rPr>
          <w:rFonts w:ascii="Times New Roman" w:cs="Times New Roman" w:eastAsia="Times New Roman" w:hAnsi="Times New Roman"/>
          <w:sz w:val="22"/>
          <w:szCs w:val="22"/>
          <w:color w:val="auto"/>
        </w:rPr>
        <w:t>) to be used by such Purchaser to pay the purchase price of the Notes to be purchased by such Purchaser hereunder:</w:t>
      </w:r>
    </w:p>
    <w:p>
      <w:pPr>
        <w:spacing w:after="0" w:line="212" w:lineRule="exact"/>
        <w:rPr>
          <w:sz w:val="20"/>
          <w:szCs w:val="20"/>
          <w:color w:val="auto"/>
        </w:rPr>
      </w:pPr>
    </w:p>
    <w:p>
      <w:pPr>
        <w:jc w:val="both"/>
        <w:ind w:left="760" w:right="60" w:firstLine="429"/>
        <w:spacing w:after="0" w:line="236" w:lineRule="auto"/>
        <w:tabs>
          <w:tab w:leader="none" w:pos="162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22"/>
          <w:szCs w:val="22"/>
          <w:i w:val="1"/>
          <w:iCs w:val="1"/>
          <w:color w:val="auto"/>
        </w:rPr>
        <w:t>“PTE”</w:t>
      </w:r>
      <w:r>
        <w:rPr>
          <w:rFonts w:ascii="Times New Roman" w:cs="Times New Roman" w:eastAsia="Times New Roman" w:hAnsi="Times New Roman"/>
          <w:sz w:val="22"/>
          <w:szCs w:val="22"/>
          <w:color w:val="auto"/>
        </w:rPr>
        <w:t xml:space="preserve">) 95-60) in respect of which the reserves and liabilities (as defined by the annual statement for life insurance companies approved by the NAIC (the </w:t>
      </w:r>
      <w:r>
        <w:rPr>
          <w:rFonts w:ascii="Times New Roman" w:cs="Times New Roman" w:eastAsia="Times New Roman" w:hAnsi="Times New Roman"/>
          <w:sz w:val="22"/>
          <w:szCs w:val="22"/>
          <w:i w:val="1"/>
          <w:iCs w:val="1"/>
          <w:color w:val="auto"/>
        </w:rPr>
        <w:t>“NAIC Annual Statement”</w:t>
      </w:r>
      <w:r>
        <w:rPr>
          <w:rFonts w:ascii="Times New Roman" w:cs="Times New Roman" w:eastAsia="Times New Roman" w:hAnsi="Times New Roman"/>
          <w:sz w:val="22"/>
          <w:szCs w:val="22"/>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0"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00" w:lineRule="exact"/>
        <w:rPr>
          <w:sz w:val="20"/>
          <w:szCs w:val="20"/>
          <w:color w:val="auto"/>
        </w:rPr>
      </w:pPr>
    </w:p>
    <w:p>
      <w:pPr>
        <w:jc w:val="both"/>
        <w:ind w:left="760" w:firstLine="429"/>
        <w:spacing w:after="0" w:line="239" w:lineRule="auto"/>
        <w:tabs>
          <w:tab w:leader="none" w:pos="162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220" w:lineRule="exact"/>
        <w:rPr>
          <w:rFonts w:ascii="Times New Roman" w:cs="Times New Roman" w:eastAsia="Times New Roman" w:hAnsi="Times New Roman"/>
          <w:sz w:val="22"/>
          <w:szCs w:val="22"/>
          <w:color w:val="auto"/>
        </w:rPr>
      </w:pPr>
    </w:p>
    <w:p>
      <w:pPr>
        <w:jc w:val="both"/>
        <w:ind w:left="760" w:firstLine="429"/>
        <w:spacing w:after="0" w:line="238" w:lineRule="auto"/>
        <w:tabs>
          <w:tab w:leader="none" w:pos="162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82" w:lineRule="exact"/>
        <w:rPr>
          <w:rFonts w:ascii="Times New Roman" w:cs="Times New Roman" w:eastAsia="Times New Roman" w:hAnsi="Times New Roman"/>
          <w:sz w:val="22"/>
          <w:szCs w:val="22"/>
          <w:color w:val="auto"/>
        </w:rPr>
      </w:pPr>
    </w:p>
    <w:p>
      <w:pPr>
        <w:jc w:val="both"/>
        <w:ind w:left="760" w:firstLine="429"/>
        <w:spacing w:after="0" w:line="250" w:lineRule="exact"/>
        <w:tabs>
          <w:tab w:leader="none" w:pos="162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Source constitutes assets of an “investment fund” (within the meaning of Part VI of PTE 84</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14 (the </w:t>
      </w:r>
      <w:r>
        <w:rPr>
          <w:rFonts w:ascii="Times New Roman" w:cs="Times New Roman" w:eastAsia="Times New Roman" w:hAnsi="Times New Roman"/>
          <w:sz w:val="21"/>
          <w:szCs w:val="21"/>
          <w:i w:val="1"/>
          <w:iCs w:val="1"/>
          <w:color w:val="auto"/>
        </w:rPr>
        <w:t>“QPAM Exemption”</w:t>
      </w:r>
      <w:r>
        <w:rPr>
          <w:rFonts w:ascii="Times New Roman" w:cs="Times New Roman" w:eastAsia="Times New Roman" w:hAnsi="Times New Roman"/>
          <w:sz w:val="21"/>
          <w:szCs w:val="21"/>
          <w:color w:val="auto"/>
        </w:rPr>
        <w:t>)) managed by a “qualified professional asset manager” or “QPAM” (within the meaning of Part VI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171" w:lineRule="exact"/>
        <w:rPr>
          <w:rFonts w:ascii="Times New Roman" w:cs="Times New Roman" w:eastAsia="Times New Roman" w:hAnsi="Times New Roman"/>
          <w:sz w:val="21"/>
          <w:szCs w:val="21"/>
          <w:color w:val="auto"/>
        </w:rPr>
      </w:pPr>
    </w:p>
    <w:p>
      <w:pPr>
        <w:jc w:val="both"/>
        <w:ind w:left="760" w:firstLine="429"/>
        <w:spacing w:after="0" w:line="258" w:lineRule="exact"/>
        <w:tabs>
          <w:tab w:leader="none" w:pos="162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 “plan(s)” (within the meaning of Part IV(h) of PTE 96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23 (the </w:t>
      </w:r>
      <w:r>
        <w:rPr>
          <w:rFonts w:ascii="Times New Roman" w:cs="Times New Roman" w:eastAsia="Times New Roman" w:hAnsi="Times New Roman"/>
          <w:sz w:val="22"/>
          <w:szCs w:val="22"/>
          <w:i w:val="1"/>
          <w:iCs w:val="1"/>
          <w:color w:val="auto"/>
        </w:rPr>
        <w:t>“INHAM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Exemption”</w:t>
      </w:r>
      <w:r>
        <w:rPr>
          <w:rFonts w:ascii="Times New Roman" w:cs="Times New Roman" w:eastAsia="Times New Roman" w:hAnsi="Times New Roman"/>
          <w:sz w:val="22"/>
          <w:szCs w:val="22"/>
          <w:color w:val="auto"/>
        </w:rPr>
        <w:t>)) managed by an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house asset manager” or “INHAM” (within the meaning of Part IV(a) of the INHAM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20" w:hanging="431"/>
        <w:spacing w:after="0"/>
        <w:tabs>
          <w:tab w:leader="none" w:pos="16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governmental plan; or</w:t>
      </w:r>
    </w:p>
    <w:p>
      <w:pPr>
        <w:spacing w:after="0" w:line="233" w:lineRule="exact"/>
        <w:rPr>
          <w:rFonts w:ascii="Times New Roman" w:cs="Times New Roman" w:eastAsia="Times New Roman" w:hAnsi="Times New Roman"/>
          <w:sz w:val="22"/>
          <w:szCs w:val="22"/>
          <w:color w:val="auto"/>
        </w:rPr>
      </w:pPr>
    </w:p>
    <w:p>
      <w:pPr>
        <w:ind w:left="760" w:firstLine="429"/>
        <w:spacing w:after="0" w:line="282" w:lineRule="auto"/>
        <w:tabs>
          <w:tab w:leader="none" w:pos="162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75" w:lineRule="exact"/>
        <w:rPr>
          <w:rFonts w:ascii="Times New Roman" w:cs="Times New Roman" w:eastAsia="Times New Roman" w:hAnsi="Times New Roman"/>
          <w:sz w:val="21"/>
          <w:szCs w:val="21"/>
          <w:color w:val="auto"/>
        </w:rPr>
      </w:pPr>
    </w:p>
    <w:p>
      <w:pPr>
        <w:ind w:left="760" w:right="20" w:firstLine="429"/>
        <w:spacing w:after="0" w:line="258" w:lineRule="auto"/>
        <w:tabs>
          <w:tab w:leader="none" w:pos="16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does not include assets of any employee benefit plan, other than a plan exempt from the coverage of ERISA.</w:t>
      </w:r>
    </w:p>
    <w:p>
      <w:pPr>
        <w:spacing w:after="0" w:line="19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the terms “employee benefit plan,” “governmental plan,” and “separate account” shall have the respective meanings assigned to such terms in Section 3 of ERISA.</w:t>
      </w:r>
    </w:p>
    <w:p>
      <w:pPr>
        <w:spacing w:after="0" w:line="17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6.3. Binding Effect </w:t>
      </w:r>
      <w:r>
        <w:rPr>
          <w:rFonts w:ascii="Times New Roman" w:cs="Times New Roman" w:eastAsia="Times New Roman" w:hAnsi="Times New Roman"/>
          <w:sz w:val="22"/>
          <w:szCs w:val="22"/>
          <w:color w:val="auto"/>
        </w:rPr>
        <w:t>TC "Section 6.3. Binding Effect"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Each Purchaser severally represents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warrants that this Agreement has been duly executed and delivered by it and this Agreement constitutes its valid and legally binding obligation, enforceable against it in accordance with its terms.</w:t>
      </w:r>
    </w:p>
    <w:p>
      <w:pPr>
        <w:spacing w:after="0" w:line="208"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6.4. Access to Information; Knowledge and Experience </w:t>
      </w:r>
      <w:r>
        <w:rPr>
          <w:rFonts w:ascii="Times New Roman" w:cs="Times New Roman" w:eastAsia="Times New Roman" w:hAnsi="Times New Roman"/>
          <w:sz w:val="22"/>
          <w:szCs w:val="22"/>
          <w:color w:val="auto"/>
        </w:rPr>
        <w:t>TC "Section 6.4. Access to Information; Knowledge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Experience" \f C \l "2"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Purchaser severally represents and warrants that it (i) has been furnished with or has had access to the information requested from the Company, (ii) has had an opportunity to discuss with management of the Company the business and financial affairs of the Company and (iii) has such knowledge and experience in business and financial matters and with respect to investments in securities similar to the Notes that it is capable of evaluating the risks and merits of this investment.</w:t>
      </w:r>
    </w:p>
    <w:p>
      <w:pPr>
        <w:spacing w:after="0" w:line="2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7.</w:t>
      </w:r>
      <w:r>
        <w:rPr>
          <w:sz w:val="20"/>
          <w:szCs w:val="20"/>
          <w:color w:val="auto"/>
        </w:rPr>
        <w:tab/>
      </w: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nformation as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7. I</w:t>
      </w:r>
      <w:r>
        <w:rPr>
          <w:rFonts w:ascii="Times New Roman" w:cs="Times New Roman" w:eastAsia="Times New Roman" w:hAnsi="Times New Roman"/>
          <w:sz w:val="14"/>
          <w:szCs w:val="14"/>
          <w:color w:val="auto"/>
        </w:rPr>
        <w:t>nformation as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w:t>
      </w:r>
    </w:p>
    <w:p>
      <w:pPr>
        <w:spacing w:after="0" w:line="243"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7.1. Financial and Business Information </w:t>
      </w:r>
      <w:r>
        <w:rPr>
          <w:rFonts w:ascii="Times New Roman" w:cs="Times New Roman" w:eastAsia="Times New Roman" w:hAnsi="Times New Roman"/>
          <w:sz w:val="22"/>
          <w:szCs w:val="22"/>
          <w:color w:val="auto"/>
        </w:rPr>
        <w:t>TC "Section 7.1. Financial and Business Information" \f C \l "2" .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of the Closing and thereafter, so long as any of the Notes are outstanding, the Company shall deliver to each holder of Notes that is an Institutional Investor:</w:t>
      </w:r>
    </w:p>
    <w:p>
      <w:pPr>
        <w:spacing w:after="0" w:line="212" w:lineRule="exact"/>
        <w:rPr>
          <w:sz w:val="20"/>
          <w:szCs w:val="20"/>
          <w:color w:val="auto"/>
        </w:rPr>
      </w:pPr>
    </w:p>
    <w:p>
      <w:pPr>
        <w:ind w:left="1620" w:hanging="431"/>
        <w:spacing w:after="0"/>
        <w:tabs>
          <w:tab w:leader="none" w:pos="16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Statements —</w:t>
      </w:r>
    </w:p>
    <w:p>
      <w:pPr>
        <w:spacing w:after="0" w:line="233" w:lineRule="exact"/>
        <w:rPr>
          <w:rFonts w:ascii="Times New Roman" w:cs="Times New Roman" w:eastAsia="Times New Roman" w:hAnsi="Times New Roman"/>
          <w:sz w:val="22"/>
          <w:szCs w:val="22"/>
          <w:color w:val="auto"/>
        </w:rPr>
      </w:pPr>
    </w:p>
    <w:p>
      <w:pPr>
        <w:ind w:left="1500" w:right="20" w:firstLine="437"/>
        <w:spacing w:after="0" w:line="258" w:lineRule="auto"/>
        <w:tabs>
          <w:tab w:leader="none" w:pos="236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90 days after the end of each quarterly fiscal period in each fiscal year of the Company (other than the last quarterly fiscal period of each such fiscal year), electronic or duplicate paper copies of,</w:t>
      </w:r>
    </w:p>
    <w:p>
      <w:pPr>
        <w:spacing w:after="0" w:line="198" w:lineRule="exact"/>
        <w:rPr>
          <w:rFonts w:ascii="Times New Roman" w:cs="Times New Roman" w:eastAsia="Times New Roman" w:hAnsi="Times New Roman"/>
          <w:sz w:val="22"/>
          <w:szCs w:val="22"/>
          <w:color w:val="auto"/>
        </w:rPr>
      </w:pPr>
    </w:p>
    <w:p>
      <w:pPr>
        <w:ind w:left="2260" w:right="20" w:firstLine="426"/>
        <w:spacing w:after="0" w:line="258" w:lineRule="auto"/>
        <w:tabs>
          <w:tab w:leader="none" w:pos="3124"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unaudited consolidated balance sheet of the Company and its Subsidiaries as at the end of such quarter, and</w:t>
      </w:r>
    </w:p>
    <w:p>
      <w:pPr>
        <w:spacing w:after="0" w:line="198" w:lineRule="exact"/>
        <w:rPr>
          <w:rFonts w:ascii="Times New Roman" w:cs="Times New Roman" w:eastAsia="Times New Roman" w:hAnsi="Times New Roman"/>
          <w:sz w:val="22"/>
          <w:szCs w:val="22"/>
          <w:color w:val="auto"/>
        </w:rPr>
      </w:pPr>
    </w:p>
    <w:p>
      <w:pPr>
        <w:jc w:val="both"/>
        <w:ind w:left="2260" w:firstLine="426"/>
        <w:spacing w:after="0" w:line="244" w:lineRule="auto"/>
        <w:tabs>
          <w:tab w:leader="none" w:pos="3124"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00" w:right="20" w:firstLine="437"/>
        <w:spacing w:after="0" w:line="258" w:lineRule="auto"/>
        <w:tabs>
          <w:tab w:leader="none" w:pos="23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90 days after the end of each quarterly fiscal period in each fiscal year of Unitil (other than the last quarterly fiscal period of each such fiscal year), electronic or duplicate paper copies of,</w:t>
      </w:r>
    </w:p>
    <w:p>
      <w:pPr>
        <w:spacing w:after="0" w:line="185" w:lineRule="exact"/>
        <w:rPr>
          <w:rFonts w:ascii="Times New Roman" w:cs="Times New Roman" w:eastAsia="Times New Roman" w:hAnsi="Times New Roman"/>
          <w:sz w:val="22"/>
          <w:szCs w:val="22"/>
          <w:color w:val="auto"/>
        </w:rPr>
      </w:pPr>
    </w:p>
    <w:p>
      <w:pPr>
        <w:ind w:left="2260" w:right="40" w:firstLine="426"/>
        <w:spacing w:after="0" w:line="258" w:lineRule="auto"/>
        <w:tabs>
          <w:tab w:leader="none" w:pos="312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unaudited consolidated balance sheet of Unitil and its Subsidiaries as at the end of such quarter, and</w:t>
      </w:r>
    </w:p>
    <w:p>
      <w:pPr>
        <w:spacing w:after="0" w:line="198" w:lineRule="exact"/>
        <w:rPr>
          <w:rFonts w:ascii="Times New Roman" w:cs="Times New Roman" w:eastAsia="Times New Roman" w:hAnsi="Times New Roman"/>
          <w:sz w:val="22"/>
          <w:szCs w:val="22"/>
          <w:color w:val="auto"/>
        </w:rPr>
      </w:pPr>
    </w:p>
    <w:p>
      <w:pPr>
        <w:jc w:val="both"/>
        <w:ind w:left="2260" w:firstLine="426"/>
        <w:spacing w:after="0" w:line="244" w:lineRule="auto"/>
        <w:tabs>
          <w:tab w:leader="none" w:pos="312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consolidated statements of income, changes in shareholders’ equity and cash flows of Unitil and its Subsidiaries, for such quarter and (in the case of the second and third quarters) for the portion of the fiscal year ending with such quarter,</w:t>
      </w:r>
    </w:p>
    <w:p>
      <w:pPr>
        <w:spacing w:after="0" w:line="214" w:lineRule="exact"/>
        <w:rPr>
          <w:sz w:val="20"/>
          <w:szCs w:val="20"/>
          <w:color w:val="auto"/>
        </w:rPr>
      </w:pPr>
    </w:p>
    <w:p>
      <w:pPr>
        <w:jc w:val="both"/>
        <w:ind w:left="760"/>
        <w:spacing w:after="0" w:line="248" w:lineRule="exact"/>
        <w:rPr>
          <w:sz w:val="20"/>
          <w:szCs w:val="20"/>
          <w:color w:val="auto"/>
        </w:rPr>
      </w:pPr>
      <w:r>
        <w:rPr>
          <w:rFonts w:ascii="Times New Roman" w:cs="Times New Roman" w:eastAsia="Times New Roman" w:hAnsi="Times New Roman"/>
          <w:sz w:val="22"/>
          <w:szCs w:val="22"/>
          <w:color w:val="auto"/>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delivery within the time period specified above of copies of Unitil’s Quarterly Report on Form 10-Q (the</w:t>
      </w:r>
      <w:r>
        <w:rPr>
          <w:rFonts w:ascii="Times New Roman" w:cs="Times New Roman" w:eastAsia="Times New Roman" w:hAnsi="Times New Roman"/>
          <w:sz w:val="22"/>
          <w:szCs w:val="22"/>
          <w:i w:val="1"/>
          <w:iCs w:val="1"/>
          <w:color w:val="auto"/>
        </w:rPr>
        <w:t xml:space="preserve"> “Form 10-Q”</w:t>
      </w:r>
      <w:r>
        <w:rPr>
          <w:rFonts w:ascii="Times New Roman" w:cs="Times New Roman" w:eastAsia="Times New Roman" w:hAnsi="Times New Roman"/>
          <w:sz w:val="22"/>
          <w:szCs w:val="22"/>
          <w:color w:val="auto"/>
        </w:rPr>
        <w:t>) prepared in material compliance with the requirements therefor and filed with the SEC shall be deemed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satisfy the requirements of </w:t>
      </w:r>
      <w:r>
        <w:rPr>
          <w:rFonts w:ascii="Times New Roman" w:cs="Times New Roman" w:eastAsia="Times New Roman" w:hAnsi="Times New Roman"/>
          <w:sz w:val="22"/>
          <w:szCs w:val="22"/>
          <w:b w:val="1"/>
          <w:bCs w:val="1"/>
          <w:color w:val="auto"/>
        </w:rPr>
        <w:t>Section 7.1(a)(ii)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Company shall be deemed to have made such delivery of such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Q if Unitil shall have timely made such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Q available on EDGAR or on its home page on the worldwide web (at the date of this Agreement located at http://www.unitil.com) (such availability being referred to as </w:t>
      </w:r>
      <w:r>
        <w:rPr>
          <w:rFonts w:ascii="Times New Roman" w:cs="Times New Roman" w:eastAsia="Times New Roman" w:hAnsi="Times New Roman"/>
          <w:sz w:val="22"/>
          <w:szCs w:val="22"/>
          <w:i w:val="1"/>
          <w:iCs w:val="1"/>
          <w:color w:val="auto"/>
        </w:rPr>
        <w:t>“Electronic Delivery”</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Statements —</w:t>
      </w:r>
    </w:p>
    <w:p>
      <w:pPr>
        <w:spacing w:after="0" w:line="246"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each fiscal year of the Company, electronic or duplicate paper copies of</w:t>
      </w:r>
    </w:p>
    <w:p>
      <w:pPr>
        <w:spacing w:after="0" w:line="246" w:lineRule="exact"/>
        <w:rPr>
          <w:rFonts w:ascii="Times New Roman" w:cs="Times New Roman" w:eastAsia="Times New Roman" w:hAnsi="Times New Roman"/>
          <w:sz w:val="22"/>
          <w:szCs w:val="22"/>
          <w:color w:val="auto"/>
        </w:rPr>
      </w:pPr>
    </w:p>
    <w:p>
      <w:pPr>
        <w:ind w:left="2360" w:hanging="423"/>
        <w:spacing w:after="0"/>
        <w:tabs>
          <w:tab w:leader="none" w:pos="2360"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year, and</w:t>
      </w:r>
    </w:p>
    <w:p>
      <w:pPr>
        <w:spacing w:after="0" w:line="233" w:lineRule="exact"/>
        <w:rPr>
          <w:rFonts w:ascii="Times New Roman" w:cs="Times New Roman" w:eastAsia="Times New Roman" w:hAnsi="Times New Roman"/>
          <w:sz w:val="22"/>
          <w:szCs w:val="22"/>
          <w:color w:val="auto"/>
        </w:rPr>
      </w:pPr>
    </w:p>
    <w:p>
      <w:pPr>
        <w:ind w:left="1500" w:right="40" w:firstLine="437"/>
        <w:spacing w:after="0" w:line="258" w:lineRule="auto"/>
        <w:tabs>
          <w:tab w:leader="none" w:pos="236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year; and</w:t>
      </w:r>
    </w:p>
    <w:p>
      <w:pPr>
        <w:spacing w:after="0" w:line="198"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each fiscal year of Unitil, electronic or duplicate paper copies of</w:t>
      </w:r>
    </w:p>
    <w:p>
      <w:pPr>
        <w:spacing w:after="0" w:line="246" w:lineRule="exact"/>
        <w:rPr>
          <w:rFonts w:ascii="Times New Roman" w:cs="Times New Roman" w:eastAsia="Times New Roman" w:hAnsi="Times New Roman"/>
          <w:sz w:val="22"/>
          <w:szCs w:val="22"/>
          <w:color w:val="auto"/>
        </w:rPr>
      </w:pPr>
    </w:p>
    <w:p>
      <w:pPr>
        <w:ind w:left="2360" w:hanging="423"/>
        <w:spacing w:after="0"/>
        <w:tabs>
          <w:tab w:leader="none" w:pos="2360"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Unitil and its Subsidiaries as at the end of such year, and</w:t>
      </w:r>
    </w:p>
    <w:p>
      <w:pPr>
        <w:spacing w:after="0" w:line="233" w:lineRule="exact"/>
        <w:rPr>
          <w:rFonts w:ascii="Times New Roman" w:cs="Times New Roman" w:eastAsia="Times New Roman" w:hAnsi="Times New Roman"/>
          <w:sz w:val="22"/>
          <w:szCs w:val="22"/>
          <w:color w:val="auto"/>
        </w:rPr>
      </w:pPr>
    </w:p>
    <w:p>
      <w:pPr>
        <w:ind w:left="1500" w:right="40" w:firstLine="437"/>
        <w:spacing w:after="0" w:line="258" w:lineRule="auto"/>
        <w:tabs>
          <w:tab w:leader="none" w:pos="236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Unitil and its Subsidiaries for such year,</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60" w:firstLine="432"/>
        <w:spacing w:after="0" w:line="250" w:lineRule="exact"/>
        <w:rPr>
          <w:sz w:val="20"/>
          <w:szCs w:val="20"/>
          <w:color w:val="auto"/>
        </w:rPr>
      </w:pPr>
      <w:r>
        <w:rPr>
          <w:rFonts w:ascii="Times New Roman" w:cs="Times New Roman" w:eastAsia="Times New Roman" w:hAnsi="Times New Roman"/>
          <w:sz w:val="22"/>
          <w:szCs w:val="22"/>
          <w:color w:val="auto"/>
        </w:rPr>
        <w:t xml:space="preserve">setting forth in each case above in </w:t>
      </w:r>
      <w:r>
        <w:rPr>
          <w:rFonts w:ascii="Times New Roman" w:cs="Times New Roman" w:eastAsia="Times New Roman" w:hAnsi="Times New Roman"/>
          <w:sz w:val="22"/>
          <w:szCs w:val="22"/>
          <w:b w:val="1"/>
          <w:bCs w:val="1"/>
          <w:color w:val="auto"/>
        </w:rPr>
        <w:t>Section 7.1(b)(i)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7.1(b)(ii)</w:t>
      </w:r>
      <w:r>
        <w:rPr>
          <w:rFonts w:ascii="Times New Roman" w:cs="Times New Roman" w:eastAsia="Times New Roman" w:hAnsi="Times New Roman"/>
          <w:sz w:val="22"/>
          <w:szCs w:val="22"/>
          <w:color w:val="auto"/>
        </w:rPr>
        <w:t xml:space="preserve"> in comparative form the figures for the previous fiscal year, all in reasonable detail, prepared in accordance with GAAP, and accompanied by a report thereon of independent public accountants of recognized national standing, to the effect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report in the circumstances,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delivery within the time period specified above of Unitil’s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K (the </w:t>
      </w:r>
      <w:r>
        <w:rPr>
          <w:rFonts w:ascii="Times New Roman" w:cs="Times New Roman" w:eastAsia="Times New Roman" w:hAnsi="Times New Roman"/>
          <w:sz w:val="22"/>
          <w:szCs w:val="22"/>
          <w:i w:val="1"/>
          <w:iCs w:val="1"/>
          <w:color w:val="auto"/>
        </w:rPr>
        <w:t>“Form 10-K”</w:t>
      </w:r>
      <w:r>
        <w:rPr>
          <w:rFonts w:ascii="Times New Roman" w:cs="Times New Roman" w:eastAsia="Times New Roman" w:hAnsi="Times New Roman"/>
          <w:sz w:val="22"/>
          <w:szCs w:val="22"/>
          <w:color w:val="auto"/>
        </w:rPr>
        <w:t>) for such fiscal year (together with Unitil’s annual report to shareholders, if any, prepared pursuant to Rule 14a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3 under the Exchange Act) prepared in material compliance with the requirements therefor and filed with the SEC, shall be deemed to satisfy the requirements of </w:t>
      </w:r>
      <w:r>
        <w:rPr>
          <w:rFonts w:ascii="Times New Roman" w:cs="Times New Roman" w:eastAsia="Times New Roman" w:hAnsi="Times New Roman"/>
          <w:sz w:val="22"/>
          <w:szCs w:val="22"/>
          <w:b w:val="1"/>
          <w:bCs w:val="1"/>
          <w:color w:val="auto"/>
        </w:rPr>
        <w:t>Section 7.1(b)(ii)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the Company shall be deemed to have made such delivery of such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if Unitil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timely made Electronic Delivery thereof;</w:t>
      </w:r>
    </w:p>
    <w:p>
      <w:pPr>
        <w:spacing w:after="0" w:line="202" w:lineRule="exact"/>
        <w:rPr>
          <w:sz w:val="20"/>
          <w:szCs w:val="20"/>
          <w:color w:val="auto"/>
        </w:rPr>
      </w:pPr>
    </w:p>
    <w:p>
      <w:pPr>
        <w:jc w:val="both"/>
        <w:ind w:left="760" w:firstLine="429"/>
        <w:spacing w:after="0" w:line="255" w:lineRule="auto"/>
        <w:tabs>
          <w:tab w:leader="none" w:pos="1665"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SEC and Other Reports </w:t>
      </w:r>
      <w:r>
        <w:rPr>
          <w:rFonts w:ascii="Times New Roman" w:cs="Times New Roman" w:eastAsia="Times New Roman" w:hAnsi="Times New Roman"/>
          <w:sz w:val="21"/>
          <w:szCs w:val="21"/>
          <w:color w:val="auto"/>
        </w:rPr>
        <w:t>— promptly upon their becoming available, one copy of (i) each proxy statement,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financial statement, or report sent by the Company, Unitil or any Subsidiary to its public securities holders generally, and</w:t>
      </w:r>
    </w:p>
    <w:p>
      <w:pPr>
        <w:jc w:val="both"/>
        <w:ind w:left="760" w:hanging="3"/>
        <w:spacing w:after="0" w:line="235" w:lineRule="auto"/>
        <w:tabs>
          <w:tab w:leader="none" w:pos="114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regular or periodic report, each registration statement (without exhibits), and each prospectus and all amendments thereto filed by the Company, Unitil or any Subsidiary with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copies of any such documents required to be delivered pursuant to this clause (c) may be delivered by Electronic Delivery;</w:t>
      </w:r>
    </w:p>
    <w:p>
      <w:pPr>
        <w:spacing w:after="0" w:line="214" w:lineRule="exact"/>
        <w:rPr>
          <w:rFonts w:ascii="Times New Roman" w:cs="Times New Roman" w:eastAsia="Times New Roman" w:hAnsi="Times New Roman"/>
          <w:sz w:val="22"/>
          <w:szCs w:val="22"/>
          <w:color w:val="auto"/>
        </w:rPr>
      </w:pPr>
    </w:p>
    <w:p>
      <w:pPr>
        <w:jc w:val="both"/>
        <w:ind w:left="760" w:firstLine="429"/>
        <w:spacing w:after="0" w:line="238" w:lineRule="auto"/>
        <w:tabs>
          <w:tab w:leader="none" w:pos="167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Default or Event of Default </w:t>
      </w:r>
      <w:r>
        <w:rPr>
          <w:rFonts w:ascii="Times New Roman" w:cs="Times New Roman" w:eastAsia="Times New Roman" w:hAnsi="Times New Roman"/>
          <w:sz w:val="22"/>
          <w:szCs w:val="22"/>
          <w:color w:val="auto"/>
        </w:rPr>
        <w:t>— promptly, and in any event within five days after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w:t>
      </w:r>
      <w:r>
        <w:rPr>
          <w:rFonts w:ascii="Times New Roman" w:cs="Times New Roman" w:eastAsia="Times New Roman" w:hAnsi="Times New Roman"/>
          <w:sz w:val="22"/>
          <w:szCs w:val="22"/>
          <w:b w:val="1"/>
          <w:bCs w:val="1"/>
          <w:color w:val="auto"/>
        </w:rPr>
        <w:t>Section 11(e)</w:t>
      </w:r>
      <w:r>
        <w:rPr>
          <w:rFonts w:ascii="Times New Roman" w:cs="Times New Roman" w:eastAsia="Times New Roman" w:hAnsi="Times New Roman"/>
          <w:sz w:val="22"/>
          <w:szCs w:val="22"/>
          <w:color w:val="auto"/>
        </w:rPr>
        <w:t>, a written notice specifying the nature and period of existence thereof and what action the Company is taking or proposes to take with respect thereto;</w:t>
      </w:r>
    </w:p>
    <w:p>
      <w:pPr>
        <w:spacing w:after="0" w:line="217" w:lineRule="exact"/>
        <w:rPr>
          <w:rFonts w:ascii="Times New Roman" w:cs="Times New Roman" w:eastAsia="Times New Roman" w:hAnsi="Times New Roman"/>
          <w:sz w:val="22"/>
          <w:szCs w:val="22"/>
          <w:color w:val="auto"/>
        </w:rPr>
      </w:pPr>
    </w:p>
    <w:p>
      <w:pPr>
        <w:jc w:val="both"/>
        <w:ind w:left="760" w:firstLine="429"/>
        <w:spacing w:after="0" w:line="246" w:lineRule="auto"/>
        <w:tabs>
          <w:tab w:leader="none" w:pos="170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Material Adverse Events </w:t>
      </w:r>
      <w:r>
        <w:rPr>
          <w:rFonts w:ascii="Times New Roman" w:cs="Times New Roman" w:eastAsia="Times New Roman" w:hAnsi="Times New Roman"/>
          <w:sz w:val="22"/>
          <w:szCs w:val="22"/>
          <w:color w:val="auto"/>
        </w:rPr>
        <w:t>— promptly upon the occurrence thereof, notice of any event, circumstance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 which would reasonably be expected to materially and adversely affect the ability of the Company to perform its obligations under this Agreement and the Notes; and</w:t>
      </w:r>
    </w:p>
    <w:p>
      <w:pPr>
        <w:spacing w:after="0" w:line="194" w:lineRule="exact"/>
        <w:rPr>
          <w:rFonts w:ascii="Times New Roman" w:cs="Times New Roman" w:eastAsia="Times New Roman" w:hAnsi="Times New Roman"/>
          <w:sz w:val="22"/>
          <w:szCs w:val="22"/>
          <w:color w:val="auto"/>
        </w:rPr>
      </w:pPr>
    </w:p>
    <w:p>
      <w:pPr>
        <w:jc w:val="both"/>
        <w:ind w:left="760" w:firstLine="429"/>
        <w:spacing w:after="0" w:line="255" w:lineRule="exact"/>
        <w:tabs>
          <w:tab w:leader="none" w:pos="171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Requested Information </w:t>
      </w:r>
      <w:r>
        <w:rPr>
          <w:rFonts w:ascii="Times New Roman" w:cs="Times New Roman" w:eastAsia="Times New Roman" w:hAnsi="Times New Roman"/>
          <w:sz w:val="22"/>
          <w:szCs w:val="22"/>
          <w:color w:val="auto"/>
        </w:rPr>
        <w:t>— with reasonable promptness, such other data and information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operations, affairs, financial condition, assets or properties of the Company, Unitil or any of their respective Subsidiaries (including, but without limitation, actual copies of Unitil’s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and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or relating to the ability of the Company to perform its obligations hereunder and under the Notes as from time to time may be reasonably requested by any such holder of a Note.</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7.2. Officer’s Certificate </w:t>
      </w:r>
      <w:r>
        <w:rPr>
          <w:rFonts w:ascii="Times New Roman" w:cs="Times New Roman" w:eastAsia="Times New Roman" w:hAnsi="Times New Roman"/>
          <w:sz w:val="22"/>
          <w:szCs w:val="22"/>
          <w:color w:val="auto"/>
        </w:rPr>
        <w:t>TC "Section 7.2. Officer’s Certificate" \f C \l "2" . Each set of financial statements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delivered to a holder of a Note pursuant to </w:t>
      </w:r>
      <w:r>
        <w:rPr>
          <w:rFonts w:ascii="Times New Roman" w:cs="Times New Roman" w:eastAsia="Times New Roman" w:hAnsi="Times New Roman"/>
          <w:sz w:val="22"/>
          <w:szCs w:val="22"/>
          <w:b w:val="1"/>
          <w:bCs w:val="1"/>
          <w:color w:val="auto"/>
        </w:rPr>
        <w:t>Section 7.1(a)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7.1(b)</w:t>
      </w:r>
      <w:r>
        <w:rPr>
          <w:rFonts w:ascii="Times New Roman" w:cs="Times New Roman" w:eastAsia="Times New Roman" w:hAnsi="Times New Roman"/>
          <w:sz w:val="22"/>
          <w:szCs w:val="22"/>
          <w:color w:val="auto"/>
        </w:rPr>
        <w:t xml:space="preserve"> shall be accompanied by a certificate of a Senior Financial Officer setting forth:</w:t>
      </w:r>
    </w:p>
    <w:p>
      <w:pPr>
        <w:spacing w:after="0" w:line="194" w:lineRule="exact"/>
        <w:rPr>
          <w:sz w:val="20"/>
          <w:szCs w:val="20"/>
          <w:color w:val="auto"/>
        </w:rPr>
      </w:pPr>
    </w:p>
    <w:p>
      <w:pPr>
        <w:jc w:val="both"/>
        <w:ind w:left="760" w:firstLine="429"/>
        <w:spacing w:after="0" w:line="234" w:lineRule="auto"/>
        <w:tabs>
          <w:tab w:leader="none" w:pos="170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Covenant Compliance </w:t>
      </w:r>
      <w:r>
        <w:rPr>
          <w:rFonts w:ascii="Times New Roman" w:cs="Times New Roman" w:eastAsia="Times New Roman" w:hAnsi="Times New Roman"/>
          <w:sz w:val="22"/>
          <w:szCs w:val="22"/>
          <w:color w:val="auto"/>
        </w:rPr>
        <w:t>— the information (including detailed calculations) required in order to establish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whether the Company was in compliance with the requirements of </w:t>
      </w:r>
      <w:r>
        <w:rPr>
          <w:rFonts w:ascii="Times New Roman" w:cs="Times New Roman" w:eastAsia="Times New Roman" w:hAnsi="Times New Roman"/>
          <w:sz w:val="22"/>
          <w:szCs w:val="22"/>
          <w:b w:val="1"/>
          <w:bCs w:val="1"/>
          <w:color w:val="auto"/>
        </w:rPr>
        <w:t>Sections 10.1</w:t>
      </w:r>
      <w:r>
        <w:rPr>
          <w:rFonts w:ascii="Times New Roman" w:cs="Times New Roman" w:eastAsia="Times New Roman" w:hAnsi="Times New Roman"/>
          <w:sz w:val="22"/>
          <w:szCs w:val="22"/>
          <w:color w:val="auto"/>
        </w:rPr>
        <w:t xml:space="preserve"> (to the extent Funded Indebtedness is incurred during the period covered by such certificate) and </w:t>
      </w:r>
      <w:r>
        <w:rPr>
          <w:rFonts w:ascii="Times New Roman" w:cs="Times New Roman" w:eastAsia="Times New Roman" w:hAnsi="Times New Roman"/>
          <w:sz w:val="22"/>
          <w:szCs w:val="22"/>
          <w:b w:val="1"/>
          <w:bCs w:val="1"/>
          <w:color w:val="auto"/>
        </w:rPr>
        <w:t>10.5</w:t>
      </w:r>
      <w:r>
        <w:rPr>
          <w:rFonts w:ascii="Times New Roman" w:cs="Times New Roman" w:eastAsia="Times New Roman" w:hAnsi="Times New Roman"/>
          <w:sz w:val="22"/>
          <w:szCs w:val="22"/>
          <w:color w:val="auto"/>
        </w:rPr>
        <w:t xml:space="preserve">,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as to the period covered by any such financial statement, such Senior Financial Officer’s certificate as to such period shall include a reconciliation from GAAP with respect to such election; and</w:t>
      </w:r>
    </w:p>
    <w:p>
      <w:pPr>
        <w:spacing w:after="0" w:line="219" w:lineRule="exact"/>
        <w:rPr>
          <w:rFonts w:ascii="Times New Roman" w:cs="Times New Roman" w:eastAsia="Times New Roman" w:hAnsi="Times New Roman"/>
          <w:sz w:val="22"/>
          <w:szCs w:val="22"/>
          <w:color w:val="auto"/>
        </w:rPr>
      </w:pPr>
    </w:p>
    <w:p>
      <w:pPr>
        <w:jc w:val="both"/>
        <w:ind w:left="760" w:firstLine="429"/>
        <w:spacing w:after="0" w:line="235" w:lineRule="auto"/>
        <w:tabs>
          <w:tab w:leader="none" w:pos="163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 a statement that such Senior Financial Officer has reviewed the relevant terms hereof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19"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7.3. Visitation </w:t>
      </w:r>
      <w:r>
        <w:rPr>
          <w:rFonts w:ascii="Times New Roman" w:cs="Times New Roman" w:eastAsia="Times New Roman" w:hAnsi="Times New Roman"/>
          <w:sz w:val="22"/>
          <w:szCs w:val="22"/>
          <w:color w:val="auto"/>
        </w:rPr>
        <w:t>TC "Section 7.3. Visitation" \f C \l "2" . The Company shall permit the representatives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 of a Note that is an Institutional Investor:</w:t>
      </w:r>
    </w:p>
    <w:p>
      <w:pPr>
        <w:spacing w:after="0" w:line="177" w:lineRule="exact"/>
        <w:rPr>
          <w:sz w:val="20"/>
          <w:szCs w:val="20"/>
          <w:color w:val="auto"/>
        </w:rPr>
      </w:pPr>
    </w:p>
    <w:p>
      <w:pPr>
        <w:jc w:val="both"/>
        <w:ind w:left="760" w:firstLine="429"/>
        <w:spacing w:after="0" w:line="250" w:lineRule="auto"/>
        <w:tabs>
          <w:tab w:leader="none" w:pos="162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Default </w:t>
      </w:r>
      <w:r>
        <w:rPr>
          <w:rFonts w:ascii="Times New Roman" w:cs="Times New Roman" w:eastAsia="Times New Roman" w:hAnsi="Times New Roman"/>
          <w:sz w:val="21"/>
          <w:szCs w:val="21"/>
          <w:color w:val="auto"/>
        </w:rPr>
        <w:t>— if no Default or Event of Default then exists, at the expense of such holder and upon reasonable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205" w:lineRule="exact"/>
        <w:rPr>
          <w:rFonts w:ascii="Times New Roman" w:cs="Times New Roman" w:eastAsia="Times New Roman" w:hAnsi="Times New Roman"/>
          <w:sz w:val="21"/>
          <w:szCs w:val="21"/>
          <w:color w:val="auto"/>
        </w:rPr>
      </w:pPr>
    </w:p>
    <w:p>
      <w:pPr>
        <w:jc w:val="both"/>
        <w:ind w:left="760" w:firstLine="429"/>
        <w:spacing w:after="0" w:line="246" w:lineRule="auto"/>
        <w:tabs>
          <w:tab w:leader="none" w:pos="16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 if a Default or Event of Default then exists, at the expense of the Company to visit and inspect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offices or properties of the Company or any Subsidiary, to examine all their respective books of account, records, reports and other</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papers, to make copies and extracts therefrom, and to discuss their respective affairs, finances and accounts with their respective officers and (with the consent of the Company, which consent will not be unreasonably withheld) independent public accountants, all at such times and as often as may be requested.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Each holder of the Notes agrees to keep confidential any Confidential Information received as a result of the rights granted in this </w:t>
      </w: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color w:val="auto"/>
        </w:rPr>
        <w:t>in the manner provided in</w:t>
      </w:r>
      <w:r>
        <w:rPr>
          <w:rFonts w:ascii="Times New Roman" w:cs="Times New Roman" w:eastAsia="Times New Roman" w:hAnsi="Times New Roman"/>
          <w:sz w:val="22"/>
          <w:szCs w:val="22"/>
          <w:b w:val="1"/>
          <w:bCs w:val="1"/>
          <w:color w:val="auto"/>
        </w:rPr>
        <w:t xml:space="preserve"> Section 20</w:t>
      </w:r>
      <w:r>
        <w:rPr>
          <w:rFonts w:ascii="Times New Roman" w:cs="Times New Roman" w:eastAsia="Times New Roman" w:hAnsi="Times New Roman"/>
          <w:sz w:val="22"/>
          <w:szCs w:val="22"/>
          <w:color w:val="auto"/>
        </w:rPr>
        <w:t>.</w:t>
      </w:r>
    </w:p>
    <w:p>
      <w:pPr>
        <w:spacing w:after="0" w:line="239" w:lineRule="exact"/>
        <w:rPr>
          <w:sz w:val="20"/>
          <w:szCs w:val="20"/>
          <w:color w:val="auto"/>
        </w:rPr>
      </w:pPr>
    </w:p>
    <w:p>
      <w:pPr>
        <w:spacing w:after="0"/>
        <w:tabs>
          <w:tab w:leader="none" w:pos="1280" w:val="left"/>
          <w:tab w:leader="none" w:pos="646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8.</w:t>
      </w:r>
      <w:r>
        <w:rPr>
          <w:sz w:val="20"/>
          <w:szCs w:val="20"/>
          <w:color w:val="auto"/>
        </w:rPr>
        <w:tab/>
      </w: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repayment of the</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8.</w:t>
      </w:r>
      <w:r>
        <w:rPr>
          <w:sz w:val="20"/>
          <w:szCs w:val="20"/>
          <w:color w:val="auto"/>
        </w:rPr>
        <w:tab/>
      </w: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repayment of the</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29"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8.1. Maturity </w:t>
      </w:r>
      <w:r>
        <w:rPr>
          <w:rFonts w:ascii="Times New Roman" w:cs="Times New Roman" w:eastAsia="Times New Roman" w:hAnsi="Times New Roman"/>
          <w:sz w:val="22"/>
          <w:szCs w:val="22"/>
          <w:color w:val="auto"/>
        </w:rPr>
        <w:t>TC "Section 8.1. Maturity" \f C \l "2" . As provided therein, the entire unpaid principal balance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each Series A Note and Series B Note shall be due and payable on the respective Maturity Date thereof.</w:t>
      </w:r>
    </w:p>
    <w:p>
      <w:pPr>
        <w:spacing w:after="0" w:line="190"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8.2. Optional Prepayments </w:t>
      </w:r>
      <w:r>
        <w:rPr>
          <w:rFonts w:ascii="Times New Roman" w:cs="Times New Roman" w:eastAsia="Times New Roman" w:hAnsi="Times New Roman"/>
          <w:sz w:val="22"/>
          <w:szCs w:val="22"/>
          <w:color w:val="auto"/>
        </w:rPr>
        <w:t>TC "Section 8.2. Optional Prepayments" \f C \l "2" . Prior to January 30, 2036,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Company may, at its option, upon notice as provided below, prepay at any time all, or from time to time any part of, the Series A Notes (but if in part then in a minimum aggregate principal amount of $100,000), at 100% of the principal amount so prepaid, together with interest accrued thereon to the date of such prepayment,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Make-Whole Amount determined for the prepayment date with respect to such principal amount. On and after January 30, 2036, the Company may, at its option, upon notice as provided below, prepay at any time all the Series A Notes, at 100% of the principal amount so prepaid, together with interest accrued thereon to the date of such prepayment, but without payment of the Make-Whole Amount.</w:t>
      </w:r>
    </w:p>
    <w:p>
      <w:pPr>
        <w:spacing w:after="0" w:line="22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Prior to December 30, 2040, the Company may, at its option, upon notice as provided below, prepay at any time all, or from time to time any part of, the Series B Notes (but if in part then in a minimum aggregate principal amount of $100,000), at 100% of the principal amount so prepaid, together with interest accrued thereon to the date of such prepayment,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Make-Whole Amount determined for the prepayment date with respect to such principal amount. On and after December 30, 2040, the Company may, at its option, upon notice as provided below, prepay at any time all the Series B Notes, at 100% of the principal amount so prepaid, together with interest accrued thereon to the date of such prepayment, but without payment of the Make-Whole Amount.</w:t>
      </w:r>
    </w:p>
    <w:p>
      <w:pPr>
        <w:spacing w:after="0" w:line="206" w:lineRule="exact"/>
        <w:rPr>
          <w:sz w:val="20"/>
          <w:szCs w:val="20"/>
          <w:color w:val="auto"/>
        </w:rPr>
      </w:pPr>
    </w:p>
    <w:p>
      <w:pPr>
        <w:jc w:val="both"/>
        <w:ind w:firstLine="656"/>
        <w:spacing w:after="0" w:line="235" w:lineRule="auto"/>
        <w:rPr>
          <w:sz w:val="20"/>
          <w:szCs w:val="20"/>
          <w:color w:val="auto"/>
        </w:rPr>
      </w:pPr>
      <w:r>
        <w:rPr>
          <w:rFonts w:ascii="Times New Roman" w:cs="Times New Roman" w:eastAsia="Times New Roman" w:hAnsi="Times New Roman"/>
          <w:sz w:val="22"/>
          <w:szCs w:val="22"/>
          <w:color w:val="auto"/>
        </w:rPr>
        <w:t xml:space="preserve">The Company will give each holder of Notes written notice of each optional prepayment under this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not less than 15 days and not more than 45 days prior to the date fixed for such prepayment unless the Company and the Required Holders agree to another time period pursuant to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Each such notice shall specify such date (which shall be a Business Day), the aggregate principal amount of the Notes to be prepaid on such date, the principal amount of each Note held by such holder to be prepaid (determined in accordance with </w:t>
      </w:r>
      <w:r>
        <w:rPr>
          <w:rFonts w:ascii="Times New Roman" w:cs="Times New Roman" w:eastAsia="Times New Roman" w:hAnsi="Times New Roman"/>
          <w:sz w:val="22"/>
          <w:szCs w:val="22"/>
          <w:b w:val="1"/>
          <w:bCs w:val="1"/>
          <w:color w:val="auto"/>
        </w:rPr>
        <w:t>Section 8.3</w:t>
      </w:r>
      <w:r>
        <w:rPr>
          <w:rFonts w:ascii="Times New Roman" w:cs="Times New Roman" w:eastAsia="Times New Roman" w:hAnsi="Times New Roman"/>
          <w:sz w:val="22"/>
          <w:szCs w:val="22"/>
          <w:color w:val="auto"/>
        </w:rPr>
        <w:t>), and the interest to be paid on the prepayment date with respect to such principal amount being prepaid, and shall be accompanied by a certificate of a Senior Financial Officer as to the estimated Make-Whole Amount, if any, due in connection with such prepayment (calculated as if the date of such notice were the date of the prepayment), setting forth the details of such computation. Two Business Days prior to such prepayment, the Company shall deliver to each holder of Notes a</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exact"/>
        <w:rPr>
          <w:sz w:val="20"/>
          <w:szCs w:val="20"/>
          <w:color w:val="auto"/>
        </w:rPr>
      </w:pPr>
      <w:r>
        <w:rPr>
          <w:rFonts w:ascii="Times New Roman" w:cs="Times New Roman" w:eastAsia="Times New Roman" w:hAnsi="Times New Roman"/>
          <w:sz w:val="22"/>
          <w:szCs w:val="22"/>
          <w:color w:val="auto"/>
        </w:rPr>
        <w:t>certificate of a Senior Financial Officer specifying the calculation of such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as of the specified prepayment date.</w:t>
      </w:r>
    </w:p>
    <w:p>
      <w:pPr>
        <w:spacing w:after="0" w:line="200"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8.3. Allocation of Partial Prepayments </w:t>
      </w:r>
      <w:r>
        <w:rPr>
          <w:rFonts w:ascii="Times New Roman" w:cs="Times New Roman" w:eastAsia="Times New Roman" w:hAnsi="Times New Roman"/>
          <w:sz w:val="22"/>
          <w:szCs w:val="22"/>
          <w:color w:val="auto"/>
        </w:rPr>
        <w:t>TC "Section 8.3. Allocation of Partial Prepayments" \f C \l "2" .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case of each partial prepayment of the Notes pursuant to </w:t>
      </w:r>
      <w:r>
        <w:rPr>
          <w:rFonts w:ascii="Times New Roman" w:cs="Times New Roman" w:eastAsia="Times New Roman" w:hAnsi="Times New Roman"/>
          <w:sz w:val="22"/>
          <w:szCs w:val="22"/>
          <w:b w:val="1"/>
          <w:bCs w:val="1"/>
          <w:color w:val="auto"/>
        </w:rPr>
        <w:t>Section 8.1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the aggregate principal amount of the Notes to be prepaid shall be allocated among all of the Notes at the time outstanding in proportion, as nearly as practicable, to the respective unpaid principal amounts thereof not theretofore called for prepayment.</w:t>
      </w:r>
    </w:p>
    <w:p>
      <w:pPr>
        <w:spacing w:after="0" w:line="212"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8.4. Maturity; Surrender, Etc </w:t>
      </w:r>
      <w:r>
        <w:rPr>
          <w:rFonts w:ascii="Times New Roman" w:cs="Times New Roman" w:eastAsia="Times New Roman" w:hAnsi="Times New Roman"/>
          <w:sz w:val="22"/>
          <w:szCs w:val="22"/>
          <w:color w:val="auto"/>
        </w:rPr>
        <w:t>TC "Section 8.4. Maturity; Surrender, Etc" \f C \l "2" .In the case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optional prepayment of Notes pursuant to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the principal amount of each Note to be prepaid shall mature and become due and payable on the date fixed for such prepayment (which shall be a Business Day),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219"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Section 8.5. Purchase of Notes</w:t>
      </w:r>
      <w:r>
        <w:rPr>
          <w:rFonts w:ascii="Times New Roman" w:cs="Times New Roman" w:eastAsia="Times New Roman" w:hAnsi="Times New Roman"/>
          <w:sz w:val="22"/>
          <w:szCs w:val="22"/>
          <w:color w:val="auto"/>
        </w:rPr>
        <w:t>tc "Section 8.5. Purchase of Notes" \f C \l 2. The Company will not and will not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Affiliate Controlled by the Company to purchase, redeem, prepay or otherwise acquire, directly or indirectly, any of the outstanding Notes except (a) upon the payment or prepayment of the Notes in accordance with the terms of this Agreement and the Notes or (b) pursuant to a written offer to purchase a specified principal amount of Notes made by the Company or an Affiliate Controlled by the Company pro rata to the holders of all Notes at the time outstanding upon the same terms and conditions. Any such offer shall provide each holder of Notes with reasonably sufficient information to enable it to make an informed decision with respect to such offer, and shall remain open for at least 20 Business Days. If the holders of more than 25% of the principal amount of the Notes then outstanding accept such offer, the Company shall promptly notify the remaining holders of such fact and the expiration date for the acceptance by holders of Notes of such offer shall be extended by the number of days necessary to give each such remaining holder at least ten Business Days from its receipt of such notice to accept such offer. The Company will promptly cancel all Notes acquired by it or any Affiliate Controlled by the Company pursuant to any payment, prepayment or purchase of Notes pursuant to any provision of this Agreement and no Notes may be issued in substitution or exchange for any such Notes.</w:t>
      </w:r>
    </w:p>
    <w:p>
      <w:pPr>
        <w:spacing w:after="0" w:line="209"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8.6.</w:t>
      </w:r>
      <w:r>
        <w:rPr>
          <w:sz w:val="20"/>
          <w:szCs w:val="20"/>
          <w:color w:val="auto"/>
        </w:rPr>
        <w:tab/>
      </w:r>
      <w:r>
        <w:rPr>
          <w:rFonts w:ascii="Times New Roman" w:cs="Times New Roman" w:eastAsia="Times New Roman" w:hAnsi="Times New Roman"/>
          <w:sz w:val="21"/>
          <w:szCs w:val="21"/>
          <w:i w:val="1"/>
          <w:iCs w:val="1"/>
          <w:color w:val="auto"/>
        </w:rPr>
        <w:t xml:space="preserve">Make-Whole Amount </w:t>
      </w:r>
      <w:r>
        <w:rPr>
          <w:rFonts w:ascii="Times New Roman" w:cs="Times New Roman" w:eastAsia="Times New Roman" w:hAnsi="Times New Roman"/>
          <w:sz w:val="21"/>
          <w:szCs w:val="21"/>
          <w:color w:val="auto"/>
        </w:rPr>
        <w:t>TC "Section 8.6. Make-Whole Amount" \f C \l "2" .</w:t>
      </w:r>
    </w:p>
    <w:p>
      <w:pPr>
        <w:spacing w:after="0" w:line="216" w:lineRule="exact"/>
        <w:rPr>
          <w:sz w:val="20"/>
          <w:szCs w:val="20"/>
          <w:color w:val="auto"/>
        </w:rPr>
      </w:pPr>
    </w:p>
    <w:p>
      <w:pPr>
        <w:jc w:val="both"/>
        <w:ind w:firstLine="749"/>
        <w:spacing w:after="0" w:line="280" w:lineRule="exact"/>
        <w:rPr>
          <w:sz w:val="20"/>
          <w:szCs w:val="20"/>
          <w:color w:val="auto"/>
        </w:rPr>
      </w:pPr>
      <w:r>
        <w:rPr>
          <w:rFonts w:ascii="Times New Roman" w:cs="Times New Roman" w:eastAsia="Times New Roman" w:hAnsi="Times New Roman"/>
          <w:sz w:val="22"/>
          <w:szCs w:val="22"/>
          <w:i w:val="1"/>
          <w:iCs w:val="1"/>
          <w:color w:val="auto"/>
        </w:rPr>
        <w:t>“Make</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Whole Amount” </w:t>
      </w:r>
      <w:r>
        <w:rPr>
          <w:rFonts w:ascii="Times New Roman" w:cs="Times New Roman" w:eastAsia="Times New Roman" w:hAnsi="Times New Roman"/>
          <w:sz w:val="22"/>
          <w:szCs w:val="22"/>
          <w:color w:val="auto"/>
        </w:rPr>
        <w:t>means, with respect to any Note, an amount equal to the excess, if any, of the Discounted Value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Remaining Scheduled Payments with respect to the Called Principal of such Note over the amount of such Called Principal,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may in no event be less than zero. For the purposes of determining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the following terms have the following meanings:</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“Called Principal” </w:t>
      </w:r>
      <w:r>
        <w:rPr>
          <w:rFonts w:ascii="Times New Roman" w:cs="Times New Roman" w:eastAsia="Times New Roman" w:hAnsi="Times New Roman"/>
          <w:sz w:val="22"/>
          <w:szCs w:val="22"/>
          <w:color w:val="auto"/>
        </w:rPr>
        <w:t>means, with respect to any Note, the principal of such Note that is to be prepaid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or has become or is declared to be immediately due and payable pursuant to</w:t>
      </w:r>
      <w:r>
        <w:rPr>
          <w:rFonts w:ascii="Times New Roman" w:cs="Times New Roman" w:eastAsia="Times New Roman" w:hAnsi="Times New Roman"/>
          <w:sz w:val="22"/>
          <w:szCs w:val="22"/>
          <w:b w:val="1"/>
          <w:bCs w:val="1"/>
          <w:color w:val="auto"/>
        </w:rPr>
        <w:t xml:space="preserve"> Section 12.1</w:t>
      </w:r>
      <w:r>
        <w:rPr>
          <w:rFonts w:ascii="Times New Roman" w:cs="Times New Roman" w:eastAsia="Times New Roman" w:hAnsi="Times New Roman"/>
          <w:sz w:val="22"/>
          <w:szCs w:val="22"/>
          <w:color w:val="auto"/>
        </w:rPr>
        <w:t>, as the context requires.</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“Discounted Value” </w:t>
      </w:r>
      <w:r>
        <w:rPr>
          <w:rFonts w:ascii="Times New Roman" w:cs="Times New Roman" w:eastAsia="Times New Roman" w:hAnsi="Times New Roman"/>
          <w:sz w:val="22"/>
          <w:szCs w:val="22"/>
          <w:color w:val="auto"/>
        </w:rPr>
        <w:t>means, with respect to the Called Principal of any Note, the amount obtained by discounting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217"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1"/>
          <w:szCs w:val="21"/>
          <w:i w:val="1"/>
          <w:iCs w:val="1"/>
          <w:color w:val="auto"/>
        </w:rPr>
        <w:t xml:space="preserve">“Reinvestment Yield” </w:t>
      </w:r>
      <w:r>
        <w:rPr>
          <w:rFonts w:ascii="Times New Roman" w:cs="Times New Roman" w:eastAsia="Times New Roman" w:hAnsi="Times New Roman"/>
          <w:sz w:val="21"/>
          <w:szCs w:val="21"/>
          <w:color w:val="auto"/>
        </w:rPr>
        <w:t>means, with respect to the Called Principal of any Note, 0.50% over the yield to maturity implied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run U.S. Treasury securities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i w:val="1"/>
          <w:iCs w:val="1"/>
          <w:color w:val="auto"/>
        </w:rPr>
        <w:t>“Reported”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run U.S. Treasury securities with the maturities (1) closest to and greater than such Remaining Average Life and</w:t>
      </w:r>
    </w:p>
    <w:p>
      <w:pPr>
        <w:spacing w:after="0" w:line="5" w:lineRule="exact"/>
        <w:rPr>
          <w:sz w:val="20"/>
          <w:szCs w:val="20"/>
          <w:color w:val="auto"/>
        </w:rPr>
      </w:pPr>
    </w:p>
    <w:p>
      <w:pPr>
        <w:ind w:firstLine="8"/>
        <w:spacing w:after="0" w:line="237" w:lineRule="auto"/>
        <w:tabs>
          <w:tab w:leader="none" w:pos="3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closest to and less than such Remaining Average Life. The Reinvestment Yield shall be rounded to the number of decimal places as appears in the interest rate of the applicable Note.</w:t>
      </w:r>
    </w:p>
    <w:p>
      <w:pPr>
        <w:spacing w:after="0" w:line="21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If such yields are not Reported or the yields Reported as of such time are not ascertainable (including by way of interpolation), then </w:t>
      </w:r>
      <w:r>
        <w:rPr>
          <w:rFonts w:ascii="Times New Roman" w:cs="Times New Roman" w:eastAsia="Times New Roman" w:hAnsi="Times New Roman"/>
          <w:sz w:val="22"/>
          <w:szCs w:val="22"/>
          <w:i w:val="1"/>
          <w:iCs w:val="1"/>
          <w:color w:val="auto"/>
        </w:rPr>
        <w:t>“Reinvestment Yield”</w:t>
      </w:r>
      <w:r>
        <w:rPr>
          <w:rFonts w:ascii="Times New Roman" w:cs="Times New Roman" w:eastAsia="Times New Roman" w:hAnsi="Times New Roman"/>
          <w:sz w:val="22"/>
          <w:szCs w:val="22"/>
          <w:color w:val="auto"/>
        </w:rPr>
        <w:t xml:space="preserve"> means, with respect to the Called Principal of any Note, 0.50% over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210" w:lineRule="exact"/>
        <w:rPr>
          <w:sz w:val="20"/>
          <w:szCs w:val="20"/>
          <w:color w:val="auto"/>
        </w:rPr>
      </w:pPr>
    </w:p>
    <w:p>
      <w:pPr>
        <w:jc w:val="both"/>
        <w:ind w:firstLine="749"/>
        <w:spacing w:after="0" w:line="268" w:lineRule="exact"/>
        <w:rPr>
          <w:sz w:val="20"/>
          <w:szCs w:val="20"/>
          <w:color w:val="auto"/>
        </w:rPr>
      </w:pPr>
      <w:r>
        <w:rPr>
          <w:rFonts w:ascii="Times New Roman" w:cs="Times New Roman" w:eastAsia="Times New Roman" w:hAnsi="Times New Roman"/>
          <w:sz w:val="22"/>
          <w:szCs w:val="22"/>
          <w:i w:val="1"/>
          <w:iCs w:val="1"/>
          <w:color w:val="auto"/>
        </w:rPr>
        <w:t xml:space="preserve">“Remaining Average Life” </w:t>
      </w:r>
      <w:r>
        <w:rPr>
          <w:rFonts w:ascii="Times New Roman" w:cs="Times New Roman" w:eastAsia="Times New Roman" w:hAnsi="Times New Roman"/>
          <w:sz w:val="22"/>
          <w:szCs w:val="22"/>
          <w:color w:val="auto"/>
        </w:rPr>
        <w:t>means, with respect to any Called Principal, the number of years obtained by dividing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Called Principal into (ii) the sum of the products obtained by multiplying (a) the principal component of each Remaining Scheduled Payment with respect to such Called Principal by (b) the number of years, computed on the basis of a 360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year composed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and calculated to two decimal places, that will elapse between</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Settlement Date with respect to such Called Principal and the scheduled due date of such Remaining Scheduled Payment.</w:t>
      </w:r>
    </w:p>
    <w:p>
      <w:pPr>
        <w:spacing w:after="0" w:line="22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“Remaining Scheduled Payments” </w:t>
      </w:r>
      <w:r>
        <w:rPr>
          <w:rFonts w:ascii="Times New Roman" w:cs="Times New Roman" w:eastAsia="Times New Roman" w:hAnsi="Times New Roman"/>
          <w:sz w:val="22"/>
          <w:szCs w:val="22"/>
          <w:color w:val="auto"/>
        </w:rPr>
        <w:t>means, with respect to the Called Principal of any Note, all payments of such Called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Principal and interest thereon that would be due after the Settlement Date with respect to such Called Principal if no payment of such Called Principal were made prior to its scheduled due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w:t>
      </w:r>
      <w:r>
        <w:rPr>
          <w:rFonts w:ascii="Times New Roman" w:cs="Times New Roman" w:eastAsia="Times New Roman" w:hAnsi="Times New Roman"/>
          <w:sz w:val="22"/>
          <w:szCs w:val="22"/>
          <w:b w:val="1"/>
          <w:bCs w:val="1"/>
          <w:color w:val="auto"/>
        </w:rPr>
        <w:t xml:space="preserve">Section 8.2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12.1</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“Settlement Date” </w:t>
      </w:r>
      <w:r>
        <w:rPr>
          <w:rFonts w:ascii="Times New Roman" w:cs="Times New Roman" w:eastAsia="Times New Roman" w:hAnsi="Times New Roman"/>
          <w:sz w:val="22"/>
          <w:szCs w:val="22"/>
          <w:color w:val="auto"/>
        </w:rPr>
        <w:t>means, with respect to the Called Principal of any Note, the date on which such Called Principal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prepaid pursuant to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or has become or is declared to be immediately due and payable pursuant to </w:t>
      </w:r>
      <w:r>
        <w:rPr>
          <w:rFonts w:ascii="Times New Roman" w:cs="Times New Roman" w:eastAsia="Times New Roman" w:hAnsi="Times New Roman"/>
          <w:sz w:val="22"/>
          <w:szCs w:val="22"/>
          <w:b w:val="1"/>
          <w:bCs w:val="1"/>
          <w:color w:val="auto"/>
        </w:rPr>
        <w:t>Section 12.1</w:t>
      </w:r>
      <w:r>
        <w:rPr>
          <w:rFonts w:ascii="Times New Roman" w:cs="Times New Roman" w:eastAsia="Times New Roman" w:hAnsi="Times New Roman"/>
          <w:sz w:val="22"/>
          <w:szCs w:val="22"/>
          <w:color w:val="auto"/>
        </w:rPr>
        <w:t>, as the context requires.</w:t>
      </w:r>
    </w:p>
    <w:p>
      <w:pPr>
        <w:spacing w:after="0" w:line="177" w:lineRule="exact"/>
        <w:rPr>
          <w:sz w:val="20"/>
          <w:szCs w:val="20"/>
          <w:color w:val="auto"/>
        </w:rPr>
      </w:pPr>
    </w:p>
    <w:p>
      <w:pPr>
        <w:ind w:left="440"/>
        <w:spacing w:after="0" w:line="253" w:lineRule="exact"/>
        <w:tabs>
          <w:tab w:leader="none" w:pos="1720" w:val="left"/>
          <w:tab w:leader="none" w:pos="6900" w:val="left"/>
        </w:tabs>
        <w:rPr>
          <w:sz w:val="20"/>
          <w:szCs w:val="20"/>
          <w:color w:val="auto"/>
        </w:rPr>
      </w:pPr>
      <w:r>
        <w:rPr>
          <w:rFonts w:ascii="Times New Roman" w:cs="Times New Roman" w:eastAsia="Times New Roman" w:hAnsi="Times New Roman"/>
          <w:sz w:val="22"/>
          <w:szCs w:val="22"/>
          <w:i w:val="1"/>
          <w:iCs w:val="1"/>
          <w:color w:val="auto"/>
        </w:rPr>
        <w:t>Section 8.7.</w:t>
        <w:tab/>
        <w:t>Payments Due on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Business Days </w:t>
      </w:r>
      <w:r>
        <w:rPr>
          <w:rFonts w:ascii="Times New Roman" w:cs="Times New Roman" w:eastAsia="Times New Roman" w:hAnsi="Times New Roman"/>
          <w:sz w:val="22"/>
          <w:szCs w:val="22"/>
          <w:color w:val="auto"/>
        </w:rPr>
        <w:t>TC "Section 8.7.</w:t>
      </w:r>
      <w:r>
        <w:rPr>
          <w:sz w:val="20"/>
          <w:szCs w:val="20"/>
          <w:color w:val="auto"/>
        </w:rPr>
        <w:tab/>
      </w:r>
      <w:r>
        <w:rPr>
          <w:rFonts w:ascii="Times New Roman" w:cs="Times New Roman" w:eastAsia="Times New Roman" w:hAnsi="Times New Roman"/>
          <w:sz w:val="21"/>
          <w:szCs w:val="21"/>
          <w:color w:val="auto"/>
        </w:rPr>
        <w:t>Payments Due on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Business Days" \f C \l "2"</w:t>
      </w:r>
    </w:p>
    <w:p>
      <w:pPr>
        <w:spacing w:after="0" w:line="62" w:lineRule="exact"/>
        <w:rPr>
          <w:sz w:val="20"/>
          <w:szCs w:val="20"/>
          <w:color w:val="auto"/>
        </w:rPr>
      </w:pPr>
    </w:p>
    <w:p>
      <w:pPr>
        <w:jc w:val="both"/>
        <w:ind w:firstLine="8"/>
        <w:spacing w:after="0" w:line="248" w:lineRule="exact"/>
        <w:tabs>
          <w:tab w:leader="none" w:pos="182"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spacing w:after="0" w:line="245" w:lineRule="exact"/>
        <w:rPr>
          <w:sz w:val="20"/>
          <w:szCs w:val="20"/>
          <w:color w:val="auto"/>
        </w:rPr>
      </w:pPr>
    </w:p>
    <w:p>
      <w:pPr>
        <w:jc w:val="center"/>
        <w:ind w:right="3300"/>
        <w:spacing w:after="0"/>
        <w:tabs>
          <w:tab w:leader="none" w:pos="40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9.</w:t>
      </w:r>
      <w:r>
        <w:rPr>
          <w:sz w:val="20"/>
          <w:szCs w:val="20"/>
          <w:color w:val="auto"/>
        </w:rPr>
        <w:tab/>
      </w: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9. 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So long as any of the Notes are outstanding, the Company covenants that:</w:t>
      </w:r>
    </w:p>
    <w:p>
      <w:pPr>
        <w:spacing w:after="0" w:line="229"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9.1. Compliance with Law </w:t>
      </w:r>
      <w:r>
        <w:rPr>
          <w:rFonts w:ascii="Times New Roman" w:cs="Times New Roman" w:eastAsia="Times New Roman" w:hAnsi="Times New Roman"/>
          <w:sz w:val="22"/>
          <w:szCs w:val="22"/>
          <w:color w:val="auto"/>
        </w:rPr>
        <w:t>TC "Section 9.1. Compliance with Law" \f C \l "2" . Without limiting</w:t>
      </w:r>
      <w:r>
        <w:rPr>
          <w:rFonts w:ascii="Times New Roman" w:cs="Times New Roman" w:eastAsia="Times New Roman" w:hAnsi="Times New Roman"/>
          <w:sz w:val="22"/>
          <w:szCs w:val="22"/>
          <w:b w:val="1"/>
          <w:bCs w:val="1"/>
          <w:color w:val="auto"/>
        </w:rPr>
        <w:t>Section 10.7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Company will, and will 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Times New Roman" w:cs="Times New Roman" w:eastAsia="Times New Roman" w:hAnsi="Times New Roman"/>
          <w:sz w:val="22"/>
          <w:szCs w:val="22"/>
          <w:b w:val="1"/>
          <w:bCs w:val="1"/>
          <w:color w:val="auto"/>
        </w:rPr>
        <w:t>Section 5.16</w:t>
      </w:r>
      <w:r>
        <w:rPr>
          <w:rFonts w:ascii="Times New Roman" w:cs="Times New Roman" w:eastAsia="Times New Roman" w:hAnsi="Times New Roman"/>
          <w:sz w:val="22"/>
          <w:szCs w:val="22"/>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the failure to obtain or maintain in effect such licenses, certificates, permits, franchises and other governmental authorizations would not, individually or in the aggregate, reasonably be expected to have a Material Adverse Effect.</w:t>
      </w:r>
    </w:p>
    <w:p>
      <w:pPr>
        <w:spacing w:after="0" w:line="214"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9.2. Insurance </w:t>
      </w:r>
      <w:r>
        <w:rPr>
          <w:rFonts w:ascii="Times New Roman" w:cs="Times New Roman" w:eastAsia="Times New Roman" w:hAnsi="Times New Roman"/>
          <w:sz w:val="22"/>
          <w:szCs w:val="22"/>
          <w:color w:val="auto"/>
        </w:rPr>
        <w:t>TC "Section 9.2. Insurance"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The Company will insure and keep insured,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every Subsidiary to insure and keep insured, to a reasonable amount with reputable insurance companies, so much of their respective properties as companies engaged in a similar business and to the extent such companies in accordance with good business</w:t>
      </w:r>
    </w:p>
    <w:p>
      <w:pPr>
        <w:spacing w:after="0" w:line="3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practice customarily insure properties of a similar character against loss by fire and from other causes or, in lieu thereof, in the case of itself or its Subsidiaries, the Company will maintain or cause to be maintained a system or systems of self-insurance which will accord with the approved practices of companies owning or operating properties of a similar character and maintaining such systems, and of a size similar to that of the Company and its direct and indirect Subsidiaries on a consolidated basis.</w:t>
      </w:r>
    </w:p>
    <w:p>
      <w:pPr>
        <w:spacing w:after="0" w:line="200"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9.3. Maintenance of Properties </w:t>
      </w:r>
      <w:r>
        <w:rPr>
          <w:rFonts w:ascii="Times New Roman" w:cs="Times New Roman" w:eastAsia="Times New Roman" w:hAnsi="Times New Roman"/>
          <w:sz w:val="22"/>
          <w:szCs w:val="22"/>
          <w:color w:val="auto"/>
        </w:rPr>
        <w:t>TC "Section 9.3. Maintenance of Properties" \f C \l "2" . The Company will,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b w:val="1"/>
          <w:bCs w:val="1"/>
          <w:color w:val="auto"/>
        </w:rPr>
        <w:t>Section 9.3</w:t>
      </w:r>
      <w:r>
        <w:rPr>
          <w:rFonts w:ascii="Times New Roman" w:cs="Times New Roman" w:eastAsia="Times New Roman" w:hAnsi="Times New Roman"/>
          <w:sz w:val="22"/>
          <w:szCs w:val="22"/>
          <w:color w:val="auto"/>
        </w:rPr>
        <w:t xml:space="preserve">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spacing w:after="0" w:line="21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9.4. Payment of Taxes and Claims </w:t>
      </w:r>
      <w:r>
        <w:rPr>
          <w:rFonts w:ascii="Times New Roman" w:cs="Times New Roman" w:eastAsia="Times New Roman" w:hAnsi="Times New Roman"/>
          <w:sz w:val="22"/>
          <w:szCs w:val="22"/>
          <w:color w:val="auto"/>
        </w:rPr>
        <w:t>TC "Section 9.4. Payment of Taxes and Claims" \f C \l "2" .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and will cause each of its Subsidiaries to, file all income tax or similar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prohibited by this Agreement on properties or assets of the Company or any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neither the Company nor any Subsidiary need file any such return or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any such return or the nonpayment of all such taxes, assessments, charges, levies and claims would not, individually or in the aggregate, reasonably be expected to have a Material Adverse Effect.</w:t>
      </w:r>
    </w:p>
    <w:p>
      <w:pPr>
        <w:spacing w:after="0" w:line="225"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9.5. Corporate Existence, Etc.; Ownership of Subsidiaries </w:t>
      </w:r>
      <w:r>
        <w:rPr>
          <w:rFonts w:ascii="Times New Roman" w:cs="Times New Roman" w:eastAsia="Times New Roman" w:hAnsi="Times New Roman"/>
          <w:sz w:val="22"/>
          <w:szCs w:val="22"/>
          <w:color w:val="auto"/>
        </w:rPr>
        <w:t>TC "Section 9.5. Corporate Existence, Etc.;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Ownership of Subsidiaries" \f C \l "2" . (a) Subject to </w:t>
      </w:r>
      <w:r>
        <w:rPr>
          <w:rFonts w:ascii="Times New Roman" w:cs="Times New Roman" w:eastAsia="Times New Roman" w:hAnsi="Times New Roman"/>
          <w:sz w:val="22"/>
          <w:szCs w:val="22"/>
          <w:b w:val="1"/>
          <w:bCs w:val="1"/>
          <w:color w:val="auto"/>
        </w:rPr>
        <w:t>Section 10.4(ii)</w:t>
      </w:r>
      <w:r>
        <w:rPr>
          <w:rFonts w:ascii="Times New Roman" w:cs="Times New Roman" w:eastAsia="Times New Roman" w:hAnsi="Times New Roman"/>
          <w:sz w:val="22"/>
          <w:szCs w:val="22"/>
          <w:color w:val="auto"/>
        </w:rPr>
        <w:t xml:space="preserve"> the Company will at all times preserve and keep in full force and effect its corporate existence. Subject to </w:t>
      </w:r>
      <w:r>
        <w:rPr>
          <w:rFonts w:ascii="Times New Roman" w:cs="Times New Roman" w:eastAsia="Times New Roman" w:hAnsi="Times New Roman"/>
          <w:sz w:val="22"/>
          <w:szCs w:val="22"/>
          <w:b w:val="1"/>
          <w:bCs w:val="1"/>
          <w:color w:val="auto"/>
        </w:rPr>
        <w:t>Section 10.4</w:t>
      </w:r>
      <w:r>
        <w:rPr>
          <w:rFonts w:ascii="Times New Roman" w:cs="Times New Roman" w:eastAsia="Times New Roman" w:hAnsi="Times New Roman"/>
          <w:sz w:val="22"/>
          <w:szCs w:val="22"/>
          <w:color w:val="auto"/>
        </w:rPr>
        <w:t>, the Company will at all times preserve and keep in full force and effect the legal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legal existence, right or franchise would not, individually or in the aggregate, have a Material Adverse Effect.</w:t>
      </w:r>
    </w:p>
    <w:p>
      <w:pPr>
        <w:spacing w:after="0" w:line="207" w:lineRule="exact"/>
        <w:rPr>
          <w:sz w:val="20"/>
          <w:szCs w:val="20"/>
          <w:color w:val="auto"/>
        </w:rPr>
      </w:pPr>
    </w:p>
    <w:p>
      <w:pPr>
        <w:ind w:right="40" w:firstLine="440"/>
        <w:spacing w:after="0" w:line="258" w:lineRule="auto"/>
        <w:tabs>
          <w:tab w:leader="none" w:pos="8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except pursuant to an action or order by a Governmental Authority, one hundred percent of all of the equity interests</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2"/>
          <w:szCs w:val="22"/>
          <w:color w:val="auto"/>
        </w:rPr>
        <w:t>(except directors’ qualifying shares) and voting interests of the Company shall at all times be and remain owned (directly or indirectly) by Unitil.</w:t>
      </w:r>
    </w:p>
    <w:p>
      <w:pPr>
        <w:spacing w:after="0" w:line="181" w:lineRule="exact"/>
        <w:rPr>
          <w:sz w:val="20"/>
          <w:szCs w:val="20"/>
          <w:color w:val="auto"/>
        </w:rPr>
      </w:pPr>
    </w:p>
    <w:p>
      <w:pPr>
        <w:jc w:val="both"/>
        <w:ind w:right="100"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9.6. Books and Records </w:t>
      </w:r>
      <w:r>
        <w:rPr>
          <w:rFonts w:ascii="Times New Roman" w:cs="Times New Roman" w:eastAsia="Times New Roman" w:hAnsi="Times New Roman"/>
          <w:sz w:val="22"/>
          <w:szCs w:val="22"/>
          <w:color w:val="auto"/>
        </w:rPr>
        <w:t>TC "Section 9.6. Books and Records" \f C \l "2" . The Company will, and will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its Subsidiaries to, maintain proper books of record and account in conformity with GAAP and all applicable requirements of any Governmental Authority having legal or regulatory jurisdiction over the Company or such Subsidiary, as the case may be.</w:t>
      </w:r>
    </w:p>
    <w:p>
      <w:pPr>
        <w:spacing w:after="0" w:line="212"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9.7. Notes to Rank Pari Passu </w:t>
      </w:r>
      <w:r>
        <w:rPr>
          <w:rFonts w:ascii="Times New Roman" w:cs="Times New Roman" w:eastAsia="Times New Roman" w:hAnsi="Times New Roman"/>
          <w:sz w:val="22"/>
          <w:szCs w:val="22"/>
          <w:color w:val="auto"/>
        </w:rPr>
        <w:t>TC "Section 9.7. Notes to Rank Pari Passu" \f C \l "2" . The Company wil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ensure that its payment obligations under this Agreement and the Notes will at all times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without preference or priority, with all other senior unsecured Funded Indebtedness of the Company.</w:t>
      </w:r>
    </w:p>
    <w:p>
      <w:pPr>
        <w:spacing w:after="0" w:line="208" w:lineRule="exact"/>
        <w:rPr>
          <w:sz w:val="20"/>
          <w:szCs w:val="20"/>
          <w:color w:val="auto"/>
        </w:rPr>
      </w:pPr>
    </w:p>
    <w:p>
      <w:pPr>
        <w:jc w:val="both"/>
        <w:ind w:right="20" w:firstLine="472"/>
        <w:spacing w:after="0" w:line="262" w:lineRule="exact"/>
        <w:rPr>
          <w:sz w:val="20"/>
          <w:szCs w:val="20"/>
          <w:color w:val="auto"/>
        </w:rPr>
      </w:pPr>
      <w:r>
        <w:rPr>
          <w:rFonts w:ascii="Times New Roman" w:cs="Times New Roman" w:eastAsia="Times New Roman" w:hAnsi="Times New Roman"/>
          <w:sz w:val="22"/>
          <w:szCs w:val="22"/>
          <w:i w:val="1"/>
          <w:iCs w:val="1"/>
          <w:color w:val="auto"/>
        </w:rPr>
        <w:t xml:space="preserve">Section 9.8. Guarantors </w:t>
      </w:r>
      <w:r>
        <w:rPr>
          <w:rFonts w:ascii="Times New Roman" w:cs="Times New Roman" w:eastAsia="Times New Roman" w:hAnsi="Times New Roman"/>
          <w:sz w:val="22"/>
          <w:szCs w:val="22"/>
          <w:color w:val="auto"/>
        </w:rPr>
        <w:t>TC "Section 9.8. Guarantors" \f C \l "2" . (a) The Company will cause any Person tha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guarantees or otherwise becomes liable at any time, whether as a borrower or an additional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 or otherwise, for or in respect of any Indebtedness under any Material Credit Facility to concurrently therewith:</w:t>
      </w:r>
    </w:p>
    <w:p>
      <w:pPr>
        <w:spacing w:after="0" w:line="205" w:lineRule="exact"/>
        <w:rPr>
          <w:sz w:val="20"/>
          <w:szCs w:val="20"/>
          <w:color w:val="auto"/>
        </w:rPr>
      </w:pPr>
    </w:p>
    <w:p>
      <w:pPr>
        <w:jc w:val="both"/>
        <w:ind w:left="760" w:right="100" w:firstLine="429"/>
        <w:spacing w:after="0" w:line="250" w:lineRule="exact"/>
        <w:tabs>
          <w:tab w:leader="none" w:pos="162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 agreement in form and substance satisfactory to the Required Holders providing for the guaranty by such Person, on a joint and several basis with all other such Persons, of (x) the prompt payment in full when due of all amounts payable by the Company pursuant to the Notes (whether for principal, interest,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Times New Roman" w:cs="Times New Roman" w:eastAsia="Times New Roman" w:hAnsi="Times New Roman"/>
          <w:sz w:val="22"/>
          <w:szCs w:val="22"/>
          <w:i w:val="1"/>
          <w:iCs w:val="1"/>
          <w:color w:val="auto"/>
        </w:rPr>
        <w:t>Guaranty Agreement”</w:t>
      </w:r>
      <w:r>
        <w:rPr>
          <w:rFonts w:ascii="Times New Roman" w:cs="Times New Roman" w:eastAsia="Times New Roman" w:hAnsi="Times New Roman"/>
          <w:sz w:val="22"/>
          <w:szCs w:val="22"/>
          <w:color w:val="auto"/>
        </w:rPr>
        <w:t>); and</w:t>
      </w:r>
    </w:p>
    <w:p>
      <w:pPr>
        <w:spacing w:after="0" w:line="222"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the following to each holder of a Note:</w:t>
      </w:r>
    </w:p>
    <w:p>
      <w:pPr>
        <w:spacing w:after="0" w:line="246" w:lineRule="exact"/>
        <w:rPr>
          <w:rFonts w:ascii="Times New Roman" w:cs="Times New Roman" w:eastAsia="Times New Roman" w:hAnsi="Times New Roman"/>
          <w:sz w:val="22"/>
          <w:szCs w:val="22"/>
          <w:color w:val="auto"/>
        </w:rPr>
      </w:pPr>
    </w:p>
    <w:p>
      <w:pPr>
        <w:ind w:left="2360" w:hanging="423"/>
        <w:spacing w:after="0"/>
        <w:tabs>
          <w:tab w:leader="none" w:pos="23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counterpart of such Guaranty;</w:t>
      </w:r>
    </w:p>
    <w:p>
      <w:pPr>
        <w:spacing w:after="0" w:line="233" w:lineRule="exact"/>
        <w:rPr>
          <w:rFonts w:ascii="Times New Roman" w:cs="Times New Roman" w:eastAsia="Times New Roman" w:hAnsi="Times New Roman"/>
          <w:sz w:val="22"/>
          <w:szCs w:val="22"/>
          <w:color w:val="auto"/>
        </w:rPr>
      </w:pPr>
    </w:p>
    <w:p>
      <w:pPr>
        <w:jc w:val="both"/>
        <w:ind w:left="1500" w:right="100" w:firstLine="437"/>
        <w:spacing w:after="0" w:line="239" w:lineRule="auto"/>
        <w:tabs>
          <w:tab w:leader="none" w:pos="236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signed by an authorized responsible officer of such Person containing representations and warranties on behalf of such Person to the same effect,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those contained in </w:t>
      </w:r>
      <w:r>
        <w:rPr>
          <w:rFonts w:ascii="Times New Roman" w:cs="Times New Roman" w:eastAsia="Times New Roman" w:hAnsi="Times New Roman"/>
          <w:sz w:val="22"/>
          <w:szCs w:val="22"/>
          <w:b w:val="1"/>
          <w:bCs w:val="1"/>
          <w:color w:val="auto"/>
        </w:rPr>
        <w:t>Sections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5.6</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5.7 </w:t>
      </w:r>
      <w:r>
        <w:rPr>
          <w:rFonts w:ascii="Times New Roman" w:cs="Times New Roman" w:eastAsia="Times New Roman" w:hAnsi="Times New Roman"/>
          <w:sz w:val="22"/>
          <w:szCs w:val="22"/>
          <w:color w:val="auto"/>
        </w:rPr>
        <w:t>of this Agreement (but with respect to such Person and such Guaranty rather than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w:t>
      </w:r>
    </w:p>
    <w:p>
      <w:pPr>
        <w:spacing w:after="0" w:line="220" w:lineRule="exact"/>
        <w:rPr>
          <w:rFonts w:ascii="Times New Roman" w:cs="Times New Roman" w:eastAsia="Times New Roman" w:hAnsi="Times New Roman"/>
          <w:sz w:val="22"/>
          <w:szCs w:val="22"/>
          <w:color w:val="auto"/>
        </w:rPr>
      </w:pPr>
    </w:p>
    <w:p>
      <w:pPr>
        <w:ind w:left="1500" w:right="100" w:firstLine="437"/>
        <w:spacing w:after="0" w:line="239" w:lineRule="auto"/>
        <w:tabs>
          <w:tab w:leader="none" w:pos="236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as may be reasonably requested by the Required Holders to evidence the due organization, continuing existence and, where applicable, good standing of such Person and the due authorization by all requisite action on the part of such Person of the execution and delivery of such Guaranty and the performance by such Person of its obligations thereunder; and</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00" w:right="20" w:firstLine="437"/>
        <w:spacing w:after="0" w:line="258" w:lineRule="auto"/>
        <w:tabs>
          <w:tab w:leader="none" w:pos="23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reasonably satisfactory to the Required Holders covering such matters relating to such Person and such Guaranty as the Required Holders may reasonably request.</w:t>
      </w:r>
    </w:p>
    <w:p>
      <w:pPr>
        <w:spacing w:after="0" w:line="185" w:lineRule="exact"/>
        <w:rPr>
          <w:sz w:val="20"/>
          <w:szCs w:val="20"/>
          <w:color w:val="auto"/>
        </w:rPr>
      </w:pPr>
    </w:p>
    <w:p>
      <w:pPr>
        <w:jc w:val="both"/>
        <w:ind w:firstLine="656"/>
        <w:spacing w:after="0" w:line="246" w:lineRule="auto"/>
        <w:rPr>
          <w:sz w:val="20"/>
          <w:szCs w:val="20"/>
          <w:color w:val="auto"/>
        </w:rPr>
      </w:pPr>
      <w:r>
        <w:rPr>
          <w:rFonts w:ascii="Times New Roman" w:cs="Times New Roman" w:eastAsia="Times New Roman" w:hAnsi="Times New Roman"/>
          <w:sz w:val="21"/>
          <w:szCs w:val="21"/>
          <w:color w:val="auto"/>
        </w:rPr>
        <w:t>In addition to the foregoing, if the Bank Credit Agreement shall contain (or be amended to contain) covenants, reporting obligations or events of default related to such Bank Guarantor, then the Company shall deliver an amendment to this Agreement to add similar covenants, reporting obligations and events of default related to such Bank Guarantor for the benefit of the holders of the Notes, and until such time as such amendment is delivered, this Agreement shall be deemed, without any action on the part of the parties hereto, to be amended to include such additional covenants, reporting obligations and events of default as if set forth herein in full. If the Bank Credit Agreement shall cease to contain such covenants, reporting obligations or events of default related to such Bank Guarantor, then the Company and the holders of the Notes shall deliver an amendment to this Agreement to remove such similar covenants, reporting obligations and events of default related to such Bank Guarantor, and until such time as such amendment is delivered, this Agreement shall be deemed, without any action on the part of the parties hereto, to be amended to exclude such covenants, reporting obligations and events of default as if set forth herein in full.</w:t>
      </w:r>
    </w:p>
    <w:p>
      <w:pPr>
        <w:spacing w:after="0" w:line="211" w:lineRule="exact"/>
        <w:rPr>
          <w:sz w:val="20"/>
          <w:szCs w:val="20"/>
          <w:color w:val="auto"/>
        </w:rPr>
      </w:pPr>
    </w:p>
    <w:p>
      <w:pPr>
        <w:jc w:val="both"/>
        <w:ind w:firstLine="440"/>
        <w:spacing w:after="0" w:line="233" w:lineRule="auto"/>
        <w:tabs>
          <w:tab w:leader="none" w:pos="86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election of the Company and by written notice to each holder of Notes, any Guarantor that has provided a Guaranty under subparagraph (a) of this </w:t>
      </w:r>
      <w:r>
        <w:rPr>
          <w:rFonts w:ascii="Times New Roman" w:cs="Times New Roman" w:eastAsia="Times New Roman" w:hAnsi="Times New Roman"/>
          <w:sz w:val="22"/>
          <w:szCs w:val="22"/>
          <w:b w:val="1"/>
          <w:bCs w:val="1"/>
          <w:color w:val="auto"/>
        </w:rPr>
        <w:t>Section 9.8</w:t>
      </w:r>
      <w:r>
        <w:rPr>
          <w:rFonts w:ascii="Times New Roman" w:cs="Times New Roman" w:eastAsia="Times New Roman" w:hAnsi="Times New Roman"/>
          <w:sz w:val="22"/>
          <w:szCs w:val="22"/>
          <w:color w:val="auto"/>
        </w:rPr>
        <w:t xml:space="preserve"> may be discharged from all of its obligations and liabilities under its Guaranty and shall be automatically released from its obligations thereunder without the need for the execution or delivery of any other document by the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such Guarantor is a guarantor or is otherwise liable for or in respect of any Material Credit Facility, then such Guarantor has been released and discharged (or will be released and discharged concurrently with the release of such Guarantor under its Guaranty) under such Material Credit Facility, (ii) at the time of, and after giving effect to, such release and discharge, no Default or Event of Default shall be existing, (iii) no amount is then due and payable under such Guaranty, (iv) if in connection with such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In the event of any such release, for purposes of </w:t>
      </w:r>
      <w:r>
        <w:rPr>
          <w:rFonts w:ascii="Times New Roman" w:cs="Times New Roman" w:eastAsia="Times New Roman" w:hAnsi="Times New Roman"/>
          <w:sz w:val="22"/>
          <w:szCs w:val="22"/>
          <w:b w:val="1"/>
          <w:bCs w:val="1"/>
          <w:color w:val="auto"/>
        </w:rPr>
        <w:t>Section 10.1</w:t>
      </w:r>
      <w:r>
        <w:rPr>
          <w:rFonts w:ascii="Times New Roman" w:cs="Times New Roman" w:eastAsia="Times New Roman" w:hAnsi="Times New Roman"/>
          <w:sz w:val="22"/>
          <w:szCs w:val="22"/>
          <w:color w:val="auto"/>
        </w:rPr>
        <w:t>, all Indebtedness of such Subsidiary shall be deemed to have been incurred concurrently with such release.</w:t>
      </w:r>
    </w:p>
    <w:p>
      <w:pPr>
        <w:spacing w:after="0" w:line="250" w:lineRule="exact"/>
        <w:rPr>
          <w:sz w:val="20"/>
          <w:szCs w:val="20"/>
          <w:color w:val="auto"/>
        </w:rPr>
      </w:pPr>
    </w:p>
    <w:p>
      <w:pPr>
        <w:spacing w:after="0"/>
        <w:tabs>
          <w:tab w:leader="none" w:pos="1280" w:val="left"/>
          <w:tab w:leader="none" w:pos="474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10.</w:t>
        <w:tab/>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10.</w:t>
        <w:tab/>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So long as any of the Notes are outstanding, the Company covenants that:</w:t>
      </w:r>
    </w:p>
    <w:p>
      <w:pPr>
        <w:spacing w:after="0" w:line="243"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10.1. Limitation on Funded Indebtedness </w:t>
      </w:r>
      <w:r>
        <w:rPr>
          <w:rFonts w:ascii="Times New Roman" w:cs="Times New Roman" w:eastAsia="Times New Roman" w:hAnsi="Times New Roman"/>
          <w:sz w:val="22"/>
          <w:szCs w:val="22"/>
          <w:color w:val="auto"/>
        </w:rPr>
        <w:t>TC "Section 10.1. Limitation on Funded Indebtedness"\f C \l "2"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will not, and will not permit any Subsidiary to create, incur, assume or otherwise become liable for any Funded Indebtedness other than:</w:t>
      </w:r>
    </w:p>
    <w:p>
      <w:pPr>
        <w:spacing w:after="0" w:line="198" w:lineRule="exact"/>
        <w:rPr>
          <w:sz w:val="20"/>
          <w:szCs w:val="20"/>
          <w:color w:val="auto"/>
        </w:rPr>
      </w:pPr>
    </w:p>
    <w:p>
      <w:pPr>
        <w:ind w:left="1620" w:hanging="431"/>
        <w:spacing w:after="0"/>
        <w:tabs>
          <w:tab w:leader="none" w:pos="16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Funded Indebtedness evidenced by the Notes;</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right="100" w:firstLine="429"/>
        <w:spacing w:after="0" w:line="258" w:lineRule="auto"/>
        <w:tabs>
          <w:tab w:leader="none" w:pos="162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Funded Indebtedness of the Company or any Subsidiary outstanding as of the Closing and reflected in </w:t>
      </w:r>
      <w:r>
        <w:rPr>
          <w:rFonts w:ascii="Times New Roman" w:cs="Times New Roman" w:eastAsia="Times New Roman" w:hAnsi="Times New Roman"/>
          <w:sz w:val="22"/>
          <w:szCs w:val="22"/>
          <w:b w:val="1"/>
          <w:bCs w:val="1"/>
          <w:color w:val="auto"/>
        </w:rPr>
        <w:t>Schedule 10.1</w:t>
      </w:r>
      <w:r>
        <w:rPr>
          <w:rFonts w:ascii="Times New Roman" w:cs="Times New Roman" w:eastAsia="Times New Roman" w:hAnsi="Times New Roman"/>
          <w:sz w:val="22"/>
          <w:szCs w:val="22"/>
          <w:color w:val="auto"/>
        </w:rPr>
        <w:t>; and</w:t>
      </w:r>
    </w:p>
    <w:p>
      <w:pPr>
        <w:spacing w:after="0" w:line="185" w:lineRule="exact"/>
        <w:rPr>
          <w:rFonts w:ascii="Times New Roman" w:cs="Times New Roman" w:eastAsia="Times New Roman" w:hAnsi="Times New Roman"/>
          <w:sz w:val="22"/>
          <w:szCs w:val="22"/>
          <w:color w:val="auto"/>
        </w:rPr>
      </w:pPr>
    </w:p>
    <w:p>
      <w:pPr>
        <w:ind w:left="760" w:firstLine="429"/>
        <w:spacing w:after="0" w:line="232" w:lineRule="auto"/>
        <w:tabs>
          <w:tab w:leader="none" w:pos="162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Funded Indebtedness, so long as the aggregate outstanding principal amount of such Funded Indebtedness, after giving effect to the application of the proceeds thereof (subject to the proviso set forth hereafter) and when added to all other Funded Indebtedness of the Company and its Subsidiaries (determined on a consolidated basis) then outstanding, does not exceed 65% of the Total Capitalization;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giving effect to the application of such proceeds, only applications which are substantially contemporaneous with the incurrence of such additional Funded Indebtedness shall be given such effect, except that if the application of such proceeds involves the redemption of other securities of the Company, and such redemption cannot be made substantially contemporaneously with the incurrence of such additional Funded Indebtedness, then such intended redemption shall nevertheless be given effect for purposes hereof if either (1) the Company shall have given irrevocable written notice of redemption of such other securities to the holders thereof at or prior to the time of the incurrence of such additional Funded Indebtedness and such redemption is thereafter made in accordance with the terms of such notice, or (2) if such notice was not permitted to be given at or prior to the time of the incurrence of such additional Funded Indebtedness and the redemption will occur within 180 days after such incurrence, then (A) the proceeds of such Funded Indebtedness to be used for such redemption shall have been set aside in an escrow or trust account with a United States bank or other financial institution having capital and surplus of at least $35,000,000, together with written instructions to the escrow agent or trustee to send notice of redemption of such securities provided by the Company to the holders thereof in accordance with the terms of such securities and thereafter to use such proceeds for such redemption in accordance with the terms of such notice, such escrow or trust account to also provide (x) that the funds set aside therein are not to be released to or for the benefit of the Company except for the purpose of accomplishing the redemption contemplated thereby, or with the prior written consent of all holders of Notes then outstanding, and (y) that if the funds set aside therein are invested in securities by such bank or financial institution, they shall be invested only in direct obligations of the United States of America maturing in not more than 180 days, and (B) unless otherwise agreed to in writing by all of the holders of Notes then outstanding, the redemption to be funded from such escrow or trust account is actually made in accordance with the terms under which such escrow or trust account is established.</w:t>
      </w:r>
    </w:p>
    <w:p>
      <w:pPr>
        <w:spacing w:after="0" w:line="215" w:lineRule="exact"/>
        <w:rPr>
          <w:rFonts w:ascii="Times New Roman" w:cs="Times New Roman" w:eastAsia="Times New Roman" w:hAnsi="Times New Roman"/>
          <w:sz w:val="22"/>
          <w:szCs w:val="22"/>
          <w:color w:val="auto"/>
        </w:rPr>
      </w:pPr>
    </w:p>
    <w:p>
      <w:pPr>
        <w:jc w:val="both"/>
        <w:ind w:firstLine="440"/>
        <w:spacing w:after="0" w:line="246" w:lineRule="auto"/>
        <w:tabs>
          <w:tab w:leader="none" w:pos="8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limitations contained in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 no Subsidiary shall create, incur, assume or become liable for, or have outstanding any Funded Indebtedness if, after giving effect thereto and to any concurrent transaction, the aggregate amount of all Funded Indebtedness of all Subsidiaries would exceed 20% of Total Shareholders’ Equity.</w:t>
      </w:r>
    </w:p>
    <w:p>
      <w:pPr>
        <w:spacing w:after="0" w:line="207" w:lineRule="exact"/>
        <w:rPr>
          <w:rFonts w:ascii="Times New Roman" w:cs="Times New Roman" w:eastAsia="Times New Roman" w:hAnsi="Times New Roman"/>
          <w:sz w:val="22"/>
          <w:szCs w:val="22"/>
          <w:color w:val="auto"/>
        </w:rPr>
      </w:pPr>
    </w:p>
    <w:p>
      <w:pPr>
        <w:jc w:val="both"/>
        <w:ind w:firstLine="440"/>
        <w:spacing w:after="0" w:line="241" w:lineRule="auto"/>
        <w:tabs>
          <w:tab w:leader="none" w:pos="8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b w:val="1"/>
          <w:bCs w:val="1"/>
          <w:color w:val="auto"/>
        </w:rPr>
        <w:t>Section 10.1</w:t>
      </w:r>
      <w:r>
        <w:rPr>
          <w:rFonts w:ascii="Times New Roman" w:cs="Times New Roman" w:eastAsia="Times New Roman" w:hAnsi="Times New Roman"/>
          <w:sz w:val="22"/>
          <w:szCs w:val="22"/>
          <w:color w:val="auto"/>
        </w:rPr>
        <w:t>, any Person becoming a Subsidiary after the date hereof shall be deemed, at the time it becomes a Subsidiary, to have incurred all of its then outstanding Indebtedness, and any Person extending, renewing or refunding any Indebtedness shall be deemed to have incurred such Indebtedness at the time of such extension, renewal or refunding.</w:t>
      </w:r>
    </w:p>
    <w:p>
      <w:pPr>
        <w:spacing w:after="0" w:line="3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22"/>
          <w:szCs w:val="22"/>
          <w:i w:val="1"/>
          <w:iCs w:val="1"/>
          <w:color w:val="auto"/>
        </w:rPr>
        <w:t xml:space="preserve">Section 10.2. Limitation on Liens </w:t>
      </w:r>
      <w:r>
        <w:rPr>
          <w:rFonts w:ascii="Times New Roman" w:cs="Times New Roman" w:eastAsia="Times New Roman" w:hAnsi="Times New Roman"/>
          <w:sz w:val="22"/>
          <w:szCs w:val="22"/>
          <w:color w:val="auto"/>
        </w:rPr>
        <w:t>TC "Section 10.2. Limitation on Liens" \f C \l "2"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as hereinafter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22"/>
          <w:szCs w:val="22"/>
          <w:color w:val="auto"/>
        </w:rPr>
        <w:t>expressly permitted, the Company will not at any time, nor will it permit any Subsidiary to,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create, assume or suffer to exist, except in favor of the Company or any Subsidiary, any Lien upon any of its properties or assets, real or personal, whether now owned or hereafter acquired, or of or upon any income or profits therefrom, without making effective provision, and the Company covenants that in any such case it will make or cause to be made effective provision, whereby the Notes then outstanding shall be secured by such Lien equally and ratably with any and all other Indebtedness to be secured thereby pursuant to documentation reasonably acceptable to the Required Holders in substance and in form, including, without limitation, an intercreditor agreement and opinions of counsel to the Company and/or any such Subsidiary, as the case may be, from counsel that is reasonably acceptable to the Required Holders, so long as any such other Indebtedness shall be so secured.</w:t>
      </w:r>
    </w:p>
    <w:p>
      <w:pPr>
        <w:spacing w:after="0" w:line="4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in this Section shall be construed to prevent the Company or a Subsidiary from creating, assuming or suffering to exist, and the Company and its Subsidiaries are hereby expressly permitted to create, assume or suffer to exist, without securing the Notes as hereinabove provided, Liens of the following character:</w:t>
      </w:r>
    </w:p>
    <w:p>
      <w:pPr>
        <w:spacing w:after="0" w:line="214" w:lineRule="exact"/>
        <w:rPr>
          <w:sz w:val="20"/>
          <w:szCs w:val="20"/>
          <w:color w:val="auto"/>
        </w:rPr>
      </w:pPr>
    </w:p>
    <w:p>
      <w:pPr>
        <w:jc w:val="both"/>
        <w:ind w:left="760" w:firstLine="429"/>
        <w:spacing w:after="0" w:line="234" w:lineRule="auto"/>
        <w:tabs>
          <w:tab w:leader="none" w:pos="162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purchase money mortgage or other Lien existing on any property of the Company or a Subsidiary at the time of acquisition, whether or not assumed, or created contemporaneously with the acquisition or construction of property, to secure or provide for the payment of the purchase or construction price of such property, and any conditional sales agreement or other title retention agreement with respect to any property hereafter acquired;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 the aggregate principal amount of the Indebtedness secured by all such mortgages and other Liens on a particular parcel of property shall not exceed 100% of the lesser of the total cost or fair market value at the time of the acquisition or construction of such property, including the improvements thereon (as determined in good faith by the Board of Directors of the Company or the relevant Subsidiary) and (ii) all such Indebtedness shall have been incurred within the applicable limitations provided in </w:t>
      </w:r>
      <w:r>
        <w:rPr>
          <w:rFonts w:ascii="Times New Roman" w:cs="Times New Roman" w:eastAsia="Times New Roman" w:hAnsi="Times New Roman"/>
          <w:sz w:val="22"/>
          <w:szCs w:val="22"/>
          <w:b w:val="1"/>
          <w:bCs w:val="1"/>
          <w:color w:val="auto"/>
        </w:rPr>
        <w:t>Section 10.1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760" w:firstLine="429"/>
        <w:spacing w:after="0" w:line="246" w:lineRule="auto"/>
        <w:tabs>
          <w:tab w:leader="none" w:pos="162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refundings or extensions of any Lien permitted by this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xml:space="preserve"> for amounts not exceeding the principal amount of the Indebtedness so refunded or extended at the time of the refunding or extension thereof, and covering only the same property theretofore securing the same;</w:t>
      </w:r>
    </w:p>
    <w:p>
      <w:pPr>
        <w:spacing w:after="0" w:line="198" w:lineRule="exact"/>
        <w:rPr>
          <w:rFonts w:ascii="Times New Roman" w:cs="Times New Roman" w:eastAsia="Times New Roman" w:hAnsi="Times New Roman"/>
          <w:sz w:val="22"/>
          <w:szCs w:val="22"/>
          <w:color w:val="auto"/>
        </w:rPr>
      </w:pPr>
    </w:p>
    <w:p>
      <w:pPr>
        <w:jc w:val="both"/>
        <w:ind w:left="760" w:firstLine="429"/>
        <w:spacing w:after="0" w:line="251" w:lineRule="auto"/>
        <w:tabs>
          <w:tab w:leader="none" w:pos="162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Liens or pledges to enable the Company or a Subsidiary to exercise any privilege or license, or to secure payment of worker’s compensation, unemployment insurance, old age pensions or other social security, or to secure the performance of bids, tenders, contracts or leases to which the Company or a Subsidiary is a party, or to secure public or statutory obligations of the Company or a Subsidiary, or to secure surety, stay or appeal bonds to which the Company or a Subsidiary is a party; or other similar deposits or pledges made in the ordinary course of business;</w:t>
      </w:r>
    </w:p>
    <w:p>
      <w:pPr>
        <w:spacing w:after="0" w:line="3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right="60" w:firstLine="429"/>
        <w:spacing w:after="0" w:line="258"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workmen’s, repairmen’s, materialmen’s or carrier’s liens or other similar Liens arising in the ordinary course of business; or deposits or pledges to obtain the release of any such Liens;</w:t>
      </w:r>
    </w:p>
    <w:p>
      <w:pPr>
        <w:spacing w:after="0" w:line="185" w:lineRule="exact"/>
        <w:rPr>
          <w:rFonts w:ascii="Times New Roman" w:cs="Times New Roman" w:eastAsia="Times New Roman" w:hAnsi="Times New Roman"/>
          <w:sz w:val="22"/>
          <w:szCs w:val="22"/>
          <w:color w:val="auto"/>
        </w:rPr>
      </w:pPr>
    </w:p>
    <w:p>
      <w:pPr>
        <w:jc w:val="both"/>
        <w:ind w:left="760" w:firstLine="429"/>
        <w:spacing w:after="0" w:line="235"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judgments or awards against the Company or a Subsidiary (i) which judgments or awards are discharged by the Company within 60 days after entry thereof (or such shorter period of time in which a judgment creditor may execute upon any such judgment or award); (ii) with respect to which the Company or a Subsidiary shall in good faith be prosecuting an appeal or proceedings for review and in respect of which a stay of execution pending such appeal or proceeding for review shall have been secured; or (iii) Liens incurred by the Company or a Subsidiary for the purpose of obtaining a stay or discharge in the course of any legal proceeding to which the Company or a Subsidiary is a party;</w:t>
      </w:r>
    </w:p>
    <w:p>
      <w:pPr>
        <w:spacing w:after="0" w:line="189" w:lineRule="exact"/>
        <w:rPr>
          <w:rFonts w:ascii="Times New Roman" w:cs="Times New Roman" w:eastAsia="Times New Roman" w:hAnsi="Times New Roman"/>
          <w:sz w:val="22"/>
          <w:szCs w:val="22"/>
          <w:color w:val="auto"/>
        </w:rPr>
      </w:pPr>
    </w:p>
    <w:p>
      <w:pPr>
        <w:ind w:left="760" w:firstLine="429"/>
        <w:spacing w:after="0" w:line="287" w:lineRule="exact"/>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(i) not yet subject to penalties for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payment or (ii) being contested,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payment thereof is not required by </w:t>
      </w:r>
      <w:r>
        <w:rPr>
          <w:rFonts w:ascii="Times New Roman" w:cs="Times New Roman" w:eastAsia="Times New Roman" w:hAnsi="Times New Roman"/>
          <w:sz w:val="22"/>
          <w:szCs w:val="22"/>
          <w:b w:val="1"/>
          <w:bCs w:val="1"/>
          <w:color w:val="auto"/>
        </w:rPr>
        <w:t>Section 9.4</w:t>
      </w:r>
      <w:r>
        <w:rPr>
          <w:rFonts w:ascii="Times New Roman" w:cs="Times New Roman" w:eastAsia="Times New Roman" w:hAnsi="Times New Roman"/>
          <w:sz w:val="22"/>
          <w:szCs w:val="22"/>
          <w:color w:val="auto"/>
        </w:rPr>
        <w:t>;</w:t>
      </w:r>
    </w:p>
    <w:p>
      <w:pPr>
        <w:spacing w:after="0" w:line="217" w:lineRule="exact"/>
        <w:rPr>
          <w:rFonts w:ascii="Times New Roman" w:cs="Times New Roman" w:eastAsia="Times New Roman" w:hAnsi="Times New Roman"/>
          <w:sz w:val="22"/>
          <w:szCs w:val="22"/>
          <w:color w:val="auto"/>
        </w:rPr>
      </w:pPr>
    </w:p>
    <w:p>
      <w:pPr>
        <w:jc w:val="both"/>
        <w:ind w:left="760" w:firstLine="429"/>
        <w:spacing w:after="0" w:line="238"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minor survey exceptions, or minor encumbrances, easements or reservations of, or rights of others for, rights of way, sewers, electric lines, telegraph and telephone lines and other similar purposes, or zoning or other restrictions as to the use of real properties, which encumbrances, easements, reservations, rights and restrictions do not in the aggregate Materially detract from the value of said properties or Materially impair their use in the operation of the business of the Company or a Subsidiary;</w:t>
      </w:r>
    </w:p>
    <w:p>
      <w:pPr>
        <w:spacing w:after="0" w:line="203"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the lease of conversion burners and water heaters to customers;</w:t>
      </w:r>
    </w:p>
    <w:p>
      <w:pPr>
        <w:spacing w:after="0" w:line="246" w:lineRule="exact"/>
        <w:rPr>
          <w:rFonts w:ascii="Times New Roman" w:cs="Times New Roman" w:eastAsia="Times New Roman" w:hAnsi="Times New Roman"/>
          <w:sz w:val="22"/>
          <w:szCs w:val="22"/>
          <w:color w:val="auto"/>
        </w:rPr>
      </w:pPr>
    </w:p>
    <w:p>
      <w:pPr>
        <w:jc w:val="both"/>
        <w:ind w:left="760" w:firstLine="429"/>
        <w:spacing w:after="0" w:line="244"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acquired through the merger or consolidation of another utility company with or into, or the purchase of all or substantially all of the assets of another utility company by, the Company or a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 does not extend to other property of the Company or a Subsidiary;</w:t>
      </w:r>
    </w:p>
    <w:p>
      <w:pPr>
        <w:spacing w:after="0" w:line="213"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assignments and other security devices entered into in connection with the financing or refinancing of customers’ conditional sales contracts;</w:t>
      </w:r>
    </w:p>
    <w:p>
      <w:pPr>
        <w:spacing w:after="0" w:line="185" w:lineRule="exact"/>
        <w:rPr>
          <w:rFonts w:ascii="Times New Roman" w:cs="Times New Roman" w:eastAsia="Times New Roman" w:hAnsi="Times New Roman"/>
          <w:sz w:val="22"/>
          <w:szCs w:val="22"/>
          <w:color w:val="auto"/>
        </w:rPr>
      </w:pPr>
    </w:p>
    <w:p>
      <w:pPr>
        <w:jc w:val="both"/>
        <w:ind w:left="760" w:right="20" w:firstLine="429"/>
        <w:spacing w:after="0" w:line="244"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incurred in connection with the purchase and sale of gas and/or energy supply (including transportation or transmission charges) or Guaranties in respect of obligations under such contracts;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such Liens attach solely to such gas or energy supply;</w:t>
      </w:r>
    </w:p>
    <w:p>
      <w:pPr>
        <w:spacing w:after="0" w:line="213"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rights relating to amounts owed to or by the Company or its Subsidiaries in connection with funds contributed and borrowed under the Cash Pooling and Loan Agreement;</w:t>
      </w:r>
    </w:p>
    <w:p>
      <w:pPr>
        <w:spacing w:after="0" w:line="194" w:lineRule="exact"/>
        <w:rPr>
          <w:rFonts w:ascii="Times New Roman" w:cs="Times New Roman" w:eastAsia="Times New Roman" w:hAnsi="Times New Roman"/>
          <w:sz w:val="22"/>
          <w:szCs w:val="22"/>
          <w:color w:val="auto"/>
        </w:rPr>
      </w:pPr>
    </w:p>
    <w:p>
      <w:pPr>
        <w:ind w:left="760" w:firstLine="429"/>
        <w:spacing w:after="0" w:line="262" w:lineRule="auto"/>
        <w:tabs>
          <w:tab w:leader="none" w:pos="16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date hereof and not reflected on </w:t>
      </w:r>
      <w:r>
        <w:rPr>
          <w:rFonts w:ascii="Times New Roman" w:cs="Times New Roman" w:eastAsia="Times New Roman" w:hAnsi="Times New Roman"/>
          <w:sz w:val="22"/>
          <w:szCs w:val="22"/>
          <w:b w:val="1"/>
          <w:bCs w:val="1"/>
          <w:color w:val="auto"/>
        </w:rPr>
        <w:t>Schedule 10.2</w:t>
      </w:r>
      <w:r>
        <w:rPr>
          <w:rFonts w:ascii="Times New Roman" w:cs="Times New Roman" w:eastAsia="Times New Roman" w:hAnsi="Times New Roman"/>
          <w:sz w:val="22"/>
          <w:szCs w:val="22"/>
          <w:color w:val="auto"/>
        </w:rPr>
        <w:t xml:space="preserve"> hereto and Liens created or incurred after the date of Closing, in addition to those otherwise</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60" w:right="80"/>
        <w:spacing w:after="0" w:line="237" w:lineRule="auto"/>
        <w:rPr>
          <w:sz w:val="20"/>
          <w:szCs w:val="20"/>
          <w:color w:val="auto"/>
        </w:rPr>
      </w:pPr>
      <w:r>
        <w:rPr>
          <w:rFonts w:ascii="Times New Roman" w:cs="Times New Roman" w:eastAsia="Times New Roman" w:hAnsi="Times New Roman"/>
          <w:sz w:val="22"/>
          <w:szCs w:val="22"/>
          <w:color w:val="auto"/>
        </w:rPr>
        <w:t xml:space="preserve">permitted by this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xml:space="preserve">, securing Indebtedness (other than Indebtedness in respect of the principal credit facilities of the Company and its Subsidiaries (including any Bank Credit Agreement) or any Indebtedness outstanding under or pursuant to any private placement document pursuant to which the Company or any Subsidiary has issued senior notes, in each case, whether now existing or existing in the future) which does not exceed in the aggregate $17,500,000 at any one time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Indebtedness shall have been incurred within the applicable limitations provided in </w:t>
      </w:r>
      <w:r>
        <w:rPr>
          <w:rFonts w:ascii="Times New Roman" w:cs="Times New Roman" w:eastAsia="Times New Roman" w:hAnsi="Times New Roman"/>
          <w:sz w:val="22"/>
          <w:szCs w:val="22"/>
          <w:b w:val="1"/>
          <w:bCs w:val="1"/>
          <w:color w:val="auto"/>
        </w:rPr>
        <w:t>Section 10.1</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620" w:hanging="431"/>
        <w:spacing w:after="0"/>
        <w:tabs>
          <w:tab w:leader="none" w:pos="16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date hereof and listed on </w:t>
      </w:r>
      <w:r>
        <w:rPr>
          <w:rFonts w:ascii="Times New Roman" w:cs="Times New Roman" w:eastAsia="Times New Roman" w:hAnsi="Times New Roman"/>
          <w:sz w:val="22"/>
          <w:szCs w:val="22"/>
          <w:b w:val="1"/>
          <w:bCs w:val="1"/>
          <w:color w:val="auto"/>
        </w:rPr>
        <w:t>Schedule 10.2</w:t>
      </w:r>
      <w:r>
        <w:rPr>
          <w:rFonts w:ascii="Times New Roman" w:cs="Times New Roman" w:eastAsia="Times New Roman" w:hAnsi="Times New Roman"/>
          <w:sz w:val="22"/>
          <w:szCs w:val="22"/>
          <w:color w:val="auto"/>
        </w:rPr>
        <w:t xml:space="preserve"> hereto;</w:t>
      </w:r>
    </w:p>
    <w:p>
      <w:pPr>
        <w:spacing w:after="0" w:line="250" w:lineRule="exact"/>
        <w:rPr>
          <w:rFonts w:ascii="Times New Roman" w:cs="Times New Roman" w:eastAsia="Times New Roman" w:hAnsi="Times New Roman"/>
          <w:sz w:val="22"/>
          <w:szCs w:val="22"/>
          <w:color w:val="auto"/>
        </w:rPr>
      </w:pPr>
    </w:p>
    <w:p>
      <w:pPr>
        <w:ind w:left="760" w:right="80" w:firstLine="429"/>
        <w:spacing w:after="0" w:line="244" w:lineRule="auto"/>
        <w:tabs>
          <w:tab w:leader="none" w:pos="16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issued to finance or refinance the Company’s operation center buildings in Massachusetts or any property acquired in replacement thereof which do not at any time exceed an aggregate principal amount of $27,500,000; and</w:t>
      </w:r>
    </w:p>
    <w:p>
      <w:pPr>
        <w:spacing w:after="0" w:line="213" w:lineRule="exact"/>
        <w:rPr>
          <w:rFonts w:ascii="Times New Roman" w:cs="Times New Roman" w:eastAsia="Times New Roman" w:hAnsi="Times New Roman"/>
          <w:sz w:val="22"/>
          <w:szCs w:val="22"/>
          <w:color w:val="auto"/>
        </w:rPr>
      </w:pPr>
    </w:p>
    <w:p>
      <w:pPr>
        <w:jc w:val="both"/>
        <w:ind w:left="760" w:right="80" w:firstLine="429"/>
        <w:spacing w:after="0" w:line="244" w:lineRule="auto"/>
        <w:tabs>
          <w:tab w:leader="none" w:pos="16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security interests in, and pledges by, the Company’s and its Subsidiaries’ rights and benefits under contracts (i) entered into in connection with participation in the Hydro-Quebec Interconnection Support Agreements or (ii) required to be entered into pursuant to applicable law, regulation, or rule.</w:t>
      </w:r>
    </w:p>
    <w:p>
      <w:pPr>
        <w:spacing w:after="0" w:line="200"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If at any time the Company or a Subsidiary shall create or assume any Lien not permitted by this Section, to which the covenant to secure the Notes in the first paragraph of this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xml:space="preserve"> is applicable, the Company will promptly deliver to each holder of record of the Notes then outstanding:</w:t>
      </w:r>
    </w:p>
    <w:p>
      <w:pPr>
        <w:spacing w:after="0" w:line="214" w:lineRule="exact"/>
        <w:rPr>
          <w:sz w:val="20"/>
          <w:szCs w:val="20"/>
          <w:color w:val="auto"/>
        </w:rPr>
      </w:pPr>
    </w:p>
    <w:p>
      <w:pPr>
        <w:ind w:left="760" w:right="160" w:firstLine="429"/>
        <w:spacing w:after="0" w:line="258" w:lineRule="auto"/>
        <w:tabs>
          <w:tab w:leader="none" w:pos="16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stating that the covenant of the Company contained in the first paragraph of this </w:t>
      </w: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22"/>
          <w:szCs w:val="22"/>
          <w:color w:val="auto"/>
        </w:rPr>
        <w:t>has been complied with; and</w:t>
      </w:r>
    </w:p>
    <w:p>
      <w:pPr>
        <w:spacing w:after="0" w:line="198" w:lineRule="exact"/>
        <w:rPr>
          <w:rFonts w:ascii="Times New Roman" w:cs="Times New Roman" w:eastAsia="Times New Roman" w:hAnsi="Times New Roman"/>
          <w:sz w:val="22"/>
          <w:szCs w:val="22"/>
          <w:color w:val="auto"/>
        </w:rPr>
      </w:pPr>
    </w:p>
    <w:p>
      <w:pPr>
        <w:jc w:val="both"/>
        <w:ind w:left="760" w:right="80" w:firstLine="429"/>
        <w:spacing w:after="0" w:line="244" w:lineRule="auto"/>
        <w:tabs>
          <w:tab w:leader="none" w:pos="16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addressed to such holders to the effect that such covenant has been complied with, and that any instruments executed by the Company in the performance of such covenant comply with the requirements of such covenant.</w:t>
      </w:r>
    </w:p>
    <w:p>
      <w:pPr>
        <w:spacing w:after="0" w:line="196" w:lineRule="exact"/>
        <w:rPr>
          <w:sz w:val="20"/>
          <w:szCs w:val="20"/>
          <w:color w:val="auto"/>
        </w:rPr>
      </w:pPr>
    </w:p>
    <w:p>
      <w:pPr>
        <w:jc w:val="both"/>
        <w:ind w:firstLine="432"/>
        <w:spacing w:after="0" w:line="248" w:lineRule="exact"/>
        <w:rPr>
          <w:sz w:val="20"/>
          <w:szCs w:val="20"/>
          <w:color w:val="auto"/>
        </w:rPr>
      </w:pPr>
      <w:r>
        <w:rPr>
          <w:rFonts w:ascii="Times New Roman" w:cs="Times New Roman" w:eastAsia="Times New Roman" w:hAnsi="Times New Roman"/>
          <w:sz w:val="22"/>
          <w:szCs w:val="22"/>
          <w:i w:val="1"/>
          <w:iCs w:val="1"/>
          <w:color w:val="auto"/>
        </w:rPr>
        <w:t xml:space="preserve">Section 10.3. Transactions with Affiliates </w:t>
      </w:r>
      <w:r>
        <w:rPr>
          <w:rFonts w:ascii="Times New Roman" w:cs="Times New Roman" w:eastAsia="Times New Roman" w:hAnsi="Times New Roman"/>
          <w:sz w:val="22"/>
          <w:szCs w:val="22"/>
          <w:color w:val="auto"/>
        </w:rPr>
        <w:t>TC "Section 10.3. Transactions with Affiliates" \f C \l "2" . Except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described in the Disclosure Documents prior to Closing, the Company will not and will not permit any Subsidiary to enter into directly or indirectly any transaction or group of related transactions (including without limitation the purchase, lease, sale or exchange of properties of any kind or the rendering of any service) with any Affiliate (other than the Company or another Subsidiary or Unitil or another Subsidiary of Unitil), except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except as may be necessary in order for the Company to comply with requirements of any applicable state or federal statute or regulation;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if it is not possible to identify what terms would apply to a comparable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transaction with a Person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w:t>
      </w:r>
    </w:p>
    <w:p>
      <w:pPr>
        <w:spacing w:after="0" w:line="3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60"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 such transaction shall be upon such terms as shall be fair and reasonable under the circumstances.</w:t>
      </w:r>
    </w:p>
    <w:p>
      <w:pPr>
        <w:spacing w:after="0" w:line="229"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10.4. Merger or Consolidation; Sale or Transfer of Assets </w:t>
      </w:r>
      <w:r>
        <w:rPr>
          <w:rFonts w:ascii="Times New Roman" w:cs="Times New Roman" w:eastAsia="Times New Roman" w:hAnsi="Times New Roman"/>
          <w:sz w:val="22"/>
          <w:szCs w:val="22"/>
          <w:color w:val="auto"/>
        </w:rPr>
        <w:t>TC "Section 10.4. Merger or Consolidation; Sale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of Assets" \f C \l "2"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will not (a) consolidate with or be a party to a merger with any other corporation or (b) sell, lease or otherwise dispose of all or substantially all of the assets of the Company and its Subsidiaries (taken as a whole);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may consolidate, merge or otherwise combine with any other corporation, or sell, lease or otherwise dispose of all or substantially all of the assets of the Company and its Subsidiaries (taken as a whole), if</w:t>
      </w:r>
    </w:p>
    <w:p>
      <w:pPr>
        <w:spacing w:after="0" w:line="221" w:lineRule="exact"/>
        <w:rPr>
          <w:sz w:val="20"/>
          <w:szCs w:val="20"/>
          <w:color w:val="auto"/>
        </w:rPr>
      </w:pPr>
    </w:p>
    <w:p>
      <w:pPr>
        <w:jc w:val="both"/>
        <w:ind w:left="760" w:firstLine="429"/>
        <w:spacing w:after="0" w:line="239" w:lineRule="auto"/>
        <w:tabs>
          <w:tab w:leader="none" w:pos="16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which results from such consolidation, merger or combination or the corporation to which the Company sells, leases or otherwise disposes of all or substantially all of its and its Subsidiaries’ (taken as a whole) assets (in either case, the </w:t>
      </w:r>
      <w:r>
        <w:rPr>
          <w:rFonts w:ascii="Times New Roman" w:cs="Times New Roman" w:eastAsia="Times New Roman" w:hAnsi="Times New Roman"/>
          <w:sz w:val="22"/>
          <w:szCs w:val="22"/>
          <w:i w:val="1"/>
          <w:iCs w:val="1"/>
          <w:color w:val="auto"/>
        </w:rPr>
        <w:t>“surviving corporation”</w:t>
      </w:r>
      <w:r>
        <w:rPr>
          <w:rFonts w:ascii="Times New Roman" w:cs="Times New Roman" w:eastAsia="Times New Roman" w:hAnsi="Times New Roman"/>
          <w:sz w:val="22"/>
          <w:szCs w:val="22"/>
          <w:color w:val="auto"/>
        </w:rPr>
        <w:t>) is either the Company (in the case of a merger, consolidation or combination), or, if not, is organized under the laws of any State of the United States or the District of Columbia,</w:t>
      </w:r>
    </w:p>
    <w:p>
      <w:pPr>
        <w:spacing w:after="0" w:line="220" w:lineRule="exact"/>
        <w:rPr>
          <w:rFonts w:ascii="Times New Roman" w:cs="Times New Roman" w:eastAsia="Times New Roman" w:hAnsi="Times New Roman"/>
          <w:sz w:val="22"/>
          <w:szCs w:val="22"/>
          <w:color w:val="auto"/>
        </w:rPr>
      </w:pPr>
    </w:p>
    <w:p>
      <w:pPr>
        <w:jc w:val="both"/>
        <w:ind w:left="760" w:firstLine="429"/>
        <w:spacing w:after="0" w:line="235" w:lineRule="auto"/>
        <w:tabs>
          <w:tab w:leader="none" w:pos="16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surviving corporation is not the Company, the obligations of the Company under this Agreement and the Notes are expressly assumed in writing by the surviving corporation and the surviving corporation shall furnish the holders of the Notes an opinion of counsel satisfactory to such holders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or similar laws affecting the enforcement of creditors’ rights generally and by general equitable principles, and</w:t>
      </w:r>
    </w:p>
    <w:p>
      <w:pPr>
        <w:spacing w:after="0" w:line="210" w:lineRule="exact"/>
        <w:rPr>
          <w:rFonts w:ascii="Times New Roman" w:cs="Times New Roman" w:eastAsia="Times New Roman" w:hAnsi="Times New Roman"/>
          <w:sz w:val="22"/>
          <w:szCs w:val="22"/>
          <w:color w:val="auto"/>
        </w:rPr>
      </w:pPr>
    </w:p>
    <w:p>
      <w:pPr>
        <w:ind w:left="760" w:firstLine="429"/>
        <w:spacing w:after="0" w:line="239" w:lineRule="auto"/>
        <w:tabs>
          <w:tab w:leader="none" w:pos="16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of such consolidation, merger or combination or sale, lease or other disposition of all or substantially all of the Company’s and its Subsidiaries’ assets, and immediately after giving effect thereto, no Default or Event of Default shall have occurred and be continuing and the Company or the surviving corporation, as the case may be, could incur at least $1.00 of additional Funded Indebtedness pursuant to </w:t>
      </w:r>
      <w:r>
        <w:rPr>
          <w:rFonts w:ascii="Times New Roman" w:cs="Times New Roman" w:eastAsia="Times New Roman" w:hAnsi="Times New Roman"/>
          <w:sz w:val="22"/>
          <w:szCs w:val="22"/>
          <w:b w:val="1"/>
          <w:bCs w:val="1"/>
          <w:color w:val="auto"/>
        </w:rPr>
        <w:t>Section 10.1</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 Company and any of its Subsidiaries will be permitted to sell its generating assets and power 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entitlements without the consent of the Purchasers, pursuant to any industry restructuring plan filed with and approved by a state utility regulatory agency (each such plan a </w:t>
      </w:r>
      <w:r>
        <w:rPr>
          <w:rFonts w:ascii="Times New Roman" w:cs="Times New Roman" w:eastAsia="Times New Roman" w:hAnsi="Times New Roman"/>
          <w:sz w:val="22"/>
          <w:szCs w:val="22"/>
          <w:i w:val="1"/>
          <w:iCs w:val="1"/>
          <w:color w:val="auto"/>
        </w:rPr>
        <w:t>“Utility Subsidiary Restructuring Plan”</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10.5. Restrictions on Dividends </w:t>
      </w:r>
      <w:r>
        <w:rPr>
          <w:rFonts w:ascii="Times New Roman" w:cs="Times New Roman" w:eastAsia="Times New Roman" w:hAnsi="Times New Roman"/>
          <w:sz w:val="22"/>
          <w:szCs w:val="22"/>
          <w:color w:val="auto"/>
        </w:rPr>
        <w:t>TC "Section 10.5. Restrictions on Dividends" \f C \l "2"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(a)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not except (i) as hereinafter provided and (ii) for declaring or paying any dividend solely in shares of its own common stock:</w:t>
      </w:r>
    </w:p>
    <w:p>
      <w:pPr>
        <w:spacing w:after="0" w:line="181" w:lineRule="exact"/>
        <w:rPr>
          <w:sz w:val="20"/>
          <w:szCs w:val="20"/>
          <w:color w:val="auto"/>
        </w:rPr>
      </w:pPr>
    </w:p>
    <w:p>
      <w:pPr>
        <w:ind w:left="1620" w:hanging="431"/>
        <w:spacing w:after="0"/>
        <w:tabs>
          <w:tab w:leader="none" w:pos="16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any dividend; or</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760" w:firstLine="429"/>
        <w:spacing w:after="0" w:line="239" w:lineRule="auto"/>
        <w:tabs>
          <w:tab w:leader="none" w:pos="162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other distribution of cash, property or assets on any shares of any class of its capital stock or apply any of its cash, property or assets (other than amounts equal to net proceeds received from the sale of common stock of the Company subsequent to the date of this Agreement) to the purchase or retirement of, or make any other distribution, through reduction of capital or otherwise, in respect of any shares of its capital stock;</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(which dividends, distributions, purchases and retirements are hereinafter referred to as </w:t>
      </w:r>
      <w:r>
        <w:rPr>
          <w:rFonts w:ascii="Times New Roman" w:cs="Times New Roman" w:eastAsia="Times New Roman" w:hAnsi="Times New Roman"/>
          <w:sz w:val="22"/>
          <w:szCs w:val="22"/>
          <w:i w:val="1"/>
          <w:iCs w:val="1"/>
          <w:color w:val="auto"/>
        </w:rPr>
        <w:t>“distributions”</w:t>
      </w:r>
      <w:r>
        <w:rPr>
          <w:rFonts w:ascii="Times New Roman" w:cs="Times New Roman" w:eastAsia="Times New Roman" w:hAnsi="Times New Roman"/>
          <w:sz w:val="22"/>
          <w:szCs w:val="22"/>
          <w:color w:val="auto"/>
        </w:rPr>
        <w:t xml:space="preserve">) if, after giving effect to such distribution, the aggregate amount of (1) all such distributions declared, paid, made or applied subsequent to January 1, 2026,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all regular dividends declared on any class of Preferred Stock of the Company subsequent to January 1, 2026 and all amounts charged to retained earnings after January 1, 2026 in connection with the purchase or retirement of any shares of Preferred Stock of the Company, would exceed an amount equal to the sum of (x) 100% of the Company’s Adjusted Net Income (Deficit) accumulated subsequent to January 1, 2026,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100% of the net proceeds from any common or preferred equity issuances by the Company subsequent to January 1, 2026,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(z) $100,300,000.</w:t>
      </w:r>
    </w:p>
    <w:p>
      <w:pPr>
        <w:spacing w:after="0" w:line="216" w:lineRule="exact"/>
        <w:rPr>
          <w:sz w:val="20"/>
          <w:szCs w:val="20"/>
          <w:color w:val="auto"/>
        </w:rPr>
      </w:pPr>
    </w:p>
    <w:p>
      <w:pPr>
        <w:jc w:val="both"/>
        <w:ind w:firstLine="440"/>
        <w:spacing w:after="0" w:line="246" w:lineRule="auto"/>
        <w:tabs>
          <w:tab w:leader="none" w:pos="8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the amount of any distribution declared, paid or distributed in property shall be deemed to be the fair market value (as determined in good faith by the Board of Directors of the Company) of such property at the time of the making of the distribution in question.</w:t>
      </w:r>
    </w:p>
    <w:p>
      <w:pPr>
        <w:spacing w:after="0" w:line="208"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10.6. Line of Business </w:t>
      </w:r>
      <w:r>
        <w:rPr>
          <w:rFonts w:ascii="Times New Roman" w:cs="Times New Roman" w:eastAsia="Times New Roman" w:hAnsi="Times New Roman"/>
          <w:sz w:val="22"/>
          <w:szCs w:val="22"/>
          <w:color w:val="auto"/>
        </w:rPr>
        <w:t>TC "Section 10.6. Line of Business" \f C \l "2" . The Company will not and will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permit any Subsidiary to engage in any business if, as a result, the general nature of the business, taken on a consolidated basis, which would then be engaged in by the Company and its Subsidiaries would be substantially changed from the general nature of the business engaged in by the Company and its Subsidiaries on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an expansion of the Company’s or any Subsidiary’s service territory shall be deemed not to be a change from the general nature of the business engaged in by the Company and its Subsidiaries.</w:t>
      </w:r>
    </w:p>
    <w:p>
      <w:pPr>
        <w:spacing w:after="0" w:line="202"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10.7. Economics Sanctions Regulations </w:t>
      </w:r>
      <w:r>
        <w:rPr>
          <w:rFonts w:ascii="Times New Roman" w:cs="Times New Roman" w:eastAsia="Times New Roman" w:hAnsi="Times New Roman"/>
          <w:sz w:val="22"/>
          <w:szCs w:val="22"/>
          <w:color w:val="auto"/>
        </w:rPr>
        <w:t>TC "Section 10.7. Economics Sanctions Regulations" \f C \l "2" .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will not, and will not permit any Controlled Entity to (a) become (including by virtue of being owned or controlled by a Blocked Person), own or control a Blocked Person or (b) directly or indirectly have any investment in or, to the knowledge of the Company, engage in any dealing or transaction (including any investment, dealing or transaction involving the proceeds of the Notes) with any Person if such investment, dealing or transaction (i) to the knowledge of the Company, would cause any holder to be in violation of, or subject to sanctions under, any law or regulation applicable to such holder, or (ii) is prohibited by or subject to sanctions under any U.S. Economic Sanctions Laws.</w:t>
      </w:r>
    </w:p>
    <w:p>
      <w:pPr>
        <w:spacing w:after="0" w:line="261" w:lineRule="exact"/>
        <w:rPr>
          <w:sz w:val="20"/>
          <w:szCs w:val="20"/>
          <w:color w:val="auto"/>
        </w:rPr>
      </w:pPr>
    </w:p>
    <w:p>
      <w:pPr>
        <w:spacing w:after="0"/>
        <w:tabs>
          <w:tab w:leader="none" w:pos="1280" w:val="left"/>
          <w:tab w:leader="none" w:pos="474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11.</w:t>
        <w:tab/>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11.</w:t>
      </w:r>
      <w:r>
        <w:rPr>
          <w:sz w:val="20"/>
          <w:szCs w:val="20"/>
          <w:color w:val="auto"/>
        </w:rPr>
        <w:tab/>
      </w: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 “Event of Default” shall exist if any of the following conditions or events shall occur and be continuing:</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right="20" w:firstLine="429"/>
        <w:spacing w:after="0" w:line="282" w:lineRule="auto"/>
        <w:tabs>
          <w:tab w:leader="none" w:pos="162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defaults in the payment of any principal or Make-Whole Amount, if any, on any Note when the same becomes due and payable, whether at maturity or at a date fixed for prepayment or by declaration or otherwise; or</w:t>
      </w:r>
    </w:p>
    <w:p>
      <w:pPr>
        <w:spacing w:after="0" w:line="161" w:lineRule="exact"/>
        <w:rPr>
          <w:rFonts w:ascii="Times New Roman" w:cs="Times New Roman" w:eastAsia="Times New Roman" w:hAnsi="Times New Roman"/>
          <w:sz w:val="21"/>
          <w:szCs w:val="21"/>
          <w:color w:val="auto"/>
        </w:rPr>
      </w:pPr>
    </w:p>
    <w:p>
      <w:pPr>
        <w:ind w:left="760" w:right="40" w:firstLine="429"/>
        <w:spacing w:after="0" w:line="258" w:lineRule="auto"/>
        <w:tabs>
          <w:tab w:leader="none" w:pos="16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defaults in the payment of any interest on any Note for more than five Business Days after the same becomes due and payable; or</w:t>
      </w:r>
    </w:p>
    <w:p>
      <w:pPr>
        <w:spacing w:after="0" w:line="194" w:lineRule="exact"/>
        <w:rPr>
          <w:rFonts w:ascii="Times New Roman" w:cs="Times New Roman" w:eastAsia="Times New Roman" w:hAnsi="Times New Roman"/>
          <w:sz w:val="22"/>
          <w:szCs w:val="22"/>
          <w:color w:val="auto"/>
        </w:rPr>
      </w:pPr>
    </w:p>
    <w:p>
      <w:pPr>
        <w:ind w:left="760" w:firstLine="429"/>
        <w:spacing w:after="0" w:line="262" w:lineRule="auto"/>
        <w:tabs>
          <w:tab w:leader="none" w:pos="16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defaults in the performance of or compliance with any term contained in any of </w:t>
      </w:r>
      <w:r>
        <w:rPr>
          <w:rFonts w:ascii="Times New Roman" w:cs="Times New Roman" w:eastAsia="Times New Roman" w:hAnsi="Times New Roman"/>
          <w:sz w:val="22"/>
          <w:szCs w:val="22"/>
          <w:b w:val="1"/>
          <w:bCs w:val="1"/>
          <w:color w:val="auto"/>
        </w:rPr>
        <w:t>Sections 7.1(d)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 Sections 10.1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10.4</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10.5</w:t>
      </w:r>
      <w:r>
        <w:rPr>
          <w:rFonts w:ascii="Times New Roman" w:cs="Times New Roman" w:eastAsia="Times New Roman" w:hAnsi="Times New Roman"/>
          <w:sz w:val="22"/>
          <w:szCs w:val="22"/>
          <w:color w:val="auto"/>
        </w:rPr>
        <w:t>; or</w:t>
      </w:r>
    </w:p>
    <w:p>
      <w:pPr>
        <w:spacing w:after="0" w:line="194" w:lineRule="exact"/>
        <w:rPr>
          <w:rFonts w:ascii="Times New Roman" w:cs="Times New Roman" w:eastAsia="Times New Roman" w:hAnsi="Times New Roman"/>
          <w:sz w:val="22"/>
          <w:szCs w:val="22"/>
          <w:color w:val="auto"/>
        </w:rPr>
      </w:pPr>
    </w:p>
    <w:p>
      <w:pPr>
        <w:jc w:val="both"/>
        <w:ind w:left="760" w:firstLine="429"/>
        <w:spacing w:after="0" w:line="236" w:lineRule="auto"/>
        <w:tabs>
          <w:tab w:leader="none" w:pos="16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defaults in the performance of or compliance with any term contained herein (other than those referred to in </w:t>
      </w:r>
      <w:r>
        <w:rPr>
          <w:rFonts w:ascii="Times New Roman" w:cs="Times New Roman" w:eastAsia="Times New Roman" w:hAnsi="Times New Roman"/>
          <w:sz w:val="22"/>
          <w:szCs w:val="22"/>
          <w:b w:val="1"/>
          <w:bCs w:val="1"/>
          <w:color w:val="auto"/>
        </w:rPr>
        <w:t>Sections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or, if a Guaranty Agreement is in effect, any Guarantor defaults in the performance of or compliance with any Material term of such Guaranty Agreement and, in each case, such default is not remedied within 30 days after the earlier of (i) a Responsible Officer obtaining actual knowledge of such default and (ii) the Company or any Guarantor, as applicable, receiving written notice of such default from any holder of a Note (any such written notice to be identified as a “notice of default” and to refer specifically to this </w:t>
      </w:r>
      <w:r>
        <w:rPr>
          <w:rFonts w:ascii="Times New Roman" w:cs="Times New Roman" w:eastAsia="Times New Roman" w:hAnsi="Times New Roman"/>
          <w:sz w:val="22"/>
          <w:szCs w:val="22"/>
          <w:b w:val="1"/>
          <w:bCs w:val="1"/>
          <w:color w:val="auto"/>
        </w:rPr>
        <w:t>Section 11(d)</w:t>
      </w:r>
      <w:r>
        <w:rPr>
          <w:rFonts w:ascii="Times New Roman" w:cs="Times New Roman" w:eastAsia="Times New Roman" w:hAnsi="Times New Roman"/>
          <w:sz w:val="22"/>
          <w:szCs w:val="22"/>
          <w:color w:val="auto"/>
        </w:rPr>
        <w:t>); or</w:t>
      </w:r>
    </w:p>
    <w:p>
      <w:pPr>
        <w:spacing w:after="0" w:line="208" w:lineRule="exact"/>
        <w:rPr>
          <w:rFonts w:ascii="Times New Roman" w:cs="Times New Roman" w:eastAsia="Times New Roman" w:hAnsi="Times New Roman"/>
          <w:sz w:val="22"/>
          <w:szCs w:val="22"/>
          <w:color w:val="auto"/>
        </w:rPr>
      </w:pPr>
    </w:p>
    <w:p>
      <w:pPr>
        <w:jc w:val="both"/>
        <w:ind w:left="760" w:firstLine="429"/>
        <w:spacing w:after="0" w:line="239" w:lineRule="auto"/>
        <w:tabs>
          <w:tab w:leader="none" w:pos="16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in writing by the Company or a Guarantor, if any, or by any officer of the Company or such Guarantor in this Agreement or in the Guaranty Agreement, as applicable, or in any writing furnished in connection with the transactions contemplated hereby or thereby proves to have been false or incorrect in any material respect on the date as of which made; or</w:t>
      </w:r>
    </w:p>
    <w:p>
      <w:pPr>
        <w:spacing w:after="0" w:line="220" w:lineRule="exact"/>
        <w:rPr>
          <w:rFonts w:ascii="Times New Roman" w:cs="Times New Roman" w:eastAsia="Times New Roman" w:hAnsi="Times New Roman"/>
          <w:sz w:val="22"/>
          <w:szCs w:val="22"/>
          <w:color w:val="auto"/>
        </w:rPr>
      </w:pPr>
    </w:p>
    <w:p>
      <w:pPr>
        <w:jc w:val="both"/>
        <w:ind w:left="760" w:firstLine="429"/>
        <w:spacing w:after="0" w:line="233" w:lineRule="auto"/>
        <w:tabs>
          <w:tab w:leader="none" w:pos="16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or any Subsidiary is in default (as principal or as guarantor or other surety) in the payment of any principal of or premium or make-whole amount or interest on any Indebtedness that is outstanding in an aggregate principal amount of at least $10,000,000 beyond any period of grace provided with respect thereto, or (ii) the Company or any Subsidiary is in default in the performance of or compliance with any term of any evidence of any Indebtedness in an aggregate outstanding principal amount of at least $10,000,000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(x) the Company or any Subsidiary has become obligated to purchase or repay Indebtedness before its regular maturity or before its regularly scheduled dates of payment in an aggregate outstanding principal amount of at least $10,000,000, or (y) one or more Persons have the right to require the Company or any Subsidiary so to purchase or repay such Indebtedness; or</w:t>
      </w:r>
    </w:p>
    <w:p>
      <w:pPr>
        <w:spacing w:after="0" w:line="222"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(i) is generally not paying, or admits in writing its inability to pay, its debts as they become due, (ii) files, or consents by answer</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208" w:lineRule="exact"/>
        <w:rPr>
          <w:sz w:val="20"/>
          <w:szCs w:val="20"/>
          <w:color w:val="auto"/>
        </w:rPr>
      </w:pPr>
    </w:p>
    <w:p>
      <w:pPr>
        <w:jc w:val="both"/>
        <w:ind w:left="760" w:firstLine="429"/>
        <w:spacing w:after="0" w:line="235" w:lineRule="auto"/>
        <w:tabs>
          <w:tab w:leader="none" w:pos="16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w:t>
      </w:r>
    </w:p>
    <w:p>
      <w:pPr>
        <w:spacing w:after="0" w:line="223" w:lineRule="exact"/>
        <w:rPr>
          <w:rFonts w:ascii="Times New Roman" w:cs="Times New Roman" w:eastAsia="Times New Roman" w:hAnsi="Times New Roman"/>
          <w:sz w:val="22"/>
          <w:szCs w:val="22"/>
          <w:color w:val="auto"/>
        </w:rPr>
      </w:pPr>
    </w:p>
    <w:p>
      <w:pPr>
        <w:jc w:val="both"/>
        <w:ind w:left="760" w:firstLine="429"/>
        <w:spacing w:after="0" w:line="238" w:lineRule="auto"/>
        <w:tabs>
          <w:tab w:leader="none" w:pos="16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judgment or judgments for the payment of money aggregating in excess of $25,000,000 (in excess of insurance available therefor), including, without limitation,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spacing w:after="0" w:line="217" w:lineRule="exact"/>
        <w:rPr>
          <w:rFonts w:ascii="Times New Roman" w:cs="Times New Roman" w:eastAsia="Times New Roman" w:hAnsi="Times New Roman"/>
          <w:sz w:val="22"/>
          <w:szCs w:val="22"/>
          <w:color w:val="auto"/>
        </w:rPr>
      </w:pPr>
    </w:p>
    <w:p>
      <w:pPr>
        <w:jc w:val="both"/>
        <w:ind w:left="760" w:firstLine="429"/>
        <w:spacing w:after="0" w:line="244" w:lineRule="auto"/>
        <w:tabs>
          <w:tab w:leader="none" w:pos="16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Guaranty Agreement is in effect, such Guaranty Agreement ceases to be a legally valid, binding and enforceable obligation or contract of any Guarantor, or any Guarantor or any party by, through or on account of any such Guarantor, challenges the validity, binding nature or enforceability of a Guaranty Agreement.</w:t>
      </w:r>
    </w:p>
    <w:p>
      <w:pPr>
        <w:spacing w:after="0" w:line="2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12.</w:t>
        <w:tab/>
        <w:t>R</w:t>
      </w:r>
      <w:r>
        <w:rPr>
          <w:rFonts w:ascii="Times New Roman" w:cs="Times New Roman" w:eastAsia="Times New Roman" w:hAnsi="Times New Roman"/>
          <w:sz w:val="14"/>
          <w:szCs w:val="14"/>
          <w:color w:val="auto"/>
        </w:rPr>
        <w:t>emedies 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12.  R</w:t>
      </w:r>
      <w:r>
        <w:rPr>
          <w:rFonts w:ascii="Times New Roman" w:cs="Times New Roman" w:eastAsia="Times New Roman" w:hAnsi="Times New Roman"/>
          <w:sz w:val="14"/>
          <w:szCs w:val="14"/>
          <w:color w:val="auto"/>
        </w:rPr>
        <w:t>emedies 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12.1. Acceleration </w:t>
      </w:r>
      <w:r>
        <w:rPr>
          <w:rFonts w:ascii="Times New Roman" w:cs="Times New Roman" w:eastAsia="Times New Roman" w:hAnsi="Times New Roman"/>
          <w:sz w:val="22"/>
          <w:szCs w:val="22"/>
          <w:color w:val="auto"/>
        </w:rPr>
        <w:t>TC "Section 12.1. Acceleration" \f C \l "2" . (a) If an Event of Default with respect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described in </w:t>
      </w:r>
      <w:r>
        <w:rPr>
          <w:rFonts w:ascii="Times New Roman" w:cs="Times New Roman" w:eastAsia="Times New Roman" w:hAnsi="Times New Roman"/>
          <w:sz w:val="22"/>
          <w:szCs w:val="22"/>
          <w:b w:val="1"/>
          <w:bCs w:val="1"/>
          <w:color w:val="auto"/>
        </w:rPr>
        <w:t>Section 11(g)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 (other than an Event of Default described in clause (i) of </w:t>
      </w:r>
      <w:r>
        <w:rPr>
          <w:rFonts w:ascii="Times New Roman" w:cs="Times New Roman" w:eastAsia="Times New Roman" w:hAnsi="Times New Roman"/>
          <w:sz w:val="22"/>
          <w:szCs w:val="22"/>
          <w:b w:val="1"/>
          <w:bCs w:val="1"/>
          <w:color w:val="auto"/>
        </w:rPr>
        <w:t>Section 11(g)</w:t>
      </w:r>
      <w:r>
        <w:rPr>
          <w:rFonts w:ascii="Times New Roman" w:cs="Times New Roman" w:eastAsia="Times New Roman" w:hAnsi="Times New Roman"/>
          <w:sz w:val="22"/>
          <w:szCs w:val="22"/>
          <w:color w:val="auto"/>
        </w:rPr>
        <w:t xml:space="preserve"> or described in clause (vi) of </w:t>
      </w:r>
      <w:r>
        <w:rPr>
          <w:rFonts w:ascii="Times New Roman" w:cs="Times New Roman" w:eastAsia="Times New Roman" w:hAnsi="Times New Roman"/>
          <w:sz w:val="22"/>
          <w:szCs w:val="22"/>
          <w:b w:val="1"/>
          <w:bCs w:val="1"/>
          <w:color w:val="auto"/>
        </w:rPr>
        <w:t>Section 11(g)</w:t>
      </w:r>
      <w:r>
        <w:rPr>
          <w:rFonts w:ascii="Times New Roman" w:cs="Times New Roman" w:eastAsia="Times New Roman" w:hAnsi="Times New Roman"/>
          <w:sz w:val="22"/>
          <w:szCs w:val="22"/>
          <w:color w:val="auto"/>
        </w:rPr>
        <w:t xml:space="preserve"> by virtue of the fact that such clause encompasses clause (i) of </w:t>
      </w:r>
      <w:r>
        <w:rPr>
          <w:rFonts w:ascii="Times New Roman" w:cs="Times New Roman" w:eastAsia="Times New Roman" w:hAnsi="Times New Roman"/>
          <w:sz w:val="22"/>
          <w:szCs w:val="22"/>
          <w:b w:val="1"/>
          <w:bCs w:val="1"/>
          <w:color w:val="auto"/>
        </w:rPr>
        <w:t>Section 11(g))</w:t>
      </w:r>
      <w:r>
        <w:rPr>
          <w:rFonts w:ascii="Times New Roman" w:cs="Times New Roman" w:eastAsia="Times New Roman" w:hAnsi="Times New Roman"/>
          <w:sz w:val="22"/>
          <w:szCs w:val="22"/>
          <w:color w:val="auto"/>
        </w:rPr>
        <w:t xml:space="preserve"> has occurred, all the Notes then outstanding shall automatically become immediately due and payable.</w:t>
      </w:r>
    </w:p>
    <w:p>
      <w:pPr>
        <w:spacing w:after="0" w:line="203" w:lineRule="exact"/>
        <w:rPr>
          <w:sz w:val="20"/>
          <w:szCs w:val="20"/>
          <w:color w:val="auto"/>
        </w:rPr>
      </w:pPr>
    </w:p>
    <w:p>
      <w:pPr>
        <w:jc w:val="both"/>
        <w:ind w:firstLine="440"/>
        <w:spacing w:after="0" w:line="244" w:lineRule="auto"/>
        <w:tabs>
          <w:tab w:leader="none" w:pos="86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other Event of Default has occurred and is continuing, any holder or holders of at least 66 2/3% in principal amount of the Notes at the time outstanding may at any time at its or their option, by notice or notices to the Company, declare all the Notes then outstanding to be immediately due and payable.</w:t>
      </w:r>
    </w:p>
    <w:p>
      <w:pPr>
        <w:spacing w:after="0" w:line="209" w:lineRule="exact"/>
        <w:rPr>
          <w:rFonts w:ascii="Times New Roman" w:cs="Times New Roman" w:eastAsia="Times New Roman" w:hAnsi="Times New Roman"/>
          <w:sz w:val="22"/>
          <w:szCs w:val="22"/>
          <w:color w:val="auto"/>
        </w:rPr>
      </w:pPr>
    </w:p>
    <w:p>
      <w:pPr>
        <w:ind w:firstLine="440"/>
        <w:spacing w:after="0" w:line="262" w:lineRule="auto"/>
        <w:tabs>
          <w:tab w:leader="none" w:pos="86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Event of Default described in </w:t>
      </w:r>
      <w:r>
        <w:rPr>
          <w:rFonts w:ascii="Times New Roman" w:cs="Times New Roman" w:eastAsia="Times New Roman" w:hAnsi="Times New Roman"/>
          <w:sz w:val="22"/>
          <w:szCs w:val="22"/>
          <w:b w:val="1"/>
          <w:bCs w:val="1"/>
          <w:color w:val="auto"/>
        </w:rPr>
        <w:t>Section 11(a)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has occurred and is continuing, any holder or holders of Notes at the time outstanding affected by such Event of</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2"/>
          <w:szCs w:val="22"/>
          <w:color w:val="auto"/>
        </w:rPr>
        <w:t>Default may at any time, at its or their option, by notice or notices to the Company, declare all the Notes held by it or them to be immediately due and payable.</w:t>
      </w:r>
    </w:p>
    <w:p>
      <w:pPr>
        <w:spacing w:after="0" w:line="181" w:lineRule="exact"/>
        <w:rPr>
          <w:sz w:val="20"/>
          <w:szCs w:val="20"/>
          <w:color w:val="auto"/>
        </w:rPr>
      </w:pPr>
    </w:p>
    <w:p>
      <w:pPr>
        <w:jc w:val="both"/>
        <w:ind w:right="1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Upon any Notes becoming due and payable under this </w:t>
      </w:r>
      <w:r>
        <w:rPr>
          <w:rFonts w:ascii="Times New Roman" w:cs="Times New Roman" w:eastAsia="Times New Roman" w:hAnsi="Times New Roman"/>
          <w:sz w:val="22"/>
          <w:szCs w:val="22"/>
          <w:b w:val="1"/>
          <w:bCs w:val="1"/>
          <w:color w:val="auto"/>
        </w:rPr>
        <w:t>Section 12.1</w:t>
      </w:r>
      <w:r>
        <w:rPr>
          <w:rFonts w:ascii="Times New Roman" w:cs="Times New Roman" w:eastAsia="Times New Roman" w:hAnsi="Times New Roman"/>
          <w:sz w:val="22"/>
          <w:szCs w:val="22"/>
          <w:color w:val="auto"/>
        </w:rPr>
        <w:t>, whether automatically or by declaration, such Notes will forthwith mature and the entire unpaid principal amount of such Notes, plus (x) all accrued and unpaid interest thereon (including, but not limited to, interest accrued thereon at the Default Rate)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214"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12.2. Other Remedies </w:t>
      </w:r>
      <w:r>
        <w:rPr>
          <w:rFonts w:ascii="Times New Roman" w:cs="Times New Roman" w:eastAsia="Times New Roman" w:hAnsi="Times New Roman"/>
          <w:sz w:val="22"/>
          <w:szCs w:val="22"/>
          <w:color w:val="auto"/>
        </w:rPr>
        <w:t>TC "Section 12.2. Other Remedies" \f C \l "2" . If any Default or Event of Default ha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occurred and is continuing, and irrespective of whether any Notes have become or have been declared immediately due and payable under </w:t>
      </w:r>
      <w:r>
        <w:rPr>
          <w:rFonts w:ascii="Times New Roman" w:cs="Times New Roman" w:eastAsia="Times New Roman" w:hAnsi="Times New Roman"/>
          <w:sz w:val="22"/>
          <w:szCs w:val="22"/>
          <w:b w:val="1"/>
          <w:bCs w:val="1"/>
          <w:color w:val="auto"/>
        </w:rPr>
        <w:t>Section 12.1</w:t>
      </w:r>
      <w:r>
        <w:rPr>
          <w:rFonts w:ascii="Times New Roman" w:cs="Times New Roman" w:eastAsia="Times New Roman" w:hAnsi="Times New Roman"/>
          <w:sz w:val="22"/>
          <w:szCs w:val="22"/>
          <w:color w:val="auto"/>
        </w:rPr>
        <w:t>, the holder of any Note at the time outstanding may proceed to protect and enforce the rights of such holder by an action at law, suit in equity or other appropriate proceeding, whether for the specific performance of any agreement contained herein or in any Note or Guaranty Agreement, or for an injunction against a violation of any of the terms hereof or thereof, or in aid of the exercise of any power granted hereby or thereby or by law or otherwise.</w:t>
      </w:r>
    </w:p>
    <w:p>
      <w:pPr>
        <w:spacing w:after="0" w:line="216" w:lineRule="exact"/>
        <w:rPr>
          <w:sz w:val="20"/>
          <w:szCs w:val="20"/>
          <w:color w:val="auto"/>
        </w:rPr>
      </w:pPr>
    </w:p>
    <w:p>
      <w:pPr>
        <w:jc w:val="both"/>
        <w:ind w:firstLine="432"/>
        <w:spacing w:after="0" w:line="250" w:lineRule="exact"/>
        <w:rPr>
          <w:sz w:val="20"/>
          <w:szCs w:val="20"/>
          <w:color w:val="auto"/>
        </w:rPr>
      </w:pPr>
      <w:r>
        <w:rPr>
          <w:rFonts w:ascii="Times New Roman" w:cs="Times New Roman" w:eastAsia="Times New Roman" w:hAnsi="Times New Roman"/>
          <w:sz w:val="22"/>
          <w:szCs w:val="22"/>
          <w:i w:val="1"/>
          <w:iCs w:val="1"/>
          <w:color w:val="auto"/>
        </w:rPr>
        <w:t xml:space="preserve">Section 12.3. Rescission </w:t>
      </w:r>
      <w:r>
        <w:rPr>
          <w:rFonts w:ascii="Times New Roman" w:cs="Times New Roman" w:eastAsia="Times New Roman" w:hAnsi="Times New Roman"/>
          <w:sz w:val="22"/>
          <w:szCs w:val="22"/>
          <w:color w:val="auto"/>
        </w:rPr>
        <w:t>TC "Section 12.3. Rescission" \f C \l "2" . At any time after any Notes have been declared 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payable pursuant to </w:t>
      </w:r>
      <w:r>
        <w:rPr>
          <w:rFonts w:ascii="Times New Roman" w:cs="Times New Roman" w:eastAsia="Times New Roman" w:hAnsi="Times New Roman"/>
          <w:sz w:val="22"/>
          <w:szCs w:val="22"/>
          <w:b w:val="1"/>
          <w:bCs w:val="1"/>
          <w:color w:val="auto"/>
        </w:rPr>
        <w:t>Section 12.1(b)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the holders of not less than 66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 in principal amount of the Notes then outstanding,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w:t>
      </w:r>
    </w:p>
    <w:p>
      <w:pPr>
        <w:spacing w:after="0" w:line="1" w:lineRule="exact"/>
        <w:rPr>
          <w:sz w:val="20"/>
          <w:szCs w:val="20"/>
          <w:color w:val="auto"/>
        </w:rPr>
      </w:pPr>
    </w:p>
    <w:p>
      <w:pPr>
        <w:jc w:val="both"/>
        <w:ind w:right="100" w:firstLine="8"/>
        <w:spacing w:after="0" w:line="234" w:lineRule="auto"/>
        <w:tabs>
          <w:tab w:leader="none" w:pos="34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Events of Default and Defaults, other than non-payment of amounts that have become due solely by reason of such declaration, have been cured or have been waived pursuant to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and (c) no judgment or decree has been entered for the payment of any monies due pursuant hereto or to the Notes. No rescission and annulment under this </w:t>
      </w:r>
      <w:r>
        <w:rPr>
          <w:rFonts w:ascii="Times New Roman" w:cs="Times New Roman" w:eastAsia="Times New Roman" w:hAnsi="Times New Roman"/>
          <w:sz w:val="22"/>
          <w:szCs w:val="22"/>
          <w:b w:val="1"/>
          <w:bCs w:val="1"/>
          <w:color w:val="auto"/>
        </w:rPr>
        <w:t>Section 12.3</w:t>
      </w:r>
      <w:r>
        <w:rPr>
          <w:rFonts w:ascii="Times New Roman" w:cs="Times New Roman" w:eastAsia="Times New Roman" w:hAnsi="Times New Roman"/>
          <w:sz w:val="22"/>
          <w:szCs w:val="22"/>
          <w:color w:val="auto"/>
        </w:rPr>
        <w:t xml:space="preserve"> will extend to or affect any subsequent Event of Default or Default or impair any right consequent thereon.</w:t>
      </w:r>
    </w:p>
    <w:p>
      <w:pPr>
        <w:spacing w:after="0" w:line="200" w:lineRule="exact"/>
        <w:rPr>
          <w:sz w:val="20"/>
          <w:szCs w:val="20"/>
          <w:color w:val="auto"/>
        </w:rPr>
      </w:pPr>
    </w:p>
    <w:p>
      <w:pPr>
        <w:ind w:right="100"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12.4. No Waivers or Election of Remedies, Expenses, Etc </w:t>
      </w:r>
      <w:r>
        <w:rPr>
          <w:rFonts w:ascii="Times New Roman" w:cs="Times New Roman" w:eastAsia="Times New Roman" w:hAnsi="Times New Roman"/>
          <w:sz w:val="22"/>
          <w:szCs w:val="22"/>
          <w:color w:val="auto"/>
        </w:rPr>
        <w:t>TC "Section 12.4. No Waivers or Election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Remedies, Expenses, Etc" \f C \l "2" . No course of dealing and no delay on the part of any holder of any Note in exercising any right, power or remedy shall operate as a waiver thereof or otherwise prejudice such holder’s rights, powers or remedies. No right, power or remedy conferred by this Agreement, any Guaranty Agreement or any Note upon any holder thereof shall be exclusive of any other right, power or remedy referred to herein or therein or now or hereafter available at law, in equity, by statute or otherwise. Without limiting</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the obligations of the Company under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the Company will pay to the holder of each Note on demand such further amount as shall be sufficient to cover all costs and expenses of such holder incurred in any enforcement or collection under this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including, without limitation, reasonable attorneys’ fees, expenses and disbursements.</w:t>
      </w:r>
    </w:p>
    <w:p>
      <w:pPr>
        <w:sectPr>
          <w:pgSz w:w="11900" w:h="16838" w:orient="portrait"/>
          <w:cols w:equalWidth="0" w:num="1">
            <w:col w:w="11240"/>
          </w:cols>
          <w:pgMar w:left="320" w:top="760"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13.</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egistration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xchange</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13.</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egistration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xchange</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ubstitution of</w:t>
      </w:r>
    </w:p>
    <w:p>
      <w:pPr>
        <w:spacing w:after="0" w:line="467" w:lineRule="exact"/>
        <w:rPr>
          <w:sz w:val="20"/>
          <w:szCs w:val="20"/>
          <w:color w:val="auto"/>
        </w:rPr>
      </w:pPr>
    </w:p>
    <w:p>
      <w:pPr>
        <w:sectPr>
          <w:pgSz w:w="11900" w:h="16838" w:orient="portrait"/>
          <w:cols w:equalWidth="0" w:num="3">
            <w:col w:w="1000" w:space="300"/>
            <w:col w:w="5600" w:space="460"/>
            <w:col w:w="3880"/>
          </w:cols>
          <w:pgMar w:left="320" w:top="760" w:right="339" w:bottom="1440" w:gutter="0" w:footer="0" w:header="0"/>
          <w:type w:val="continuous"/>
        </w:sectPr>
      </w:pPr>
    </w:p>
    <w:p>
      <w:pPr>
        <w:spacing w:after="0" w:line="19"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13.1. Registration of Notes </w:t>
      </w:r>
      <w:r>
        <w:rPr>
          <w:rFonts w:ascii="Times New Roman" w:cs="Times New Roman" w:eastAsia="Times New Roman" w:hAnsi="Times New Roman"/>
          <w:sz w:val="22"/>
          <w:szCs w:val="22"/>
          <w:color w:val="auto"/>
        </w:rPr>
        <w:t>TC "Section 13.1. Registration of Notes" \f C \l "2" . The Company shall keep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principal executive office, or at such other office the address of which the Company may hereafter notify the holders of the Notes from time to time,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consent, or other instrument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212" w:lineRule="exact"/>
        <w:rPr>
          <w:sz w:val="20"/>
          <w:szCs w:val="20"/>
          <w:color w:val="auto"/>
        </w:rPr>
      </w:pPr>
    </w:p>
    <w:p>
      <w:pPr>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13.2. Transfer and Exchange of Notes </w:t>
      </w:r>
      <w:r>
        <w:rPr>
          <w:rFonts w:ascii="Times New Roman" w:cs="Times New Roman" w:eastAsia="Times New Roman" w:hAnsi="Times New Roman"/>
          <w:sz w:val="22"/>
          <w:szCs w:val="22"/>
          <w:color w:val="auto"/>
        </w:rPr>
        <w:t>TC "Section 13.2. Transfer and Exchange of Notes" \f C \l "2" .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surrender of any Note to the Company at the address and to the attention of the designated officer (all as specified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18(iii)</w:t>
      </w:r>
      <w:r>
        <w:rPr>
          <w:rFonts w:ascii="Times New Roman" w:cs="Times New Roman" w:eastAsia="Times New Roman" w:hAnsi="Times New Roman"/>
          <w:sz w:val="22"/>
          <w:szCs w:val="22"/>
          <w:color w:val="auto"/>
        </w:rPr>
        <w:t>), for registration of transfer or exchange (and in the case of a surrender for registration of transfer accompanied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written instrument of transfer duly executed by the registered holder of such Note or such holder’s attorney duly authorized in writing and accompanied by the relevant name, address and other information for notices of each transferee of such Note or part thereof), within ten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the Note originally issued hereunder.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$500,000, provided that if necessary to enable the registration of transfer by a holder of its entire holding of Notes, one Note may be in a denomination of less than $500,000. Any transferee, by its acceptance of a Note registered in its name (or the name of its nominee), shall be deemed to have made the representation set forth in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and shall be bound by the terms of this Agreement.</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13.3. Replacement of Notes </w:t>
      </w:r>
      <w:r>
        <w:rPr>
          <w:rFonts w:ascii="Times New Roman" w:cs="Times New Roman" w:eastAsia="Times New Roman" w:hAnsi="Times New Roman"/>
          <w:sz w:val="22"/>
          <w:szCs w:val="22"/>
          <w:color w:val="auto"/>
        </w:rPr>
        <w:t>TC "Section 13.3. Replacement of Notes" \f C \l "2" . Upon receipt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at the address and to the attention of the designated officer (all as specified in </w:t>
      </w:r>
      <w:r>
        <w:rPr>
          <w:rFonts w:ascii="Times New Roman" w:cs="Times New Roman" w:eastAsia="Times New Roman" w:hAnsi="Times New Roman"/>
          <w:sz w:val="22"/>
          <w:szCs w:val="22"/>
          <w:b w:val="1"/>
          <w:bCs w:val="1"/>
          <w:color w:val="auto"/>
        </w:rPr>
        <w:t>Section 18(iii)</w:t>
      </w:r>
      <w:r>
        <w:rPr>
          <w:rFonts w:ascii="Times New Roman" w:cs="Times New Roman" w:eastAsia="Times New Roman" w:hAnsi="Times New Roman"/>
          <w:sz w:val="22"/>
          <w:szCs w:val="22"/>
          <w:color w:val="auto"/>
        </w:rPr>
        <w:t>)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208" w:lineRule="exact"/>
        <w:rPr>
          <w:sz w:val="20"/>
          <w:szCs w:val="20"/>
          <w:color w:val="auto"/>
        </w:rPr>
      </w:pPr>
    </w:p>
    <w:p>
      <w:pPr>
        <w:jc w:val="both"/>
        <w:ind w:left="760" w:firstLine="429"/>
        <w:spacing w:after="0" w:line="239" w:lineRule="auto"/>
        <w:tabs>
          <w:tab w:leader="none" w:pos="16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 theft or destruction, of indemnity reasonably satisfactory to it (provided that if the holder of such Note is, or is a nominee for, an original Purchaser or another Institutional Investor that is a holder of a Note with a minimum net worth of at least $5,000,000 or a Qualified Institutional Buyer, such Person’s own unsecured agreement of indemnity shall be deemed to be satisfactory), or</w:t>
      </w:r>
    </w:p>
    <w:p>
      <w:pPr>
        <w:spacing w:after="0" w:line="220"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mutilation, upon surrender and cancellation thereof,</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within ten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241" w:lineRule="exact"/>
        <w:rPr>
          <w:sz w:val="20"/>
          <w:szCs w:val="20"/>
          <w:color w:val="auto"/>
        </w:rPr>
      </w:pPr>
    </w:p>
    <w:p>
      <w:pPr>
        <w:spacing w:after="0"/>
        <w:tabs>
          <w:tab w:leader="none" w:pos="1280" w:val="left"/>
          <w:tab w:leader="none" w:pos="474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14.</w:t>
        <w:tab/>
        <w:t>P</w:t>
      </w:r>
      <w:r>
        <w:rPr>
          <w:rFonts w:ascii="Times New Roman" w:cs="Times New Roman" w:eastAsia="Times New Roman" w:hAnsi="Times New Roman"/>
          <w:sz w:val="14"/>
          <w:szCs w:val="14"/>
          <w:color w:val="auto"/>
        </w:rPr>
        <w:t>ayments on</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14.</w:t>
        <w:tab/>
        <w:t>P</w:t>
      </w:r>
      <w:r>
        <w:rPr>
          <w:rFonts w:ascii="Times New Roman" w:cs="Times New Roman" w:eastAsia="Times New Roman" w:hAnsi="Times New Roman"/>
          <w:sz w:val="14"/>
          <w:szCs w:val="14"/>
          <w:color w:val="auto"/>
        </w:rPr>
        <w:t>ayments on</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3"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14.1. Place of Payment </w:t>
      </w:r>
      <w:r>
        <w:rPr>
          <w:rFonts w:ascii="Times New Roman" w:cs="Times New Roman" w:eastAsia="Times New Roman" w:hAnsi="Times New Roman"/>
          <w:sz w:val="22"/>
          <w:szCs w:val="22"/>
          <w:color w:val="auto"/>
        </w:rPr>
        <w:t>TC "Section 14.1. Place of Payment" \f C \l "2" .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payments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principal, Make-Whole Amount, if any, and interest becoming due and payable on the Notes shall be made in Hampton, New Hampshire, at the principal office of the Company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204"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14.2. Home Office Payment </w:t>
      </w:r>
      <w:r>
        <w:rPr>
          <w:rFonts w:ascii="Times New Roman" w:cs="Times New Roman" w:eastAsia="Times New Roman" w:hAnsi="Times New Roman"/>
          <w:sz w:val="22"/>
          <w:szCs w:val="22"/>
          <w:color w:val="auto"/>
        </w:rPr>
        <w:t>TC "Section 14.2. Home Office Payment" \f C \l "2" . So long as any Purchaser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nominee shall be the holder of any Note, and notwithstanding anything contained in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or in such Note to the contrary, the Company will pay all sums becoming due on such Note for principal, Make-Whole Amount, if any, interest and all other amounts becoming due hereunder by the method and at the address specified for such purpose below such Purchaser’s name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w:t>
      </w:r>
      <w:r>
        <w:rPr>
          <w:rFonts w:ascii="Times New Roman" w:cs="Times New Roman" w:eastAsia="Times New Roman" w:hAnsi="Times New Roman"/>
          <w:sz w:val="22"/>
          <w:szCs w:val="22"/>
          <w:b w:val="1"/>
          <w:bCs w:val="1"/>
          <w:color w:val="auto"/>
        </w:rPr>
        <w:t>Section 13.2</w:t>
      </w:r>
      <w:r>
        <w:rPr>
          <w:rFonts w:ascii="Times New Roman" w:cs="Times New Roman" w:eastAsia="Times New Roman" w:hAnsi="Times New Roman"/>
          <w:sz w:val="22"/>
          <w:szCs w:val="22"/>
          <w:color w:val="auto"/>
        </w:rPr>
        <w:t>. The Company will afford the benefits</w:t>
      </w:r>
    </w:p>
    <w:p>
      <w:pPr>
        <w:spacing w:after="0" w:line="3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to any Institutional Investor that is the direct or indirect transferee of any Note purchased by a Purchaser under this Agreement and that has made the same agreement relating to such Note as the Purchasers have made in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14.2</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445"/>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14.3. FATCA Information </w:t>
      </w:r>
      <w:r>
        <w:rPr>
          <w:rFonts w:ascii="Times New Roman" w:cs="Times New Roman" w:eastAsia="Times New Roman" w:hAnsi="Times New Roman"/>
          <w:sz w:val="22"/>
          <w:szCs w:val="22"/>
          <w:color w:val="auto"/>
        </w:rPr>
        <w:t>TC "Section 14.3. FATCA Information" \f C \l "2"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By acceptance of any Note,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w:t>
      </w:r>
      <w:r>
        <w:rPr>
          <w:rFonts w:ascii="Times New Roman" w:cs="Times New Roman" w:eastAsia="Times New Roman" w:hAnsi="Times New Roman"/>
          <w:sz w:val="22"/>
          <w:szCs w:val="22"/>
          <w:b w:val="1"/>
          <w:bCs w:val="1"/>
          <w:color w:val="auto"/>
        </w:rPr>
        <w:t>Section 14.3</w:t>
      </w:r>
      <w:r>
        <w:rPr>
          <w:rFonts w:ascii="Times New Roman" w:cs="Times New Roman" w:eastAsia="Times New Roman" w:hAnsi="Times New Roman"/>
          <w:sz w:val="22"/>
          <w:szCs w:val="22"/>
          <w:color w:val="auto"/>
        </w:rPr>
        <w:t xml:space="preserve"> shall require any holder to provide information that is confidential or proprietary to such holder unless the Company is required to obtain such information under FATCA and, in such event, the Company shall treat any such information it receives as confidential.</w:t>
      </w:r>
    </w:p>
    <w:p>
      <w:pPr>
        <w:sectPr>
          <w:pgSz w:w="11900" w:h="16838" w:orient="portrait"/>
          <w:cols w:equalWidth="0" w:num="1">
            <w:col w:w="11240"/>
          </w:cols>
          <w:pgMar w:left="320" w:top="760"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xpenses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xpenses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00" w:lineRule="exact"/>
        <w:rPr>
          <w:sz w:val="20"/>
          <w:szCs w:val="20"/>
          <w:color w:val="auto"/>
        </w:rPr>
      </w:pPr>
    </w:p>
    <w:p>
      <w:pPr>
        <w:sectPr>
          <w:pgSz w:w="11900" w:h="16838" w:orient="portrait"/>
          <w:cols w:equalWidth="0" w:num="3">
            <w:col w:w="1000" w:space="300"/>
            <w:col w:w="2680" w:space="340"/>
            <w:col w:w="6920"/>
          </w:cols>
          <w:pgMar w:left="320" w:top="760" w:right="339" w:bottom="1440" w:gutter="0" w:footer="0" w:header="0"/>
          <w:type w:val="continuous"/>
        </w:sectPr>
      </w:pPr>
    </w:p>
    <w:p>
      <w:pPr>
        <w:spacing w:after="0" w:line="29" w:lineRule="exact"/>
        <w:rPr>
          <w:sz w:val="20"/>
          <w:szCs w:val="20"/>
          <w:color w:val="auto"/>
        </w:rPr>
      </w:pPr>
    </w:p>
    <w:p>
      <w:pPr>
        <w:ind w:left="440"/>
        <w:spacing w:after="0"/>
        <w:tabs>
          <w:tab w:leader="none" w:pos="3900" w:val="left"/>
          <w:tab w:leader="none" w:pos="9200" w:val="left"/>
          <w:tab w:leader="none" w:pos="9440" w:val="left"/>
        </w:tabs>
        <w:rPr>
          <w:sz w:val="20"/>
          <w:szCs w:val="20"/>
          <w:color w:val="auto"/>
        </w:rPr>
      </w:pPr>
      <w:r>
        <w:rPr>
          <w:rFonts w:ascii="Times New Roman" w:cs="Times New Roman" w:eastAsia="Times New Roman" w:hAnsi="Times New Roman"/>
          <w:sz w:val="22"/>
          <w:szCs w:val="22"/>
          <w:i w:val="1"/>
          <w:iCs w:val="1"/>
          <w:color w:val="auto"/>
        </w:rPr>
        <w:t>Section 15.1. Transaction Expenses</w:t>
      </w:r>
      <w:r>
        <w:rPr>
          <w:sz w:val="20"/>
          <w:szCs w:val="20"/>
          <w:color w:val="auto"/>
        </w:rPr>
        <w:tab/>
      </w:r>
      <w:r>
        <w:rPr>
          <w:rFonts w:ascii="Times New Roman" w:cs="Times New Roman" w:eastAsia="Times New Roman" w:hAnsi="Times New Roman"/>
          <w:sz w:val="22"/>
          <w:szCs w:val="22"/>
          <w:color w:val="auto"/>
        </w:rPr>
        <w:t>TC "Section 15.1. Transaction Expenses" \f C \l "2"</w:t>
      </w:r>
      <w:r>
        <w:rPr>
          <w:sz w:val="20"/>
          <w:szCs w:val="20"/>
          <w:color w:val="auto"/>
        </w:rPr>
        <w:tab/>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2"/>
          <w:szCs w:val="22"/>
          <w:color w:val="auto"/>
        </w:rPr>
        <w:t>Whether or not the</w:t>
      </w:r>
    </w:p>
    <w:p>
      <w:pPr>
        <w:sectPr>
          <w:pgSz w:w="11900" w:h="16838" w:orient="portrait"/>
          <w:cols w:equalWidth="0" w:num="1">
            <w:col w:w="11240"/>
          </w:cols>
          <w:pgMar w:left="320" w:top="760" w:right="3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transactions contemplated hereby are consummated, the Company will pay all reasonable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Guaranty Agreement or the Notes (whether or not such amendment, waiver or consent becomes effective), including, without limitation: (a) the costs and expenses incurred in enforcing or defending (or determining whether or how to enforce or defend) any rights under this Agreement, any Guaranty Agreement or the Notes or in responding to any subpoena or other legal process or informal investigative demand issued in connection with this Agreement, any Guaranty Agreement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Guaranty Agreement; and (c) the costs and expenses incurred in connection with the initial filing of this Agreement and all related documents and financial information with the SVO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costs and expenses under this clause (c) shall not exceed $5,000 for each series of Notes. If required by the NAIC, the Company shall obtain and maintain at its own cost and expense a Legal Entity Identifier (LEI).</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Notes) and (ii) any judgment, liability, claim, order, decree, fine, penalty, cost, fee, expense (including reasonable attorneys’ fees and expenses) or obligation resulting from the consummation of the transactions contemplated hereby, including the use of the proceeds of the Notes by the Company, due to (a) any failure of any representation or warranty of the Company in this Agreement to be true and correct in all material respects on the date as of which made and at the time of the Closing (except, in each case, to the extent any representation or warranty expressly relates to a different date, in which case as of such different date) or (b) any failure by the Company to perform or comply in all material respects with any covenant or agreement contained in this Agreement.</w:t>
      </w:r>
    </w:p>
    <w:p>
      <w:pPr>
        <w:spacing w:after="0" w:line="206" w:lineRule="exact"/>
        <w:rPr>
          <w:sz w:val="20"/>
          <w:szCs w:val="20"/>
          <w:color w:val="auto"/>
        </w:rPr>
      </w:pPr>
    </w:p>
    <w:p>
      <w:pPr>
        <w:jc w:val="both"/>
        <w:ind w:firstLine="45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15.2. Certain Taxes </w:t>
      </w:r>
      <w:r>
        <w:rPr>
          <w:rFonts w:ascii="Times New Roman" w:cs="Times New Roman" w:eastAsia="Times New Roman" w:hAnsi="Times New Roman"/>
          <w:sz w:val="22"/>
          <w:szCs w:val="22"/>
          <w:color w:val="auto"/>
        </w:rPr>
        <w:t>TC "Section 15.2. Certain Taxes" \f C \l "2"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agrees to pay all stamp,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documentary or similar taxes or fees which may be payable in respect of the execution and delivery or the enforcement of this Agreement or any Guaranty Agreement or the execution and delivery (but not the transfer) or the enforcement of any of the Notes in the United States or any other jurisdiction where the Company or any Guarantor has assets or of any amendment of, or waiver or consent under or with respect to, this Agreement or any Guaranty Agreement or of any of the Notes, and to pay any value added tax due and payable in respect of reimbursement of costs and expenses by the Company pursuant to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15.2</w:t>
      </w:r>
      <w:r>
        <w:rPr>
          <w:rFonts w:ascii="Times New Roman" w:cs="Times New Roman" w:eastAsia="Times New Roman" w:hAnsi="Times New Roman"/>
          <w:sz w:val="22"/>
          <w:szCs w:val="22"/>
          <w:color w:val="auto"/>
        </w:rPr>
        <w:t>, and will save each holder of a Note to the extent permitted by applicable law harmless against any loss or liability resulting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nonpayment or delay in payment of any such tax or fee required to be paid by the Company hereunder.</w:t>
      </w:r>
    </w:p>
    <w:p>
      <w:pPr>
        <w:spacing w:after="0" w:line="219" w:lineRule="exact"/>
        <w:rPr>
          <w:sz w:val="20"/>
          <w:szCs w:val="20"/>
          <w:color w:val="auto"/>
        </w:rPr>
      </w:pPr>
    </w:p>
    <w:p>
      <w:pPr>
        <w:ind w:firstLine="45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15.3. Tax Withholding </w:t>
      </w:r>
      <w:r>
        <w:rPr>
          <w:rFonts w:ascii="Times New Roman" w:cs="Times New Roman" w:eastAsia="Times New Roman" w:hAnsi="Times New Roman"/>
          <w:sz w:val="22"/>
          <w:szCs w:val="22"/>
          <w:color w:val="auto"/>
        </w:rPr>
        <w:t>TC "Section 15.3. Tax Withholding" \f C \l "2" . Except as otherwise required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(or any successor form), as applicable, as well as the applicable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xml:space="preserve"> substantially in the form attached as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15.3</w:t>
      </w:r>
      <w:r>
        <w:rPr>
          <w:rFonts w:ascii="Times New Roman" w:cs="Times New Roman" w:eastAsia="Times New Roman" w:hAnsi="Times New Roman"/>
          <w:sz w:val="22"/>
          <w:szCs w:val="22"/>
          <w:color w:val="auto"/>
        </w:rPr>
        <w:t>, in both cases correctly completed and executed and validly claiming a complete exemption from U.S. federal 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w:t>
      </w:r>
    </w:p>
    <w:p>
      <w:pPr>
        <w:spacing w:after="0" w:line="219"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15.4. Survival </w:t>
      </w:r>
      <w:r>
        <w:rPr>
          <w:rFonts w:ascii="Times New Roman" w:cs="Times New Roman" w:eastAsia="Times New Roman" w:hAnsi="Times New Roman"/>
          <w:sz w:val="22"/>
          <w:szCs w:val="22"/>
          <w:color w:val="auto"/>
        </w:rPr>
        <w:t>TC "Section 15.4. Survival"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The obligations of the Company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15.4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survive the payment or transfer of any Note, the enforcement, amendment or waiver of any provision of this Agreement, any Guaranty Agreement or the Notes, and the termination of this Agreement.</w:t>
      </w:r>
    </w:p>
    <w:p>
      <w:pPr>
        <w:spacing w:after="0" w:line="239" w:lineRule="exact"/>
        <w:rPr>
          <w:sz w:val="20"/>
          <w:szCs w:val="20"/>
          <w:color w:val="auto"/>
        </w:rPr>
      </w:pPr>
    </w:p>
    <w:p>
      <w:pPr>
        <w:ind w:left="1300" w:right="80" w:hanging="1766"/>
        <w:spacing w:after="0" w:line="270" w:lineRule="auto"/>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16.</w:t>
        <w:tab/>
        <w:t>S</w:t>
      </w:r>
      <w:r>
        <w:rPr>
          <w:rFonts w:ascii="Times New Roman" w:cs="Times New Roman" w:eastAsia="Times New Roman" w:hAnsi="Times New Roman"/>
          <w:sz w:val="14"/>
          <w:szCs w:val="14"/>
          <w:color w:val="auto"/>
        </w:rPr>
        <w:t>urvival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ntire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16. S</w:t>
      </w:r>
      <w:r>
        <w:rPr>
          <w:rFonts w:ascii="Times New Roman" w:cs="Times New Roman" w:eastAsia="Times New Roman" w:hAnsi="Times New Roman"/>
          <w:sz w:val="14"/>
          <w:szCs w:val="14"/>
          <w:color w:val="auto"/>
        </w:rPr>
        <w:t>urvival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epresentations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21"/>
          <w:szCs w:val="21"/>
          <w:color w:val="auto"/>
        </w:rPr>
        <w:t>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21"/>
          <w:szCs w:val="21"/>
          <w:color w:val="auto"/>
        </w:rPr>
        <w:t>; E</w:t>
      </w:r>
      <w:r>
        <w:rPr>
          <w:rFonts w:ascii="Times New Roman" w:cs="Times New Roman" w:eastAsia="Times New Roman" w:hAnsi="Times New Roman"/>
          <w:sz w:val="14"/>
          <w:szCs w:val="14"/>
          <w:color w:val="auto"/>
        </w:rPr>
        <w:t xml:space="preserve">ntire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1"/>
          <w:szCs w:val="21"/>
          <w:color w:val="auto"/>
        </w:rPr>
        <w:t>" \</w:t>
      </w: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21"/>
          <w:szCs w:val="21"/>
          <w:color w:val="auto"/>
        </w:rPr>
        <w:t>C \</w:t>
      </w:r>
      <w:r>
        <w:rPr>
          <w:rFonts w:ascii="Times New Roman" w:cs="Times New Roman" w:eastAsia="Times New Roman" w:hAnsi="Times New Roman"/>
          <w:sz w:val="14"/>
          <w:szCs w:val="14"/>
          <w:color w:val="auto"/>
        </w:rPr>
        <w:t xml:space="preserve">l </w:t>
      </w:r>
      <w:r>
        <w:rPr>
          <w:rFonts w:ascii="Times New Roman" w:cs="Times New Roman" w:eastAsia="Times New Roman" w:hAnsi="Times New Roman"/>
          <w:sz w:val="21"/>
          <w:szCs w:val="21"/>
          <w:color w:val="auto"/>
        </w:rPr>
        <w:t>"1" .</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such Purchaser or any other holder of a Note. All statements contained in any certificate or other instrument delivered by or on behalf of the Company pursuant to this Agreement shall be deemed representations and warranties of the Company as of the date of such statements under this Agreement. Subject to the preceding sentence, this Agreement, the Notes and any Guaranty Agreement embody the entire agreement and understanding between each Purchaser and the Company and supersede all prior agreements and understandings relating to the subject matter hereof.</w:t>
      </w:r>
    </w:p>
    <w:p>
      <w:pPr>
        <w:sectPr>
          <w:pgSz w:w="11900" w:h="16838" w:orient="portrait"/>
          <w:cols w:equalWidth="0" w:num="1">
            <w:col w:w="11240"/>
          </w:cols>
          <w:pgMar w:left="320" w:top="760" w:right="339"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mendment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aiver</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mendment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aiver</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00" w:lineRule="exact"/>
        <w:rPr>
          <w:sz w:val="20"/>
          <w:szCs w:val="20"/>
          <w:color w:val="auto"/>
        </w:rPr>
      </w:pPr>
    </w:p>
    <w:p>
      <w:pPr>
        <w:sectPr>
          <w:pgSz w:w="11900" w:h="16838" w:orient="portrait"/>
          <w:cols w:equalWidth="0" w:num="3">
            <w:col w:w="1000" w:space="300"/>
            <w:col w:w="3560" w:space="340"/>
            <w:col w:w="6040"/>
          </w:cols>
          <w:pgMar w:left="320" w:top="760" w:right="339" w:bottom="1440" w:gutter="0" w:footer="0" w:header="0"/>
          <w:type w:val="continuous"/>
        </w:sectPr>
      </w:pPr>
    </w:p>
    <w:p>
      <w:pPr>
        <w:spacing w:after="0" w:line="43" w:lineRule="exact"/>
        <w:rPr>
          <w:sz w:val="20"/>
          <w:szCs w:val="20"/>
          <w:color w:val="auto"/>
        </w:rPr>
      </w:pPr>
    </w:p>
    <w:p>
      <w:pPr>
        <w:ind w:left="440"/>
        <w:spacing w:after="0"/>
        <w:tabs>
          <w:tab w:leader="none" w:pos="3100" w:val="left"/>
          <w:tab w:leader="none" w:pos="5180" w:val="left"/>
        </w:tabs>
        <w:rPr>
          <w:sz w:val="20"/>
          <w:szCs w:val="20"/>
          <w:color w:val="auto"/>
        </w:rPr>
      </w:pPr>
      <w:r>
        <w:rPr>
          <w:rFonts w:ascii="Times New Roman" w:cs="Times New Roman" w:eastAsia="Times New Roman" w:hAnsi="Times New Roman"/>
          <w:sz w:val="22"/>
          <w:szCs w:val="22"/>
          <w:i w:val="1"/>
          <w:iCs w:val="1"/>
          <w:color w:val="auto"/>
        </w:rPr>
        <w:t>Section 17.1.  Requirements</w:t>
      </w:r>
      <w:r>
        <w:rPr>
          <w:sz w:val="20"/>
          <w:szCs w:val="20"/>
          <w:color w:val="auto"/>
        </w:rPr>
        <w:tab/>
      </w:r>
      <w:r>
        <w:rPr>
          <w:rFonts w:ascii="Times New Roman" w:cs="Times New Roman" w:eastAsia="Times New Roman" w:hAnsi="Times New Roman"/>
          <w:sz w:val="22"/>
          <w:szCs w:val="22"/>
          <w:color w:val="auto"/>
        </w:rPr>
        <w:t>TC "Section 17.1.</w:t>
      </w:r>
      <w:r>
        <w:rPr>
          <w:sz w:val="20"/>
          <w:szCs w:val="20"/>
          <w:color w:val="auto"/>
        </w:rPr>
        <w:tab/>
      </w:r>
      <w:r>
        <w:rPr>
          <w:rFonts w:ascii="Times New Roman" w:cs="Times New Roman" w:eastAsia="Times New Roman" w:hAnsi="Times New Roman"/>
          <w:sz w:val="22"/>
          <w:szCs w:val="22"/>
          <w:color w:val="auto"/>
        </w:rPr>
        <w:t>Requirements" \f C \l "2"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This Agreement and the Notes may be</w:t>
      </w:r>
    </w:p>
    <w:p>
      <w:pPr>
        <w:sectPr>
          <w:pgSz w:w="11900" w:h="16838" w:orient="portrait"/>
          <w:cols w:equalWidth="0" w:num="1">
            <w:col w:w="11240"/>
          </w:cols>
          <w:pgMar w:left="320" w:top="760" w:right="339" w:bottom="1440" w:gutter="0" w:footer="0" w:header="0"/>
          <w:type w:val="continuous"/>
        </w:sectPr>
      </w:pPr>
    </w:p>
    <w:p>
      <w:pPr>
        <w:spacing w:after="0" w:line="33"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2"/>
          <w:szCs w:val="22"/>
          <w:color w:val="auto"/>
        </w:rPr>
        <w:t xml:space="preserve">amended, and the observance of any term hereof or of the Notes may be waived (either retroactively or prospectively), with (and only with) the written consent of the Company and the Required Holders, except that (a) no amendment or waiver of any of the provisions of </w:t>
      </w:r>
      <w:r>
        <w:rPr>
          <w:rFonts w:ascii="Times New Roman" w:cs="Times New Roman" w:eastAsia="Times New Roman" w:hAnsi="Times New Roman"/>
          <w:sz w:val="22"/>
          <w:szCs w:val="22"/>
          <w:b w:val="1"/>
          <w:bCs w:val="1"/>
          <w:color w:val="auto"/>
        </w:rPr>
        <w:t>Sections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color w:val="auto"/>
        </w:rPr>
        <w:t xml:space="preserve"> hereof, or any defined term (as it is used therein), will be effective as to any Purchaser unless consented to by such Purchaser in writing, and (b) no amendment or waiver may, without the written consent of the holder of each Note at the time outstanding, (i) subject to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relating to acceleration or rescission, change the amount or time of any prepayment or payment of principal of, or reduce the rate or change the time of payment or method of computation of (x) interest on the Notes or (y)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Whole Amount, (ii) change the percentage of the principal amount of the Notes the holders of which are required to consent to any amendment or waiver or the principal amount of the Notes that the Purchasers are to purchase pursuant to </w:t>
      </w: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color w:val="auto"/>
        </w:rPr>
        <w:t xml:space="preserve"> upon the satisfaction of the conditions to Closing that appear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or (iii) amend any of </w:t>
      </w:r>
      <w:r>
        <w:rPr>
          <w:rFonts w:ascii="Times New Roman" w:cs="Times New Roman" w:eastAsia="Times New Roman" w:hAnsi="Times New Roman"/>
          <w:sz w:val="22"/>
          <w:szCs w:val="22"/>
          <w:b w:val="1"/>
          <w:bCs w:val="1"/>
          <w:color w:val="auto"/>
        </w:rPr>
        <w:t>Sections 8 (</w:t>
      </w:r>
      <w:r>
        <w:rPr>
          <w:rFonts w:ascii="Times New Roman" w:cs="Times New Roman" w:eastAsia="Times New Roman" w:hAnsi="Times New Roman"/>
          <w:sz w:val="22"/>
          <w:szCs w:val="22"/>
          <w:color w:val="auto"/>
        </w:rPr>
        <w:t>except as set forth in the second sentence of</w:t>
      </w:r>
      <w:r>
        <w:rPr>
          <w:rFonts w:ascii="Times New Roman" w:cs="Times New Roman" w:eastAsia="Times New Roman" w:hAnsi="Times New Roman"/>
          <w:sz w:val="22"/>
          <w:szCs w:val="22"/>
          <w:b w:val="1"/>
          <w:bCs w:val="1"/>
          <w:color w:val="auto"/>
        </w:rPr>
        <w:t xml:space="preserve"> Section 8.2)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11(a)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11(b)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17</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20</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440"/>
        <w:spacing w:after="0"/>
        <w:tabs>
          <w:tab w:leader="none" w:pos="1720" w:val="left"/>
          <w:tab w:leader="none" w:pos="6460" w:val="left"/>
        </w:tabs>
        <w:rPr>
          <w:sz w:val="20"/>
          <w:szCs w:val="20"/>
          <w:color w:val="auto"/>
        </w:rPr>
      </w:pPr>
      <w:r>
        <w:rPr>
          <w:rFonts w:ascii="Times New Roman" w:cs="Times New Roman" w:eastAsia="Times New Roman" w:hAnsi="Times New Roman"/>
          <w:sz w:val="22"/>
          <w:szCs w:val="22"/>
          <w:i w:val="1"/>
          <w:iCs w:val="1"/>
          <w:color w:val="auto"/>
        </w:rPr>
        <w:t>Section 17.2.</w:t>
        <w:tab/>
        <w:t xml:space="preserve">Solicitation of Holders of Notes </w:t>
      </w:r>
      <w:r>
        <w:rPr>
          <w:rFonts w:ascii="Times New Roman" w:cs="Times New Roman" w:eastAsia="Times New Roman" w:hAnsi="Times New Roman"/>
          <w:sz w:val="22"/>
          <w:szCs w:val="22"/>
          <w:color w:val="auto"/>
        </w:rPr>
        <w:t>TC "Section 17.2.</w:t>
      </w:r>
      <w:r>
        <w:rPr>
          <w:sz w:val="20"/>
          <w:szCs w:val="20"/>
          <w:color w:val="auto"/>
        </w:rPr>
        <w:tab/>
      </w:r>
      <w:r>
        <w:rPr>
          <w:rFonts w:ascii="Times New Roman" w:cs="Times New Roman" w:eastAsia="Times New Roman" w:hAnsi="Times New Roman"/>
          <w:sz w:val="21"/>
          <w:szCs w:val="21"/>
          <w:color w:val="auto"/>
        </w:rPr>
        <w:t>Solicitation of Holders of Notes" \f C \l "2" .</w:t>
      </w:r>
    </w:p>
    <w:p>
      <w:pPr>
        <w:spacing w:after="0" w:line="247" w:lineRule="exact"/>
        <w:rPr>
          <w:sz w:val="20"/>
          <w:szCs w:val="20"/>
          <w:color w:val="auto"/>
        </w:rPr>
      </w:pPr>
    </w:p>
    <w:p>
      <w:pPr>
        <w:jc w:val="both"/>
        <w:ind w:firstLine="440"/>
        <w:spacing w:after="0" w:line="236" w:lineRule="auto"/>
        <w:tabs>
          <w:tab w:leader="none" w:pos="87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Solicitation. </w:t>
      </w:r>
      <w:r>
        <w:rPr>
          <w:rFonts w:ascii="Times New Roman" w:cs="Times New Roman" w:eastAsia="Times New Roman" w:hAnsi="Times New Roman"/>
          <w:sz w:val="22"/>
          <w:szCs w:val="22"/>
          <w:color w:val="auto"/>
        </w:rPr>
        <w:t>The Company will provide each holder of a Note (irrespective of the amount of Notes then owned by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sufficient information, sufficiently far in advance of the date a decision is required, to enable such holder to make an informed and considered decision with respect to any proposed amendment, waiver or consent in respect of any of the provisions hereof or of the Notes or any Guaranty Agreement. The Company will deliver executed or true and correct copies of each amendment, waiver or consent effected pursuant to this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or any Guaranty Agreement to each holder of a Note promptly following the date on which it is executed and delivered by, or receives the consent or approval of, the requisite holders of Notes.</w:t>
      </w:r>
    </w:p>
    <w:p>
      <w:pPr>
        <w:spacing w:after="0" w:line="216" w:lineRule="exact"/>
        <w:rPr>
          <w:rFonts w:ascii="Times New Roman" w:cs="Times New Roman" w:eastAsia="Times New Roman" w:hAnsi="Times New Roman"/>
          <w:sz w:val="22"/>
          <w:szCs w:val="22"/>
          <w:color w:val="auto"/>
        </w:rPr>
      </w:pPr>
    </w:p>
    <w:p>
      <w:pPr>
        <w:jc w:val="both"/>
        <w:ind w:firstLine="440"/>
        <w:spacing w:after="0" w:line="238" w:lineRule="auto"/>
        <w:tabs>
          <w:tab w:leader="none" w:pos="8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The Company will not directly or indirectly pay or cause to be paid any remuneration, whether by way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of any Guaranty Agreement or any Note unless such remuneration is concurrently paid, or security is concurrently granted or other credit support concurrently</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on the same terms, ratably to each holder of a Note even if such holder did not consent to such waiver or amendment.</w:t>
      </w:r>
    </w:p>
    <w:p>
      <w:pPr>
        <w:spacing w:after="0" w:line="229" w:lineRule="exact"/>
        <w:rPr>
          <w:sz w:val="20"/>
          <w:szCs w:val="20"/>
          <w:color w:val="auto"/>
        </w:rPr>
      </w:pPr>
    </w:p>
    <w:p>
      <w:pPr>
        <w:jc w:val="both"/>
        <w:ind w:firstLine="440"/>
        <w:spacing w:after="0" w:line="237" w:lineRule="auto"/>
        <w:tabs>
          <w:tab w:leader="none" w:pos="86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Consent in Contemplation of Transfer</w:t>
      </w:r>
      <w:r>
        <w:rPr>
          <w:rFonts w:ascii="Times New Roman" w:cs="Times New Roman" w:eastAsia="Times New Roman" w:hAnsi="Times New Roman"/>
          <w:sz w:val="22"/>
          <w:szCs w:val="22"/>
          <w:color w:val="auto"/>
        </w:rPr>
        <w:t>. Any consent made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 Guaranty Agreement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 of Notes that has transferred or has agreed to transfer its Notes to the Company, any Subsidiary or any Affiliate of the Company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216"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17.3. Binding Effect, etc </w:t>
      </w:r>
      <w:r>
        <w:rPr>
          <w:rFonts w:ascii="Times New Roman" w:cs="Times New Roman" w:eastAsia="Times New Roman" w:hAnsi="Times New Roman"/>
          <w:sz w:val="22"/>
          <w:szCs w:val="22"/>
          <w:color w:val="auto"/>
        </w:rPr>
        <w:t>TC "Section 17.3. Binding Effect, etc"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Any amendment or waiver consented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as provided in this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or any Guaranty Agreement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Guaranty Agreement shall operate as a waiver of any rights of any holder of such Note.</w:t>
      </w:r>
    </w:p>
    <w:p>
      <w:pPr>
        <w:spacing w:after="0" w:line="21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17.4. Notes Held by Company, Etc </w:t>
      </w:r>
      <w:r>
        <w:rPr>
          <w:rFonts w:ascii="Times New Roman" w:cs="Times New Roman" w:eastAsia="Times New Roman" w:hAnsi="Times New Roman"/>
          <w:sz w:val="22"/>
          <w:szCs w:val="22"/>
          <w:color w:val="auto"/>
        </w:rPr>
        <w:t>TC "Section 17.4. Notes Held by Company, Etc"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Solely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 of determining whether the holders of the requisite percentage of the aggregate principal amount of Notes then outstanding approved or consented to any amendment, waiver or consent to be given under this Agreement, any Guaranty Agreement or the Notes, or have directed the taking of any action provided herein or in any Guaranty Agreement or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247" w:lineRule="exact"/>
        <w:rPr>
          <w:sz w:val="20"/>
          <w:szCs w:val="20"/>
          <w:color w:val="auto"/>
        </w:rPr>
      </w:pPr>
    </w:p>
    <w:p>
      <w:pPr>
        <w:spacing w:after="0"/>
        <w:tabs>
          <w:tab w:leader="none" w:pos="1280" w:val="left"/>
          <w:tab w:leader="none" w:pos="38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18.</w:t>
        <w:tab/>
        <w:t>N</w:t>
      </w:r>
      <w:r>
        <w:rPr>
          <w:rFonts w:ascii="Times New Roman" w:cs="Times New Roman" w:eastAsia="Times New Roman" w:hAnsi="Times New Roman"/>
          <w:sz w:val="14"/>
          <w:szCs w:val="14"/>
          <w:color w:val="auto"/>
        </w:rPr>
        <w:t>otices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18.</w:t>
      </w:r>
      <w:r>
        <w:rPr>
          <w:sz w:val="20"/>
          <w:szCs w:val="20"/>
          <w:color w:val="auto"/>
        </w:rPr>
        <w:tab/>
      </w: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otices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07" w:lineRule="exact"/>
        <w:rPr>
          <w:sz w:val="20"/>
          <w:szCs w:val="20"/>
          <w:color w:val="auto"/>
        </w:rPr>
      </w:pPr>
    </w:p>
    <w:p>
      <w:pPr>
        <w:ind w:left="760" w:firstLine="429"/>
        <w:spacing w:after="0" w:line="244" w:lineRule="auto"/>
        <w:tabs>
          <w:tab w:leader="none" w:pos="162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Purchaser or its nominee, to such Purchaser or nominee at the address specified for such communications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or at such other address as such Purchaser or nominee shall have specified to the Company in writing,</w:t>
      </w:r>
    </w:p>
    <w:p>
      <w:pPr>
        <w:spacing w:after="0" w:line="213"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holder of any Note, to such holder at such address as such other holder shall have specified to the Company in writing, or</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firstLine="429"/>
        <w:spacing w:after="0" w:line="258" w:lineRule="auto"/>
        <w:tabs>
          <w:tab w:leader="none" w:pos="162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the Company at its address set forth at the beginning hereof to the attention of Treasurer, or at such other address as the Company shall have specified to the holder of each Note in writing.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Notices under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will be deemed given only when actually received.</w:t>
      </w:r>
    </w:p>
    <w:p>
      <w:pPr>
        <w:spacing w:after="0" w:line="291" w:lineRule="exact"/>
        <w:rPr>
          <w:sz w:val="20"/>
          <w:szCs w:val="20"/>
          <w:color w:val="auto"/>
        </w:rPr>
      </w:pPr>
    </w:p>
    <w:p>
      <w:pPr>
        <w:spacing w:after="0"/>
        <w:tabs>
          <w:tab w:leader="none" w:pos="1280" w:val="left"/>
          <w:tab w:leader="none" w:pos="560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19.</w:t>
        <w:tab/>
        <w:t>R</w:t>
      </w:r>
      <w:r>
        <w:rPr>
          <w:rFonts w:ascii="Times New Roman" w:cs="Times New Roman" w:eastAsia="Times New Roman" w:hAnsi="Times New Roman"/>
          <w:sz w:val="14"/>
          <w:szCs w:val="14"/>
          <w:color w:val="auto"/>
        </w:rPr>
        <w:t>eproduction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ocuments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19.</w:t>
      </w:r>
      <w:r>
        <w:rPr>
          <w:sz w:val="20"/>
          <w:szCs w:val="20"/>
          <w:color w:val="auto"/>
        </w:rPr>
        <w:tab/>
      </w: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eproduction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ocuments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3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This Agreement and all documents relating thereto (except the Notes themselves), including, without limitation,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cs="Times New Roman" w:eastAsia="Times New Roman" w:hAnsi="Times New Roman"/>
          <w:sz w:val="22"/>
          <w:szCs w:val="22"/>
          <w:b w:val="1"/>
          <w:bCs w:val="1"/>
          <w:color w:val="auto"/>
        </w:rPr>
        <w:t>Section 19</w:t>
      </w:r>
      <w:r>
        <w:rPr>
          <w:rFonts w:ascii="Times New Roman" w:cs="Times New Roman" w:eastAsia="Times New Roman" w:hAnsi="Times New Roman"/>
          <w:sz w:val="22"/>
          <w:szCs w:val="22"/>
          <w:color w:val="auto"/>
        </w:rPr>
        <w:t xml:space="preserve"> shall not prohibit the Company or any other holder of Notes from contesting any such reproduction to the same extent that it could contest the original, or from introducing evidence to demonstrate the inaccuracy of any such reproduction.</w:t>
      </w:r>
    </w:p>
    <w:p>
      <w:pPr>
        <w:spacing w:after="0" w:line="268" w:lineRule="exact"/>
        <w:rPr>
          <w:sz w:val="20"/>
          <w:szCs w:val="20"/>
          <w:color w:val="auto"/>
        </w:rPr>
      </w:pPr>
    </w:p>
    <w:p>
      <w:pPr>
        <w:spacing w:after="0"/>
        <w:tabs>
          <w:tab w:leader="none" w:pos="1280" w:val="left"/>
          <w:tab w:leader="none" w:pos="51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20.</w:t>
        <w:tab/>
        <w:t>C</w:t>
      </w:r>
      <w:r>
        <w:rPr>
          <w:rFonts w:ascii="Times New Roman" w:cs="Times New Roman" w:eastAsia="Times New Roman" w:hAnsi="Times New Roman"/>
          <w:sz w:val="14"/>
          <w:szCs w:val="14"/>
          <w:color w:val="auto"/>
        </w:rPr>
        <w:t>onfidential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20.</w:t>
        <w:tab/>
        <w:t>C</w:t>
      </w:r>
      <w:r>
        <w:rPr>
          <w:rFonts w:ascii="Times New Roman" w:cs="Times New Roman" w:eastAsia="Times New Roman" w:hAnsi="Times New Roman"/>
          <w:sz w:val="14"/>
          <w:szCs w:val="14"/>
          <w:color w:val="auto"/>
        </w:rPr>
        <w:t>onfidential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2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“Confidential Information”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such Subsidiary, Unitil or Unitil’s Affiliates,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cs="Times New Roman" w:eastAsia="Times New Roman" w:hAnsi="Times New Roman"/>
          <w:sz w:val="22"/>
          <w:szCs w:val="22"/>
          <w:b w:val="1"/>
          <w:bCs w:val="1"/>
          <w:color w:val="auto"/>
        </w:rPr>
        <w:t>Section 7.1</w:t>
      </w:r>
      <w:r>
        <w:rPr>
          <w:rFonts w:ascii="Times New Roman" w:cs="Times New Roman" w:eastAsia="Times New Roman" w:hAnsi="Times New Roman"/>
          <w:sz w:val="22"/>
          <w:szCs w:val="22"/>
          <w:color w:val="auto"/>
        </w:rPr>
        <w:t xml:space="preserve"> that are otherwise publicly available.</w:t>
      </w:r>
    </w:p>
    <w:p>
      <w:pPr>
        <w:spacing w:after="0" w:line="21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Each Purchaser will maintain the confidentiality of and not disclose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who are otherwise obligated to hold confidential and not disclose the Confidential Information substantially in accordance with this</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(ii) its auditors, financial advisors and other professional advisors who agree to hold confidential the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Information substantially in accordance with the terms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(v) any Person from which it offers to purchase any security of the Company (if such Person has agreed in writing prior to its receipt of such Confidential Information to be bound by the provisions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Guaranty Agreement after prior written notice provided to the Company.</w:t>
      </w:r>
    </w:p>
    <w:p>
      <w:pPr>
        <w:spacing w:after="0" w:line="21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holder of a Note, by its acceptance of a Note, will be deemed to have agreed to be bound by and to be entitled to the benefits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shall not be amended thereby and, as between such Purchaser or such holder and the Company,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 xml:space="preserve"> shall supersede any such other confidentiality undertaking.</w:t>
      </w:r>
    </w:p>
    <w:p>
      <w:pPr>
        <w:spacing w:after="0" w:line="2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21.</w:t>
        <w:tab/>
        <w:t>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21. 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Each Purchaser shall have the right to substitute any one of its Affiliates as the purchaser of the Notes that it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w:t>
      </w:r>
      <w:r>
        <w:rPr>
          <w:rFonts w:ascii="Times New Roman" w:cs="Times New Roman" w:eastAsia="Times New Roman" w:hAnsi="Times New Roman"/>
          <w:sz w:val="21"/>
          <w:szCs w:val="21"/>
          <w:b w:val="1"/>
          <w:bCs w:val="1"/>
          <w:color w:val="auto"/>
        </w:rPr>
        <w:t>Section 6</w:t>
      </w:r>
      <w:r>
        <w:rPr>
          <w:rFonts w:ascii="Times New Roman" w:cs="Times New Roman" w:eastAsia="Times New Roman" w:hAnsi="Times New Roman"/>
          <w:sz w:val="21"/>
          <w:szCs w:val="21"/>
          <w:color w:val="auto"/>
        </w:rPr>
        <w:t xml:space="preserve">. Upon receipt of such notice, any reference to such Purchaser in this Agreement (other than in this </w:t>
      </w:r>
      <w:r>
        <w:rPr>
          <w:rFonts w:ascii="Times New Roman" w:cs="Times New Roman" w:eastAsia="Times New Roman" w:hAnsi="Times New Roman"/>
          <w:sz w:val="21"/>
          <w:szCs w:val="21"/>
          <w:b w:val="1"/>
          <w:bCs w:val="1"/>
          <w:color w:val="auto"/>
        </w:rPr>
        <w:t>Section 21</w:t>
      </w:r>
      <w:r>
        <w:rPr>
          <w:rFonts w:ascii="Times New Roman" w:cs="Times New Roman" w:eastAsia="Times New Roman" w:hAnsi="Times New Roman"/>
          <w:sz w:val="21"/>
          <w:szCs w:val="21"/>
          <w:color w:val="auto"/>
        </w:rPr>
        <w:t>), shall be deemed to refer to such Affiliate in lieu of such original Purchaser. In the event that such Affiliate is so substituted as a Purchaser hereunder and such Affiliate thereafter transfers to such original Purchaser all of the Notes then held by such Affiliate, upon receipt by the Company of notice of</w:t>
      </w:r>
    </w:p>
    <w:p>
      <w:pPr>
        <w:spacing w:after="0" w:line="3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such transfer, any reference to such Affiliate as a “Purchaser” in this Agreement (other than in this </w:t>
      </w:r>
      <w:r>
        <w:rPr>
          <w:rFonts w:ascii="Times New Roman" w:cs="Times New Roman" w:eastAsia="Times New Roman" w:hAnsi="Times New Roman"/>
          <w:sz w:val="22"/>
          <w:szCs w:val="22"/>
          <w:b w:val="1"/>
          <w:bCs w:val="1"/>
          <w:color w:val="auto"/>
        </w:rPr>
        <w:t>Section 21</w:t>
      </w:r>
      <w:r>
        <w:rPr>
          <w:rFonts w:ascii="Times New Roman" w:cs="Times New Roman" w:eastAsia="Times New Roman" w:hAnsi="Times New Roman"/>
          <w:sz w:val="22"/>
          <w:szCs w:val="22"/>
          <w:color w:val="auto"/>
        </w:rPr>
        <w:t>), shall no longer be deemed to refer to such Affiliate, but shall refer to such original Purchaser, and such original Purchaser shall again have all the rights of an original holder of the Notes under this Agreement.</w:t>
      </w:r>
    </w:p>
    <w:p>
      <w:pPr>
        <w:spacing w:after="0" w:line="239" w:lineRule="exact"/>
        <w:rPr>
          <w:sz w:val="20"/>
          <w:szCs w:val="20"/>
          <w:color w:val="auto"/>
        </w:rPr>
      </w:pPr>
    </w:p>
    <w:p>
      <w:pPr>
        <w:spacing w:after="0"/>
        <w:tabs>
          <w:tab w:leader="none" w:pos="1280" w:val="left"/>
          <w:tab w:leader="none" w:pos="430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22.</w:t>
        <w:tab/>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22"/>
          <w:szCs w:val="22"/>
          <w:color w:val="auto"/>
        </w:rPr>
        <w:t xml:space="preserve"> 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22.</w:t>
        <w:tab/>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"1" .</w:t>
      </w:r>
    </w:p>
    <w:p>
      <w:pPr>
        <w:spacing w:after="0" w:line="243"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22.1. Successors and Assigns </w:t>
      </w:r>
      <w:r>
        <w:rPr>
          <w:rFonts w:ascii="Times New Roman" w:cs="Times New Roman" w:eastAsia="Times New Roman" w:hAnsi="Times New Roman"/>
          <w:sz w:val="22"/>
          <w:szCs w:val="22"/>
          <w:color w:val="auto"/>
        </w:rPr>
        <w:t>TC "Section 22.1. Successors and Assigns"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All covenants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agreements contained in this Agreement by or on behalf of any of the parties hereto bind and inure to the benefit of their respective successors and assigns (including any subsequent holder of a Note) whether so expressed or not, except that, other than as provided in </w:t>
      </w:r>
      <w:r>
        <w:rPr>
          <w:rFonts w:ascii="Times New Roman" w:cs="Times New Roman" w:eastAsia="Times New Roman" w:hAnsi="Times New Roman"/>
          <w:sz w:val="22"/>
          <w:szCs w:val="22"/>
          <w:b w:val="1"/>
          <w:bCs w:val="1"/>
          <w:color w:val="auto"/>
        </w:rPr>
        <w:t>Section 10.4</w:t>
      </w:r>
      <w:r>
        <w:rPr>
          <w:rFonts w:ascii="Times New Roman" w:cs="Times New Roman" w:eastAsia="Times New Roman" w:hAnsi="Times New Roman"/>
          <w:sz w:val="22"/>
          <w:szCs w:val="22"/>
          <w:color w:val="auto"/>
        </w:rPr>
        <w:t>,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03" w:lineRule="exact"/>
        <w:rPr>
          <w:sz w:val="20"/>
          <w:szCs w:val="20"/>
          <w:color w:val="auto"/>
        </w:rPr>
      </w:pPr>
    </w:p>
    <w:p>
      <w:pPr>
        <w:jc w:val="both"/>
        <w:ind w:firstLine="432"/>
        <w:spacing w:after="0" w:line="249" w:lineRule="exact"/>
        <w:rPr>
          <w:sz w:val="20"/>
          <w:szCs w:val="20"/>
          <w:color w:val="auto"/>
        </w:rPr>
      </w:pPr>
      <w:r>
        <w:rPr>
          <w:rFonts w:ascii="Times New Roman" w:cs="Times New Roman" w:eastAsia="Times New Roman" w:hAnsi="Times New Roman"/>
          <w:sz w:val="22"/>
          <w:szCs w:val="22"/>
          <w:i w:val="1"/>
          <w:iCs w:val="1"/>
          <w:color w:val="auto"/>
        </w:rPr>
        <w:t xml:space="preserve">Section 22.2. Accounting Terms </w:t>
      </w:r>
      <w:r>
        <w:rPr>
          <w:rFonts w:ascii="Times New Roman" w:cs="Times New Roman" w:eastAsia="Times New Roman" w:hAnsi="Times New Roman"/>
          <w:sz w:val="22"/>
          <w:szCs w:val="22"/>
          <w:color w:val="auto"/>
        </w:rPr>
        <w:t>TC "Section 22.2. Accounting Terms"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All accounting terms used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without limitation,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and the definition of “Indebtedness”), any election by the Company to measure any financial liability using fair value (as permitted by Financial Accounting Standards Board Accounting Standards Codification Topic No. 825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25 – </w:t>
      </w:r>
      <w:r>
        <w:rPr>
          <w:rFonts w:ascii="Times New Roman" w:cs="Times New Roman" w:eastAsia="Times New Roman" w:hAnsi="Times New Roman"/>
          <w:sz w:val="22"/>
          <w:szCs w:val="22"/>
          <w:i w:val="1"/>
          <w:iCs w:val="1"/>
          <w:color w:val="auto"/>
        </w:rPr>
        <w:t>Fair Value Option,</w:t>
      </w:r>
      <w:r>
        <w:rPr>
          <w:rFonts w:ascii="Times New Roman" w:cs="Times New Roman" w:eastAsia="Times New Roman" w:hAnsi="Times New Roman"/>
          <w:sz w:val="22"/>
          <w:szCs w:val="22"/>
          <w:color w:val="auto"/>
        </w:rPr>
        <w:t xml:space="preserve"> International Accounting Standard 39 – </w:t>
      </w:r>
      <w:r>
        <w:rPr>
          <w:rFonts w:ascii="Times New Roman" w:cs="Times New Roman" w:eastAsia="Times New Roman" w:hAnsi="Times New Roman"/>
          <w:sz w:val="22"/>
          <w:szCs w:val="22"/>
          <w:i w:val="1"/>
          <w:iCs w:val="1"/>
          <w:color w:val="auto"/>
        </w:rPr>
        <w:t>Financial Instruments: Recognition and Measurement</w:t>
      </w:r>
      <w:r>
        <w:rPr>
          <w:rFonts w:ascii="Times New Roman" w:cs="Times New Roman" w:eastAsia="Times New Roman" w:hAnsi="Times New Roman"/>
          <w:sz w:val="22"/>
          <w:szCs w:val="22"/>
          <w:color w:val="auto"/>
        </w:rPr>
        <w:t xml:space="preserve"> or any similar accounting standard) shall be disregarded and such determination shall be made as if such election had not been made.</w:t>
      </w:r>
    </w:p>
    <w:p>
      <w:pPr>
        <w:spacing w:after="0" w:line="218"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22.3. Severability </w:t>
      </w:r>
      <w:r>
        <w:rPr>
          <w:rFonts w:ascii="Times New Roman" w:cs="Times New Roman" w:eastAsia="Times New Roman" w:hAnsi="Times New Roman"/>
          <w:sz w:val="22"/>
          <w:szCs w:val="22"/>
          <w:color w:val="auto"/>
        </w:rPr>
        <w:t>TC "Section 22.3. Severability"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Any provision of this Agreement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7"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22.4. Construction, Etc </w:t>
      </w:r>
      <w:r>
        <w:rPr>
          <w:rFonts w:ascii="Times New Roman" w:cs="Times New Roman" w:eastAsia="Times New Roman" w:hAnsi="Times New Roman"/>
          <w:sz w:val="22"/>
          <w:szCs w:val="22"/>
          <w:color w:val="auto"/>
        </w:rPr>
        <w:t>TC "Section 22.4. Construction, Etc"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Each covenant contained herein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(b) subject to </w:t>
      </w:r>
      <w:r>
        <w:rPr>
          <w:rFonts w:ascii="Times New Roman" w:cs="Times New Roman" w:eastAsia="Times New Roman" w:hAnsi="Times New Roman"/>
          <w:sz w:val="22"/>
          <w:szCs w:val="22"/>
          <w:b w:val="1"/>
          <w:bCs w:val="1"/>
          <w:color w:val="auto"/>
        </w:rPr>
        <w:t>Section 22.1</w:t>
      </w:r>
      <w:r>
        <w:rPr>
          <w:rFonts w:ascii="Times New Roman" w:cs="Times New Roman" w:eastAsia="Times New Roman" w:hAnsi="Times New Roman"/>
          <w:sz w:val="22"/>
          <w:szCs w:val="22"/>
          <w:color w:val="auto"/>
        </w:rPr>
        <w:t>,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all Schedules and Exhibits attached to this Agreement shall be deemed to be a part hereof.</w:t>
      </w:r>
    </w:p>
    <w:p>
      <w:pPr>
        <w:spacing w:after="0" w:line="24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22.5. Counterparts </w:t>
      </w:r>
      <w:r>
        <w:rPr>
          <w:rFonts w:ascii="Times New Roman" w:cs="Times New Roman" w:eastAsia="Times New Roman" w:hAnsi="Times New Roman"/>
          <w:sz w:val="22"/>
          <w:szCs w:val="22"/>
          <w:color w:val="auto"/>
        </w:rPr>
        <w:t>TC "Section 22.5. Counterparts" \f C \l "2"</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This Agreement may be executed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200" w:lineRule="exact"/>
        <w:rPr>
          <w:sz w:val="20"/>
          <w:szCs w:val="20"/>
          <w:color w:val="auto"/>
        </w:rPr>
      </w:pPr>
    </w:p>
    <w:p>
      <w:pPr>
        <w:spacing w:after="0" w:line="266" w:lineRule="exact"/>
        <w:rPr>
          <w:sz w:val="20"/>
          <w:szCs w:val="20"/>
          <w:color w:val="auto"/>
        </w:rPr>
      </w:pPr>
    </w:p>
    <w:p>
      <w:pPr>
        <w:jc w:val="both"/>
        <w:ind w:firstLine="432"/>
        <w:spacing w:after="0" w:line="263" w:lineRule="exact"/>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ection</w:t>
      </w:r>
      <w:r>
        <w:rPr>
          <w:rFonts w:ascii="Times New Roman" w:cs="Times New Roman" w:eastAsia="Times New Roman" w:hAnsi="Times New Roman"/>
          <w:sz w:val="22"/>
          <w:szCs w:val="22"/>
          <w:i w:val="1"/>
          <w:iCs w:val="1"/>
          <w:color w:val="auto"/>
        </w:rPr>
        <w:t xml:space="preserve"> 22.6. G</w:t>
      </w:r>
      <w:r>
        <w:rPr>
          <w:rFonts w:ascii="Times New Roman" w:cs="Times New Roman" w:eastAsia="Times New Roman" w:hAnsi="Times New Roman"/>
          <w:sz w:val="14"/>
          <w:szCs w:val="14"/>
          <w:i w:val="1"/>
          <w:iCs w:val="1"/>
          <w:color w:val="auto"/>
        </w:rPr>
        <w:t>overning</w:t>
      </w:r>
      <w:r>
        <w:rPr>
          <w:rFonts w:ascii="Times New Roman" w:cs="Times New Roman" w:eastAsia="Times New Roman" w:hAnsi="Times New Roman"/>
          <w:sz w:val="22"/>
          <w:szCs w:val="22"/>
          <w:i w:val="1"/>
          <w:iCs w:val="1"/>
          <w:color w:val="auto"/>
        </w:rPr>
        <w:t xml:space="preserve"> L</w:t>
      </w:r>
      <w:r>
        <w:rPr>
          <w:rFonts w:ascii="Times New Roman" w:cs="Times New Roman" w:eastAsia="Times New Roman" w:hAnsi="Times New Roman"/>
          <w:sz w:val="14"/>
          <w:szCs w:val="14"/>
          <w:i w:val="1"/>
          <w:iCs w:val="1"/>
          <w:color w:val="auto"/>
        </w:rPr>
        <w:t>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22.6. G</w:t>
      </w:r>
      <w:r>
        <w:rPr>
          <w:rFonts w:ascii="Times New Roman" w:cs="Times New Roman" w:eastAsia="Times New Roman" w:hAnsi="Times New Roman"/>
          <w:sz w:val="14"/>
          <w:szCs w:val="14"/>
          <w:color w:val="auto"/>
        </w:rPr>
        <w:t>overning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aw</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greement shall be construed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color w:val="auto"/>
        </w:rPr>
        <w:t>enforced in accordance with</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and the rights of the parties shall be governed by</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the law of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4"/>
          <w:szCs w:val="14"/>
          <w:color w:val="auto"/>
        </w:rPr>
        <w:t>ork excluding choice</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law principles of the law of such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tate that would permit the application of the laws of a jurisdiction other than such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0" w:lineRule="exact"/>
        <w:rPr>
          <w:sz w:val="20"/>
          <w:szCs w:val="20"/>
          <w:color w:val="auto"/>
        </w:rPr>
      </w:pPr>
    </w:p>
    <w:p>
      <w:pPr>
        <w:ind w:left="440"/>
        <w:spacing w:after="0"/>
        <w:tabs>
          <w:tab w:leader="none" w:pos="7760" w:val="left"/>
        </w:tabs>
        <w:rPr>
          <w:sz w:val="20"/>
          <w:szCs w:val="20"/>
          <w:color w:val="auto"/>
        </w:rPr>
      </w:pP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14"/>
          <w:szCs w:val="14"/>
          <w:i w:val="1"/>
          <w:iCs w:val="1"/>
          <w:color w:val="auto"/>
        </w:rPr>
        <w:t>ection</w:t>
      </w:r>
      <w:r>
        <w:rPr>
          <w:rFonts w:ascii="Times New Roman" w:cs="Times New Roman" w:eastAsia="Times New Roman" w:hAnsi="Times New Roman"/>
          <w:sz w:val="22"/>
          <w:szCs w:val="22"/>
          <w:i w:val="1"/>
          <w:iCs w:val="1"/>
          <w:color w:val="auto"/>
        </w:rPr>
        <w:t xml:space="preserve"> 22.7.  J</w:t>
      </w:r>
      <w:r>
        <w:rPr>
          <w:rFonts w:ascii="Times New Roman" w:cs="Times New Roman" w:eastAsia="Times New Roman" w:hAnsi="Times New Roman"/>
          <w:sz w:val="14"/>
          <w:szCs w:val="14"/>
          <w:i w:val="1"/>
          <w:iCs w:val="1"/>
          <w:color w:val="auto"/>
        </w:rPr>
        <w:t>urisdiction and</w:t>
      </w:r>
      <w:r>
        <w:rPr>
          <w:rFonts w:ascii="Times New Roman" w:cs="Times New Roman" w:eastAsia="Times New Roman" w:hAnsi="Times New Roman"/>
          <w:sz w:val="22"/>
          <w:szCs w:val="22"/>
          <w:i w:val="1"/>
          <w:iCs w:val="1"/>
          <w:color w:val="auto"/>
        </w:rPr>
        <w:t xml:space="preserve"> P</w:t>
      </w:r>
      <w:r>
        <w:rPr>
          <w:rFonts w:ascii="Times New Roman" w:cs="Times New Roman" w:eastAsia="Times New Roman" w:hAnsi="Times New Roman"/>
          <w:sz w:val="14"/>
          <w:szCs w:val="14"/>
          <w:i w:val="1"/>
          <w:iCs w:val="1"/>
          <w:color w:val="auto"/>
        </w:rPr>
        <w:t>rocess</w:t>
      </w:r>
      <w:r>
        <w:rPr>
          <w:rFonts w:ascii="Times New Roman" w:cs="Times New Roman" w:eastAsia="Times New Roman" w:hAnsi="Times New Roman"/>
          <w:sz w:val="22"/>
          <w:szCs w:val="22"/>
          <w:i w:val="1"/>
          <w:iCs w:val="1"/>
          <w:color w:val="auto"/>
        </w:rPr>
        <w:t>; W</w:t>
      </w:r>
      <w:r>
        <w:rPr>
          <w:rFonts w:ascii="Times New Roman" w:cs="Times New Roman" w:eastAsia="Times New Roman" w:hAnsi="Times New Roman"/>
          <w:sz w:val="14"/>
          <w:szCs w:val="14"/>
          <w:i w:val="1"/>
          <w:iCs w:val="1"/>
          <w:color w:val="auto"/>
        </w:rPr>
        <w:t>aiver of</w:t>
      </w:r>
      <w:r>
        <w:rPr>
          <w:rFonts w:ascii="Times New Roman" w:cs="Times New Roman" w:eastAsia="Times New Roman" w:hAnsi="Times New Roman"/>
          <w:sz w:val="22"/>
          <w:szCs w:val="22"/>
          <w:i w:val="1"/>
          <w:iCs w:val="1"/>
          <w:color w:val="auto"/>
        </w:rPr>
        <w:t xml:space="preserve"> J</w:t>
      </w:r>
      <w:r>
        <w:rPr>
          <w:rFonts w:ascii="Times New Roman" w:cs="Times New Roman" w:eastAsia="Times New Roman" w:hAnsi="Times New Roman"/>
          <w:sz w:val="14"/>
          <w:szCs w:val="14"/>
          <w:i w:val="1"/>
          <w:iCs w:val="1"/>
          <w:color w:val="auto"/>
        </w:rPr>
        <w:t>ury</w:t>
      </w:r>
      <w:r>
        <w:rPr>
          <w:rFonts w:ascii="Times New Roman" w:cs="Times New Roman" w:eastAsia="Times New Roman" w:hAnsi="Times New Roman"/>
          <w:sz w:val="22"/>
          <w:szCs w:val="22"/>
          <w:i w:val="1"/>
          <w:iCs w:val="1"/>
          <w:color w:val="auto"/>
        </w:rPr>
        <w:t xml:space="preserve"> T</w:t>
      </w:r>
      <w:r>
        <w:rPr>
          <w:rFonts w:ascii="Times New Roman" w:cs="Times New Roman" w:eastAsia="Times New Roman" w:hAnsi="Times New Roman"/>
          <w:sz w:val="14"/>
          <w:szCs w:val="14"/>
          <w:i w:val="1"/>
          <w:iCs w:val="1"/>
          <w:color w:val="auto"/>
        </w:rPr>
        <w: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TC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2"/>
          <w:szCs w:val="22"/>
          <w:color w:val="auto"/>
        </w:rPr>
        <w:t>J</w:t>
      </w:r>
      <w:r>
        <w:rPr>
          <w:rFonts w:ascii="Times New Roman" w:cs="Times New Roman" w:eastAsia="Times New Roman" w:hAnsi="Times New Roman"/>
          <w:sz w:val="14"/>
          <w:szCs w:val="14"/>
          <w:color w:val="auto"/>
        </w:rPr>
        <w:t>urisdiction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rocess</w:t>
      </w:r>
      <w:r>
        <w:rPr>
          <w:rFonts w:ascii="Times New Roman" w:cs="Times New Roman" w:eastAsia="Times New Roman" w:hAnsi="Times New Roman"/>
          <w:sz w:val="22"/>
          <w:szCs w:val="22"/>
          <w:color w:val="auto"/>
        </w:rPr>
        <w:t>; W</w:t>
      </w:r>
      <w:r>
        <w:rPr>
          <w:rFonts w:ascii="Times New Roman" w:cs="Times New Roman" w:eastAsia="Times New Roman" w:hAnsi="Times New Roman"/>
          <w:sz w:val="14"/>
          <w:szCs w:val="14"/>
          <w:color w:val="auto"/>
        </w:rPr>
        <w:t>aiver of</w:t>
      </w:r>
    </w:p>
    <w:p>
      <w:pPr>
        <w:spacing w:after="0" w:line="33"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14"/>
          <w:szCs w:val="14"/>
          <w:color w:val="auto"/>
        </w:rPr>
        <w:t>ury</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rial</w:t>
      </w:r>
      <w:r>
        <w:rPr>
          <w:rFonts w:ascii="Times New Roman" w:cs="Times New Roman" w:eastAsia="Times New Roman" w:hAnsi="Times New Roman"/>
          <w:sz w:val="22"/>
          <w:szCs w:val="22"/>
          <w:color w:val="auto"/>
        </w:rPr>
        <w:t>" \</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C \</w:t>
      </w:r>
      <w:r>
        <w:rPr>
          <w:rFonts w:ascii="Times New Roman" w:cs="Times New Roman" w:eastAsia="Times New Roman" w:hAnsi="Times New Roman"/>
          <w:sz w:val="14"/>
          <w:szCs w:val="14"/>
          <w:color w:val="auto"/>
        </w:rPr>
        <w:t>l</w:t>
      </w:r>
      <w:r>
        <w:rPr>
          <w:rFonts w:ascii="Times New Roman" w:cs="Times New Roman" w:eastAsia="Times New Roman" w:hAnsi="Times New Roman"/>
          <w:sz w:val="22"/>
          <w:szCs w:val="22"/>
          <w:color w:val="auto"/>
        </w:rPr>
        <w:t xml:space="preserve"> "2"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irrevocably submits to the non</w:t>
      </w:r>
      <w:r>
        <w:rPr>
          <w:rFonts w:ascii="MS PGothic" w:cs="MS PGothic" w:eastAsia="MS PGothic" w:hAnsi="MS PGothic"/>
          <w:sz w:val="22"/>
          <w:szCs w:val="22"/>
          <w:color w:val="auto"/>
        </w:rPr>
        <w:t>‑</w:t>
      </w:r>
      <w:r>
        <w:rPr>
          <w:rFonts w:ascii="Times New Roman" w:cs="Times New Roman" w:eastAsia="Times New Roman" w:hAnsi="Times New Roman"/>
          <w:sz w:val="14"/>
          <w:szCs w:val="14"/>
          <w:color w:val="auto"/>
        </w:rPr>
        <w:t>exclusive jurisdiction of any</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tate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federal court sitting in the </w:t>
      </w:r>
      <w:r>
        <w:rPr>
          <w:rFonts w:ascii="Times New Roman" w:cs="Times New Roman" w:eastAsia="Times New Roman" w:hAnsi="Times New Roman"/>
          <w:sz w:val="21"/>
          <w:szCs w:val="21"/>
          <w:color w:val="auto"/>
        </w:rPr>
        <w:t>B</w:t>
      </w:r>
      <w:r>
        <w:rPr>
          <w:rFonts w:ascii="Times New Roman" w:cs="Times New Roman" w:eastAsia="Times New Roman" w:hAnsi="Times New Roman"/>
          <w:sz w:val="15"/>
          <w:szCs w:val="15"/>
          <w:color w:val="auto"/>
        </w:rPr>
        <w:t xml:space="preserve">orough of </w:t>
      </w:r>
      <w:r>
        <w:rPr>
          <w:rFonts w:ascii="Times New Roman" w:cs="Times New Roman" w:eastAsia="Times New Roman" w:hAnsi="Times New Roman"/>
          <w:sz w:val="21"/>
          <w:szCs w:val="21"/>
          <w:color w:val="auto"/>
        </w:rPr>
        <w:t>M</w:t>
      </w:r>
      <w:r>
        <w:rPr>
          <w:rFonts w:ascii="Times New Roman" w:cs="Times New Roman" w:eastAsia="Times New Roman" w:hAnsi="Times New Roman"/>
          <w:sz w:val="15"/>
          <w:szCs w:val="15"/>
          <w:color w:val="auto"/>
        </w:rPr>
        <w:t>anhattan</w:t>
      </w:r>
      <w:r>
        <w:rPr>
          <w:rFonts w:ascii="Times New Roman" w:cs="Times New Roman" w:eastAsia="Times New Roman" w:hAnsi="Times New Roman"/>
          <w:sz w:val="21"/>
          <w:szCs w:val="21"/>
          <w:color w:val="auto"/>
        </w:rPr>
        <w:t>, T</w:t>
      </w:r>
      <w:r>
        <w:rPr>
          <w:rFonts w:ascii="Times New Roman" w:cs="Times New Roman" w:eastAsia="Times New Roman" w:hAnsi="Times New Roman"/>
          <w:sz w:val="15"/>
          <w:szCs w:val="15"/>
          <w:color w:val="auto"/>
        </w:rPr>
        <w:t xml:space="preserve">he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 xml:space="preserve">ity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5"/>
          <w:szCs w:val="15"/>
          <w:color w:val="auto"/>
        </w:rPr>
        <w:t>ork</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over any suit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action or proceeding arising out of</w:t>
      </w:r>
    </w:p>
    <w:p>
      <w:pPr>
        <w:spacing w:after="0" w:line="230" w:lineRule="auto"/>
        <w:tabs>
          <w:tab w:leader="none" w:pos="4220" w:val="left"/>
        </w:tabs>
        <w:rPr>
          <w:sz w:val="20"/>
          <w:szCs w:val="20"/>
          <w:color w:val="auto"/>
        </w:rPr>
      </w:pPr>
      <w:r>
        <w:rPr>
          <w:rFonts w:ascii="Times New Roman" w:cs="Times New Roman" w:eastAsia="Times New Roman" w:hAnsi="Times New Roman"/>
          <w:sz w:val="15"/>
          <w:szCs w:val="15"/>
          <w:color w:val="auto"/>
        </w:rPr>
        <w:t xml:space="preserve">or relating to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5"/>
          <w:szCs w:val="15"/>
          <w:color w:val="auto"/>
        </w:rPr>
        <w:t xml:space="preserve">greement or the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otes</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 the fullest extent permitted by applicable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irrevocably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waives  and  agrees  not  to  assert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by  way  of  motion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as  a  defense  or  otherwise</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any  claim  that  it  is  not  subject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jurisdiction of any such court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any objection that it may now or hereafter have to the laying of the venue of any such suit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action or proceeding brought in any such court and any claim that any such suit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action or proceeding brought in any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court has been brought in an inconvenient forum</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right="20" w:firstLine="43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b</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agrees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to the fullest extent permitted by applicable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that a final judgment in any suit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action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proceeding of the nature referred to 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22.7(</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color w:val="auto"/>
        </w:rPr>
        <w:t>brought in any such court shall be conclusive and binding upon it subject to rights of appeal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color w:val="auto"/>
        </w:rPr>
        <w:t>as the case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color w:val="auto"/>
        </w:rPr>
        <w:t>be</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and may be enforced in the courts of the </w:t>
      </w:r>
      <w:r>
        <w:rPr>
          <w:rFonts w:ascii="Times New Roman" w:cs="Times New Roman" w:eastAsia="Times New Roman" w:hAnsi="Times New Roman"/>
          <w:sz w:val="21"/>
          <w:szCs w:val="21"/>
          <w:color w:val="auto"/>
        </w:rPr>
        <w:t>U</w:t>
      </w:r>
      <w:r>
        <w:rPr>
          <w:rFonts w:ascii="Times New Roman" w:cs="Times New Roman" w:eastAsia="Times New Roman" w:hAnsi="Times New Roman"/>
          <w:sz w:val="14"/>
          <w:szCs w:val="14"/>
          <w:color w:val="auto"/>
        </w:rPr>
        <w:t xml:space="preserve">nited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tates of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 xml:space="preserve">merica or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4"/>
          <w:szCs w:val="14"/>
          <w:color w:val="auto"/>
        </w:rPr>
        <w:t xml:space="preserve">ork </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or any other courts to the jurisdiction of which it or any of its assets is or may be subject</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by a suit upon such judgment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0"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c</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consents to process being served by or on behalf of any holder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 in any suit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action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proceeding of the nature referred to in </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b w:val="1"/>
          <w:bCs w:val="1"/>
          <w:color w:val="auto"/>
        </w:rPr>
        <w:t>22.7(</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color w:val="auto"/>
        </w:rPr>
        <w:t xml:space="preserve"> by mailing a copy thereof by registered</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certified</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priority or express mail </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or any substantially similar form of mail</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postage prepaid</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return receipt or delivery confirmation requested</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to it at its address specified in </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b w:val="1"/>
          <w:bCs w:val="1"/>
          <w:color w:val="auto"/>
        </w:rPr>
        <w:t>18</w:t>
      </w:r>
      <w:r>
        <w:rPr>
          <w:rFonts w:ascii="Times New Roman" w:cs="Times New Roman" w:eastAsia="Times New Roman" w:hAnsi="Times New Roman"/>
          <w:sz w:val="14"/>
          <w:szCs w:val="14"/>
          <w:color w:val="auto"/>
        </w:rPr>
        <w:t xml:space="preserve"> or at such other address of which such holder shall then have been notified pursuant to said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1"/>
          <w:szCs w:val="21"/>
          <w:color w:val="auto"/>
        </w:rPr>
        <w:t>. T</w:t>
      </w:r>
      <w:r>
        <w:rPr>
          <w:rFonts w:ascii="Times New Roman" w:cs="Times New Roman" w:eastAsia="Times New Roman" w:hAnsi="Times New Roman"/>
          <w:sz w:val="14"/>
          <w:szCs w:val="14"/>
          <w:color w:val="auto"/>
        </w:rPr>
        <w:t xml:space="preserve">he </w:t>
      </w:r>
      <w:r>
        <w:rPr>
          <w:rFonts w:ascii="Times New Roman" w:cs="Times New Roman" w:eastAsia="Times New Roman" w:hAnsi="Times New Roman"/>
          <w:sz w:val="21"/>
          <w:szCs w:val="21"/>
          <w:color w:val="auto"/>
        </w:rPr>
        <w:t>C</w:t>
      </w:r>
      <w:r>
        <w:rPr>
          <w:rFonts w:ascii="Times New Roman" w:cs="Times New Roman" w:eastAsia="Times New Roman" w:hAnsi="Times New Roman"/>
          <w:sz w:val="14"/>
          <w:szCs w:val="14"/>
          <w:color w:val="auto"/>
        </w:rPr>
        <w:t xml:space="preserve">ompany agrees that such service upon receipt </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i</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shall be deemed in every respect effective service of process upon it in any such suit</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action or proceeding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ii</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shall</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to the fullest extent permitted by applicable law</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be taken and held to be valid personal service upon and personal delivery to it</w:t>
      </w:r>
      <w:r>
        <w:rPr>
          <w:rFonts w:ascii="Times New Roman" w:cs="Times New Roman" w:eastAsia="Times New Roman" w:hAnsi="Times New Roman"/>
          <w:sz w:val="21"/>
          <w:szCs w:val="21"/>
          <w:color w:val="auto"/>
        </w:rPr>
        <w:t>. N</w:t>
      </w:r>
      <w:r>
        <w:rPr>
          <w:rFonts w:ascii="Times New Roman" w:cs="Times New Roman" w:eastAsia="Times New Roman" w:hAnsi="Times New Roman"/>
          <w:sz w:val="14"/>
          <w:szCs w:val="14"/>
          <w:color w:val="auto"/>
        </w:rPr>
        <w:t xml:space="preserve">otices hereunder shall be conclusively presumed received as evidenced by a delivery receipt furnished by the </w:t>
      </w:r>
      <w:r>
        <w:rPr>
          <w:rFonts w:ascii="Times New Roman" w:cs="Times New Roman" w:eastAsia="Times New Roman" w:hAnsi="Times New Roman"/>
          <w:sz w:val="21"/>
          <w:szCs w:val="21"/>
          <w:color w:val="auto"/>
        </w:rPr>
        <w:t>U</w:t>
      </w:r>
      <w:r>
        <w:rPr>
          <w:rFonts w:ascii="Times New Roman" w:cs="Times New Roman" w:eastAsia="Times New Roman" w:hAnsi="Times New Roman"/>
          <w:sz w:val="14"/>
          <w:szCs w:val="14"/>
          <w:color w:val="auto"/>
        </w:rPr>
        <w:t xml:space="preserve">nited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tates </w:t>
      </w:r>
      <w:r>
        <w:rPr>
          <w:rFonts w:ascii="Times New Roman" w:cs="Times New Roman" w:eastAsia="Times New Roman" w:hAnsi="Times New Roman"/>
          <w:sz w:val="21"/>
          <w:szCs w:val="21"/>
          <w:color w:val="auto"/>
        </w:rPr>
        <w:t>P</w:t>
      </w:r>
      <w:r>
        <w:rPr>
          <w:rFonts w:ascii="Times New Roman" w:cs="Times New Roman" w:eastAsia="Times New Roman" w:hAnsi="Times New Roman"/>
          <w:sz w:val="14"/>
          <w:szCs w:val="14"/>
          <w:color w:val="auto"/>
        </w:rPr>
        <w:t xml:space="preserve">ostal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ervice or any reputable commercial delivery service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d</w:t>
      </w:r>
      <w:r>
        <w:rPr>
          <w:rFonts w:ascii="Times New Roman" w:cs="Times New Roman" w:eastAsia="Times New Roman" w:hAnsi="Times New Roman"/>
          <w:sz w:val="22"/>
          <w:szCs w:val="22"/>
          <w:color w:val="auto"/>
        </w:rPr>
        <w:t>) N</w:t>
      </w:r>
      <w:r>
        <w:rPr>
          <w:rFonts w:ascii="Times New Roman" w:cs="Times New Roman" w:eastAsia="Times New Roman" w:hAnsi="Times New Roman"/>
          <w:sz w:val="14"/>
          <w:szCs w:val="14"/>
          <w:color w:val="auto"/>
        </w:rPr>
        <w:t>othing in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shall affect the right of any holder of a</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 to serve process in any manner 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by law</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or limit any right that the holders of any of the </w:t>
      </w: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 xml:space="preserve">otes may have to bring proceedings against the </w:t>
      </w:r>
      <w:r>
        <w:rPr>
          <w:rFonts w:ascii="Times New Roman" w:cs="Times New Roman" w:eastAsia="Times New Roman" w:hAnsi="Times New Roman"/>
          <w:sz w:val="21"/>
          <w:szCs w:val="21"/>
          <w:color w:val="auto"/>
        </w:rPr>
        <w:t>C</w:t>
      </w:r>
      <w:r>
        <w:rPr>
          <w:rFonts w:ascii="Times New Roman" w:cs="Times New Roman" w:eastAsia="Times New Roman" w:hAnsi="Times New Roman"/>
          <w:sz w:val="14"/>
          <w:szCs w:val="14"/>
          <w:color w:val="auto"/>
        </w:rPr>
        <w:t>ompany in the courts of any appropriate jurisdiction or to enforce in any lawful manner a judgment obtained in one jurisdiction in any other jurisdiction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0"/>
        <w:spacing w:after="0" w:line="270" w:lineRule="auto"/>
        <w:tabs>
          <w:tab w:leader="none" w:pos="86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 parties hereto hereby waive trial by jury in any action brought on or with respect to this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the</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or any other document executed in connection herewith or therewith</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itchburg</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as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880"/>
        <w:spacing w:after="0"/>
        <w:tabs>
          <w:tab w:leader="none" w:pos="5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Daniel J. Hurstak</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Daniel J. Hurstak</w:t>
      </w:r>
    </w:p>
    <w:p>
      <w:pPr>
        <w:ind w:left="52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Rebekah L. Holt</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Rebekah L. Holt</w:t>
      </w:r>
    </w:p>
    <w:p>
      <w:pPr>
        <w:ind w:left="4880"/>
        <w:spacing w:after="0"/>
        <w:rPr>
          <w:sz w:val="20"/>
          <w:szCs w:val="20"/>
          <w:color w:val="auto"/>
        </w:rPr>
      </w:pPr>
      <w:r>
        <w:rPr>
          <w:rFonts w:ascii="Times New Roman" w:cs="Times New Roman" w:eastAsia="Times New Roman" w:hAnsi="Times New Roman"/>
          <w:sz w:val="22"/>
          <w:szCs w:val="22"/>
          <w:color w:val="auto"/>
        </w:rPr>
        <w:t>Title: Investment Professional</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Michelle K. Marsh</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Michelle K. Marsh</w:t>
      </w:r>
    </w:p>
    <w:p>
      <w:pPr>
        <w:ind w:left="4880"/>
        <w:spacing w:after="0"/>
        <w:rPr>
          <w:sz w:val="20"/>
          <w:szCs w:val="20"/>
          <w:color w:val="auto"/>
        </w:rPr>
      </w:pPr>
      <w:r>
        <w:rPr>
          <w:rFonts w:ascii="Times New Roman" w:cs="Times New Roman" w:eastAsia="Times New Roman" w:hAnsi="Times New Roman"/>
          <w:sz w:val="22"/>
          <w:szCs w:val="22"/>
          <w:color w:val="auto"/>
        </w:rPr>
        <w:t>Title: Investment Professional</w:t>
      </w:r>
    </w:p>
    <w:p>
      <w:pPr>
        <w:spacing w:after="0" w:line="200" w:lineRule="exact"/>
        <w:rPr>
          <w:sz w:val="20"/>
          <w:szCs w:val="20"/>
          <w:color w:val="auto"/>
        </w:rPr>
      </w:pPr>
    </w:p>
    <w:p>
      <w:pPr>
        <w:spacing w:after="0" w:line="252"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ccident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Rebekah L. Holt</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Rebekah L. Holt</w:t>
      </w:r>
    </w:p>
    <w:p>
      <w:pPr>
        <w:ind w:left="4880"/>
        <w:spacing w:after="0"/>
        <w:rPr>
          <w:sz w:val="20"/>
          <w:szCs w:val="20"/>
          <w:color w:val="auto"/>
        </w:rPr>
      </w:pPr>
      <w:r>
        <w:rPr>
          <w:rFonts w:ascii="Times New Roman" w:cs="Times New Roman" w:eastAsia="Times New Roman" w:hAnsi="Times New Roman"/>
          <w:sz w:val="22"/>
          <w:szCs w:val="22"/>
          <w:color w:val="auto"/>
        </w:rPr>
        <w:t>Title: Investment Professional</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Michelle K. Marsh</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Michelle K. Marsh</w:t>
      </w:r>
    </w:p>
    <w:p>
      <w:pPr>
        <w:ind w:left="4880"/>
        <w:spacing w:after="0"/>
        <w:rPr>
          <w:sz w:val="20"/>
          <w:szCs w:val="20"/>
          <w:color w:val="auto"/>
        </w:rPr>
      </w:pPr>
      <w:r>
        <w:rPr>
          <w:rFonts w:ascii="Times New Roman" w:cs="Times New Roman" w:eastAsia="Times New Roman" w:hAnsi="Times New Roman"/>
          <w:sz w:val="22"/>
          <w:szCs w:val="22"/>
          <w:color w:val="auto"/>
        </w:rPr>
        <w:t>Title: Investment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Fitchburg Gas and Electric Light Company  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ACB</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Jared A. Greene</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Jared A. Greene</w:t>
      </w:r>
    </w:p>
    <w:p>
      <w:pPr>
        <w:jc w:val="right"/>
        <w:ind w:right="2099"/>
        <w:spacing w:after="0"/>
        <w:rPr>
          <w:sz w:val="20"/>
          <w:szCs w:val="20"/>
          <w:color w:val="auto"/>
        </w:rPr>
      </w:pPr>
      <w:r>
        <w:rPr>
          <w:rFonts w:ascii="Times New Roman" w:cs="Times New Roman" w:eastAsia="Times New Roman" w:hAnsi="Times New Roman"/>
          <w:sz w:val="22"/>
          <w:szCs w:val="22"/>
          <w:color w:val="auto"/>
        </w:rPr>
        <w:t>Title: 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1637665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erms</w:t>
      </w:r>
    </w:p>
    <w:p>
      <w:pPr>
        <w:spacing w:after="0" w:line="2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used herein, the following terms have the respective meanings set forth below or set forth in the Section hereof following such term:</w:t>
      </w:r>
    </w:p>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“Adjusted Net Income (Deficit)” </w:t>
      </w:r>
      <w:r>
        <w:rPr>
          <w:rFonts w:ascii="Times New Roman" w:cs="Times New Roman" w:eastAsia="Times New Roman" w:hAnsi="Times New Roman"/>
          <w:sz w:val="22"/>
          <w:szCs w:val="22"/>
          <w:color w:val="auto"/>
        </w:rPr>
        <w:t>means the amount of net income (or if such net income is a deficit, the amount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deficit) of the Company and its Subsidiaries for the period in question (taken as a cumulative whole) transferred to the retained earnings account on the books and records of the Company on a consolidated basis, as determined in accordance with GAAP, excluding any extraordinary non-cash gains and losses.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at any time, and with respect to any Person, any other Person that at such time directly or indirectly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one or more intermediaries Controls, or is Controlled by, or is under common Control with, such first Person, and, with respect to the Company, shall include any Person beneficially owning or holding, directly or indirectly, 20% or more of any class of voting or equity interests of the Company or any Subsidiary of the Company or any Person of which the Company and its Subsidiaries beneficially own or hold, in the aggregate, directly or indirectly, 20%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21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Agreement, including all Schedules attached to this Agreement, as it may be amended, restated,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supplemented or otherwise modified from time to time.</w:t>
      </w:r>
    </w:p>
    <w:p>
      <w:pPr>
        <w:spacing w:after="0" w:line="146"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regarding bribery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corrupt activity, including the U.S. Foreign Corrupt Practices Act and the U.K. Bribery Act 2010.</w:t>
      </w:r>
    </w:p>
    <w:p>
      <w:pPr>
        <w:spacing w:after="0" w:line="183" w:lineRule="exact"/>
        <w:rPr>
          <w:sz w:val="20"/>
          <w:szCs w:val="20"/>
          <w:color w:val="auto"/>
        </w:rPr>
      </w:pPr>
    </w:p>
    <w:p>
      <w:pPr>
        <w:jc w:val="both"/>
        <w:ind w:firstLine="749"/>
        <w:spacing w:after="0" w:line="277"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Money Laundering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regarding money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laundering, drug trafficking, terrorist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21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“Bank Credit Agreement” </w:t>
      </w:r>
      <w:r>
        <w:rPr>
          <w:rFonts w:ascii="Times New Roman" w:cs="Times New Roman" w:eastAsia="Times New Roman" w:hAnsi="Times New Roman"/>
          <w:sz w:val="22"/>
          <w:szCs w:val="22"/>
          <w:color w:val="auto"/>
        </w:rPr>
        <w:t>means any existing or future bank credit facility or combination of bank credit facilities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greater than $10,000,000 entered into by the Company.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“Bank Guarantor” </w:t>
      </w:r>
      <w:r>
        <w:rPr>
          <w:rFonts w:ascii="Times New Roman" w:cs="Times New Roman" w:eastAsia="Times New Roman" w:hAnsi="Times New Roman"/>
          <w:sz w:val="22"/>
          <w:szCs w:val="22"/>
          <w:color w:val="auto"/>
        </w:rPr>
        <w:t>means any Person guaranteeing the Bank Credit Agreement.</w:t>
      </w:r>
    </w:p>
    <w:p>
      <w:pPr>
        <w:spacing w:after="0" w:line="24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“Blocked Person” </w:t>
      </w:r>
      <w:r>
        <w:rPr>
          <w:rFonts w:ascii="Times New Roman" w:cs="Times New Roman" w:eastAsia="Times New Roman" w:hAnsi="Times New Roman"/>
          <w:sz w:val="22"/>
          <w:szCs w:val="22"/>
          <w:color w:val="auto"/>
        </w:rPr>
        <w:t>means (a) a Person whose name appears on the list of Specially Designated Nationals and Blocked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9" w:name="page60"/>
    <w:bookmarkEnd w:id="59"/>
    <w:p>
      <w:pPr>
        <w:spacing w:after="0" w:line="22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 for the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8.6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any day other than a Saturday, a Sunday or a day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commercial banks in New York City are required or authorized to be closed, and (b) for the purposes of any other provision of this Agreement, any day other than a Saturday, a Sunday or a day on which commercial banks in New York, New York or Manchester, New Hampshire are required or authorized to be closed.</w:t>
      </w:r>
    </w:p>
    <w:p>
      <w:pPr>
        <w:spacing w:after="0" w:line="19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“Capital Lease” </w:t>
      </w:r>
      <w:r>
        <w:rPr>
          <w:rFonts w:ascii="Times New Roman" w:cs="Times New Roman" w:eastAsia="Times New Roman" w:hAnsi="Times New Roman"/>
          <w:sz w:val="22"/>
          <w:szCs w:val="22"/>
          <w:color w:val="auto"/>
        </w:rPr>
        <w:t>means, at any time, a lease with respect to which the lessee is required concurrently to recognize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acquisition of an asset and the incurrence of a liability in accordance with GAAP.</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“Cash Pooling and Loan Agreement” </w:t>
      </w:r>
      <w:r>
        <w:rPr>
          <w:rFonts w:ascii="Times New Roman" w:cs="Times New Roman" w:eastAsia="Times New Roman" w:hAnsi="Times New Roman"/>
          <w:sz w:val="22"/>
          <w:szCs w:val="22"/>
          <w:color w:val="auto"/>
        </w:rPr>
        <w:t>means the cash pooling and loan agreement, as amended and restated, dated 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about October 31, 2025, between Unitil and certain of its Subsidiaries, including the Company, as further amended from time to time.</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“Closing”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and the rules and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promulgated thereunder from time to time.</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“Company” </w:t>
      </w:r>
      <w:r>
        <w:rPr>
          <w:rFonts w:ascii="Times New Roman" w:cs="Times New Roman" w:eastAsia="Times New Roman" w:hAnsi="Times New Roman"/>
          <w:sz w:val="22"/>
          <w:szCs w:val="22"/>
          <w:color w:val="auto"/>
        </w:rPr>
        <w:t>means Fitchburg Gas and Electric Light Company, a Massachusetts corporation, or any successor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becomes such in the manner prescribed in </w:t>
      </w:r>
      <w:r>
        <w:rPr>
          <w:rFonts w:ascii="Times New Roman" w:cs="Times New Roman" w:eastAsia="Times New Roman" w:hAnsi="Times New Roman"/>
          <w:sz w:val="22"/>
          <w:szCs w:val="22"/>
          <w:b w:val="1"/>
          <w:bCs w:val="1"/>
          <w:color w:val="auto"/>
        </w:rPr>
        <w:t>Section 10.4</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“Confidential Information”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“Controlled Entity” </w:t>
      </w:r>
      <w:r>
        <w:rPr>
          <w:rFonts w:ascii="Times New Roman" w:cs="Times New Roman" w:eastAsia="Times New Roman" w:hAnsi="Times New Roman"/>
          <w:sz w:val="22"/>
          <w:szCs w:val="22"/>
          <w:color w:val="auto"/>
        </w:rPr>
        <w:t>means (i) any of the Subsidiaries of the Company and any of their or the Company’s respective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Controlled Affiliates and (ii) if the Company has a parent company, such parent company and its Controlled Affiliates. As used in this definition, </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xml:space="preserve"> means the possession, directly or indirectly, of the power to direct or cause the direction of the management and policies of a Person, whether through the ownership of voting securities, by contract or otherwise.</w:t>
      </w:r>
    </w:p>
    <w:p>
      <w:pPr>
        <w:spacing w:after="0" w:line="212"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 event or condition the occurrence or existence of which would, with the lapse of time or the giving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notice or both, become an Event of Default.</w:t>
      </w:r>
    </w:p>
    <w:p>
      <w:pPr>
        <w:spacing w:after="0" w:line="190"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“Default Rate” </w:t>
      </w:r>
      <w:r>
        <w:rPr>
          <w:rFonts w:ascii="Times New Roman" w:cs="Times New Roman" w:eastAsia="Times New Roman" w:hAnsi="Times New Roman"/>
          <w:sz w:val="22"/>
          <w:szCs w:val="22"/>
          <w:color w:val="auto"/>
        </w:rPr>
        <w:t>means, with respect to the Notes of any series, that rate of interest per annum that is the greater of (i) 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the rate of interest stated in clause (a) of the first paragraph of the Notes of such series or (ii) 2% over the rate of interest publicly announced by Bank of America, N.A. in Charlotte, North Carolina as its “base” or “prime” rate.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“Disclosure Documents”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“EDGAR” </w:t>
      </w:r>
      <w:r>
        <w:rPr>
          <w:rFonts w:ascii="Times New Roman" w:cs="Times New Roman" w:eastAsia="Times New Roman" w:hAnsi="Times New Roman"/>
          <w:sz w:val="22"/>
          <w:szCs w:val="22"/>
          <w:color w:val="auto"/>
        </w:rPr>
        <w:t>means the SEC’s Electronic Data Gathering, Analysis and Retrieval System or any successor SEC electronic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filing system for such purposes.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“Electronic Delivery”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7.1(a)(ii)</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2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“Environmental Laws” </w:t>
      </w:r>
      <w:r>
        <w:rPr>
          <w:rFonts w:ascii="Times New Roman" w:cs="Times New Roman" w:eastAsia="Times New Roman" w:hAnsi="Times New Roman"/>
          <w:sz w:val="22"/>
          <w:szCs w:val="22"/>
          <w:color w:val="auto"/>
        </w:rPr>
        <w:t>means any and all federal, state, local, and foreign statutes, laws, regulations, ordinances,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19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from time to time, and the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promulgated thereunder from time to time in effect.</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trade or business (whether or not incorporated) that is treated as a single employer together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 under Section 414 of the Code.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promulgated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 from time to time in effect.</w:t>
      </w:r>
    </w:p>
    <w:p>
      <w:pPr>
        <w:spacing w:after="0" w:line="19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“FATCA” </w:t>
      </w:r>
      <w:r>
        <w:rPr>
          <w:rFonts w:ascii="Times New Roman" w:cs="Times New Roman" w:eastAsia="Times New Roman" w:hAnsi="Times New Roman"/>
          <w:sz w:val="21"/>
          <w:szCs w:val="21"/>
          <w:color w:val="auto"/>
        </w:rPr>
        <w:t>means (a) Sections 1471 through 1474 of the Code, as of the date of this Agreement (or any amended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“FERC” </w:t>
      </w:r>
      <w:r>
        <w:rPr>
          <w:rFonts w:ascii="Times New Roman" w:cs="Times New Roman" w:eastAsia="Times New Roman" w:hAnsi="Times New Roman"/>
          <w:sz w:val="22"/>
          <w:szCs w:val="22"/>
          <w:color w:val="auto"/>
        </w:rPr>
        <w:t>means the Federal Energy Regulatory Commission and any successor Governmental Authority thereto.</w:t>
      </w:r>
    </w:p>
    <w:p>
      <w:pPr>
        <w:spacing w:after="0" w:line="203"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i w:val="1"/>
          <w:iCs w:val="1"/>
          <w:color w:val="auto"/>
        </w:rPr>
        <w:t>“Form 10</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K”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7.1(b)(ii)</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i w:val="1"/>
          <w:iCs w:val="1"/>
          <w:color w:val="auto"/>
        </w:rPr>
        <w:t>“Form 10</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Q”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7.1(a)(ii)</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“Funded Indebtedness” </w:t>
      </w:r>
      <w:r>
        <w:rPr>
          <w:rFonts w:ascii="Times New Roman" w:cs="Times New Roman" w:eastAsia="Times New Roman" w:hAnsi="Times New Roman"/>
          <w:sz w:val="22"/>
          <w:szCs w:val="22"/>
          <w:color w:val="auto"/>
        </w:rPr>
        <w:t>of any Person as of any date as of which the amount thereof is to be determined, means (i)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of such Person required to be paid more than one year from the date as of which Funded Indebtedness is being determined pursuant to the terms of the agreement or instrument under which such Indebtedness was incurred, but there shall be excluded sinking fund, serial maturity, periodic installment and amortization payments on account of Indebtedness which are required to be made within one year from the date of such determination and (ii) all Guaranties of Funded Indebtedness of others described in clause (i) of this definition. Notwithstanding the foregoing, Funded Indebtedness shall not include: (a) obligations under contracts for the purchase of gas and energy supply, including transportation charges or Guaranties in respect of such obligations; (b) pension and benefit obligations, whether or not absolute or contingent or included, in accordance with GAAP, in determining total liabilities on the balance sheet; (c) amounts owed to or by the Company or any Subsidiary under the Cash Pooling and Loan Agreement; (d) all obligations under operating leases; and (e) obligations relating to the sale of</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generating assets and power purchase entitlements as provided for in any Utility Subsidiary Restructuring Plan.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“GAAP” </w:t>
      </w:r>
      <w:r>
        <w:rPr>
          <w:rFonts w:ascii="Times New Roman" w:cs="Times New Roman" w:eastAsia="Times New Roman" w:hAnsi="Times New Roman"/>
          <w:sz w:val="21"/>
          <w:szCs w:val="21"/>
          <w:color w:val="auto"/>
        </w:rPr>
        <w:t>means generally accepted accounting principles as in effect from time to time in the United States of America.</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w:t>
      </w:r>
    </w:p>
    <w:p>
      <w:pPr>
        <w:spacing w:after="0" w:line="251" w:lineRule="exact"/>
        <w:rPr>
          <w:sz w:val="20"/>
          <w:szCs w:val="20"/>
          <w:color w:val="auto"/>
        </w:rPr>
      </w:pPr>
    </w:p>
    <w:p>
      <w:pPr>
        <w:ind w:left="1620" w:hanging="431"/>
        <w:spacing w:after="0"/>
        <w:tabs>
          <w:tab w:leader="none" w:pos="16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w:t>
      </w:r>
    </w:p>
    <w:p>
      <w:pPr>
        <w:spacing w:after="0" w:line="233" w:lineRule="exact"/>
        <w:rPr>
          <w:rFonts w:ascii="Times New Roman" w:cs="Times New Roman" w:eastAsia="Times New Roman" w:hAnsi="Times New Roman"/>
          <w:sz w:val="22"/>
          <w:szCs w:val="22"/>
          <w:color w:val="auto"/>
        </w:rPr>
      </w:pPr>
    </w:p>
    <w:p>
      <w:pPr>
        <w:ind w:left="2360" w:hanging="423"/>
        <w:spacing w:after="0"/>
        <w:tabs>
          <w:tab w:leader="none" w:pos="23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of America or any State or other political subdivision thereof, or</w:t>
      </w:r>
    </w:p>
    <w:p>
      <w:pPr>
        <w:spacing w:after="0" w:line="246" w:lineRule="exact"/>
        <w:rPr>
          <w:rFonts w:ascii="Times New Roman" w:cs="Times New Roman" w:eastAsia="Times New Roman" w:hAnsi="Times New Roman"/>
          <w:sz w:val="22"/>
          <w:szCs w:val="22"/>
          <w:color w:val="auto"/>
        </w:rPr>
      </w:pPr>
    </w:p>
    <w:p>
      <w:pPr>
        <w:ind w:left="1500" w:firstLine="437"/>
        <w:spacing w:after="0" w:line="258" w:lineRule="auto"/>
        <w:tabs>
          <w:tab w:leader="none" w:pos="236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Company or any Subsidiary conducts all or any part of its business, or which asserts jurisdiction over any properties of the Company or any Subsidiary, or</w:t>
      </w:r>
    </w:p>
    <w:p>
      <w:pPr>
        <w:spacing w:after="0" w:line="198"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exercising executive, legislative, judicial, regulatory or administrative functions of, or pertaining to, any such government.</w:t>
      </w:r>
    </w:p>
    <w:p>
      <w:pPr>
        <w:spacing w:after="0" w:line="151" w:lineRule="exact"/>
        <w:rPr>
          <w:sz w:val="20"/>
          <w:szCs w:val="20"/>
          <w:color w:val="auto"/>
        </w:rPr>
      </w:pPr>
    </w:p>
    <w:p>
      <w:pPr>
        <w:jc w:val="both"/>
        <w:ind w:firstLine="749"/>
        <w:spacing w:after="0" w:line="277" w:lineRule="exact"/>
        <w:rPr>
          <w:sz w:val="20"/>
          <w:szCs w:val="20"/>
          <w:color w:val="auto"/>
        </w:rPr>
      </w:pPr>
      <w:r>
        <w:rPr>
          <w:rFonts w:ascii="Times New Roman" w:cs="Times New Roman" w:eastAsia="Times New Roman" w:hAnsi="Times New Roman"/>
          <w:sz w:val="22"/>
          <w:szCs w:val="22"/>
          <w:i w:val="1"/>
          <w:iCs w:val="1"/>
          <w:color w:val="auto"/>
        </w:rPr>
        <w:t xml:space="preserve">“Governmental Official” </w:t>
      </w:r>
      <w:r>
        <w:rPr>
          <w:rFonts w:ascii="Times New Roman" w:cs="Times New Roman" w:eastAsia="Times New Roman" w:hAnsi="Times New Roman"/>
          <w:sz w:val="22"/>
          <w:szCs w:val="22"/>
          <w:color w:val="auto"/>
        </w:rPr>
        <w:t>means any governmental official or employee, employee of any 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controlled entity, political party, any official of a political party, candidate for political office, official of any public international organization or anyone else acting in an official capacity.</w:t>
      </w:r>
    </w:p>
    <w:p>
      <w:pPr>
        <w:spacing w:after="0" w:line="21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“Guarantor” </w:t>
      </w:r>
      <w:r>
        <w:rPr>
          <w:rFonts w:ascii="Times New Roman" w:cs="Times New Roman" w:eastAsia="Times New Roman" w:hAnsi="Times New Roman"/>
          <w:sz w:val="22"/>
          <w:szCs w:val="22"/>
          <w:color w:val="auto"/>
        </w:rPr>
        <w:t>means each Person who is a party to the Guaranty Agreement and is otherwise required to comply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requirements of </w:t>
      </w:r>
      <w:r>
        <w:rPr>
          <w:rFonts w:ascii="Times New Roman" w:cs="Times New Roman" w:eastAsia="Times New Roman" w:hAnsi="Times New Roman"/>
          <w:sz w:val="22"/>
          <w:szCs w:val="22"/>
          <w:b w:val="1"/>
          <w:bCs w:val="1"/>
          <w:color w:val="auto"/>
        </w:rPr>
        <w:t>Section 9.8</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“Guaranty” </w:t>
      </w:r>
      <w:r>
        <w:rPr>
          <w:rFonts w:ascii="Times New Roman" w:cs="Times New Roman" w:eastAsia="Times New Roman" w:hAnsi="Times New Roman"/>
          <w:sz w:val="22"/>
          <w:szCs w:val="22"/>
          <w:color w:val="auto"/>
        </w:rPr>
        <w:t>means, with respect to any Person, any obligation (except the endorsement in the ordinary course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203" w:lineRule="exact"/>
        <w:rPr>
          <w:sz w:val="20"/>
          <w:szCs w:val="20"/>
          <w:color w:val="auto"/>
        </w:rPr>
      </w:pPr>
    </w:p>
    <w:p>
      <w:pPr>
        <w:ind w:left="1620" w:hanging="431"/>
        <w:spacing w:after="0"/>
        <w:tabs>
          <w:tab w:leader="none" w:pos="16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such indebtedness or obligation or any property constituting security therefor;</w:t>
      </w:r>
    </w:p>
    <w:p>
      <w:pPr>
        <w:spacing w:after="0" w:line="246" w:lineRule="exact"/>
        <w:rPr>
          <w:rFonts w:ascii="Times New Roman" w:cs="Times New Roman" w:eastAsia="Times New Roman" w:hAnsi="Times New Roman"/>
          <w:sz w:val="22"/>
          <w:szCs w:val="22"/>
          <w:color w:val="auto"/>
        </w:rPr>
      </w:pPr>
    </w:p>
    <w:p>
      <w:pPr>
        <w:jc w:val="both"/>
        <w:ind w:left="760" w:firstLine="429"/>
        <w:spacing w:after="0" w:line="244" w:lineRule="auto"/>
        <w:tabs>
          <w:tab w:leader="none" w:pos="16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213" w:lineRule="exact"/>
        <w:rPr>
          <w:rFonts w:ascii="Times New Roman" w:cs="Times New Roman" w:eastAsia="Times New Roman" w:hAnsi="Times New Roman"/>
          <w:sz w:val="22"/>
          <w:szCs w:val="22"/>
          <w:color w:val="auto"/>
        </w:rPr>
      </w:pPr>
    </w:p>
    <w:p>
      <w:pPr>
        <w:ind w:left="760" w:firstLine="429"/>
        <w:spacing w:after="0" w:line="282" w:lineRule="auto"/>
        <w:tabs>
          <w:tab w:leader="none" w:pos="162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25" w:lineRule="exact"/>
        <w:rPr>
          <w:sz w:val="20"/>
          <w:szCs w:val="20"/>
          <w:color w:val="auto"/>
        </w:rPr>
      </w:pPr>
    </w:p>
    <w:p>
      <w:pPr>
        <w:ind w:left="118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otherwise to assure the owner of such indebtedness or obligation against loss in respect thereof.</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any computation of the indebtedness or other liabilities of the obligor under any Guaranty, the indebtedness or other obligations that are the subject of such Guaranty shall be assumed to be direct obligations of such obligor.</w:t>
      </w:r>
    </w:p>
    <w:p>
      <w:pPr>
        <w:spacing w:after="0" w:line="19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“Guaranty Agreement” </w:t>
      </w:r>
      <w:r>
        <w:rPr>
          <w:rFonts w:ascii="Times New Roman" w:cs="Times New Roman" w:eastAsia="Times New Roman" w:hAnsi="Times New Roman"/>
          <w:sz w:val="22"/>
          <w:szCs w:val="22"/>
          <w:color w:val="auto"/>
        </w:rPr>
        <w:t>means any Guaranty Agreement delivered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9.8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terms of which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substantially similar to the applicable guaranty or other obligation being provided under the Bank Credit Agreement and otherwise in a form reasonably acceptable to the Required Holders.</w:t>
      </w:r>
    </w:p>
    <w:p>
      <w:pPr>
        <w:spacing w:after="0" w:line="20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“Hazardous Materials” </w:t>
      </w:r>
      <w:r>
        <w:rPr>
          <w:rFonts w:ascii="Times New Roman" w:cs="Times New Roman" w:eastAsia="Times New Roman" w:hAnsi="Times New Roman"/>
          <w:sz w:val="22"/>
          <w:szCs w:val="22"/>
          <w:color w:val="auto"/>
        </w:rPr>
        <w:t>means any and all pollutants, toxic or hazardous wastes or other substances that might pose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“holder” </w:t>
      </w:r>
      <w:r>
        <w:rPr>
          <w:rFonts w:ascii="Times New Roman" w:cs="Times New Roman" w:eastAsia="Times New Roman" w:hAnsi="Times New Roman"/>
          <w:sz w:val="22"/>
          <w:szCs w:val="22"/>
          <w:color w:val="auto"/>
        </w:rPr>
        <w:t>means, with respect to any Note the Person in whose name such Note is registered in the register maintained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the Company pursuant to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such Person is a nominee, then for the purposes of </w:t>
      </w:r>
      <w:r>
        <w:rPr>
          <w:rFonts w:ascii="Times New Roman" w:cs="Times New Roman" w:eastAsia="Times New Roman" w:hAnsi="Times New Roman"/>
          <w:sz w:val="22"/>
          <w:szCs w:val="22"/>
          <w:b w:val="1"/>
          <w:bCs w:val="1"/>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17.2</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18 </w:t>
      </w:r>
      <w:r>
        <w:rPr>
          <w:rFonts w:ascii="Times New Roman" w:cs="Times New Roman" w:eastAsia="Times New Roman" w:hAnsi="Times New Roman"/>
          <w:sz w:val="22"/>
          <w:szCs w:val="22"/>
          <w:color w:val="auto"/>
        </w:rPr>
        <w:t>and any related definitions in this</w:t>
      </w:r>
      <w:r>
        <w:rPr>
          <w:rFonts w:ascii="Times New Roman" w:cs="Times New Roman" w:eastAsia="Times New Roman" w:hAnsi="Times New Roman"/>
          <w:sz w:val="22"/>
          <w:szCs w:val="22"/>
          <w:b w:val="1"/>
          <w:bCs w:val="1"/>
          <w:color w:val="auto"/>
        </w:rPr>
        <w:t xml:space="preserve"> Schedule B</w:t>
      </w:r>
      <w:r>
        <w:rPr>
          <w:rFonts w:ascii="Times New Roman" w:cs="Times New Roman" w:eastAsia="Times New Roman" w:hAnsi="Times New Roman"/>
          <w:sz w:val="22"/>
          <w:szCs w:val="22"/>
          <w:color w:val="auto"/>
        </w:rPr>
        <w:t>, “holder” shall mean the beneficial owner of such Note whose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 and address appears in such register.</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“Hydro-Quebec Interconnection Support Agreements” </w:t>
      </w:r>
      <w:r>
        <w:rPr>
          <w:rFonts w:ascii="Times New Roman" w:cs="Times New Roman" w:eastAsia="Times New Roman" w:hAnsi="Times New Roman"/>
          <w:sz w:val="22"/>
          <w:szCs w:val="22"/>
          <w:color w:val="auto"/>
        </w:rPr>
        <w:t>means the agreements pursuant to which Unitil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approximately sixty other members of the New England Power Pool have agreed to support the high voltage direct current transmission lines and associated conversions and supporting alternating current transmission facilities to allow for the import and export of power between New England and Quebec.</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with respect to any Person means, at any time, without duplication,</w:t>
      </w:r>
    </w:p>
    <w:p>
      <w:pPr>
        <w:spacing w:after="0" w:line="237" w:lineRule="exact"/>
        <w:rPr>
          <w:sz w:val="20"/>
          <w:szCs w:val="20"/>
          <w:color w:val="auto"/>
        </w:rPr>
      </w:pPr>
    </w:p>
    <w:p>
      <w:pPr>
        <w:ind w:left="1620" w:hanging="431"/>
        <w:spacing w:after="0"/>
        <w:tabs>
          <w:tab w:leader="none" w:pos="16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liabilities for borrowed money;</w:t>
      </w:r>
    </w:p>
    <w:p>
      <w:pPr>
        <w:spacing w:after="0" w:line="246"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which would appear on its balance sheet in accordance with GAAP in respect of Synthetic Leases if such Synthetic Leases were accounted for as Capital Leases;</w:t>
      </w:r>
    </w:p>
    <w:p>
      <w:pPr>
        <w:spacing w:after="0" w:line="198" w:lineRule="exact"/>
        <w:rPr>
          <w:rFonts w:ascii="Times New Roman" w:cs="Times New Roman" w:eastAsia="Times New Roman" w:hAnsi="Times New Roman"/>
          <w:sz w:val="22"/>
          <w:szCs w:val="22"/>
          <w:color w:val="auto"/>
        </w:rPr>
      </w:pPr>
    </w:p>
    <w:p>
      <w:pPr>
        <w:jc w:val="both"/>
        <w:ind w:left="760" w:firstLine="429"/>
        <w:spacing w:after="0" w:line="244" w:lineRule="auto"/>
        <w:tabs>
          <w:tab w:leader="none" w:pos="16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due in respect of Capital Leases which, taking together such obligations for all Capital Leases of such Person, aggregate $6,000,000 or more in the twelve month period following the date on which Indebtedness is being determined;</w:t>
      </w:r>
    </w:p>
    <w:p>
      <w:pPr>
        <w:spacing w:after="0" w:line="200" w:lineRule="exact"/>
        <w:rPr>
          <w:rFonts w:ascii="Times New Roman" w:cs="Times New Roman" w:eastAsia="Times New Roman" w:hAnsi="Times New Roman"/>
          <w:sz w:val="22"/>
          <w:szCs w:val="22"/>
          <w:color w:val="auto"/>
        </w:rPr>
      </w:pPr>
    </w:p>
    <w:p>
      <w:pPr>
        <w:ind w:left="760" w:right="20" w:firstLine="429"/>
        <w:spacing w:after="0" w:line="258" w:lineRule="auto"/>
        <w:tabs>
          <w:tab w:leader="none" w:pos="16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liabilities for the deferred purchase price of property acquired by such Person (excluding accounts payable arising in the ordinary course of business and liabilities</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2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pertaining to the regulated purchase of electricity and natural gas supply in the ordinary course of business, but, in any event, including all liabilities created or arising under any conditional sale or other title retention agreement with respect to any such property); and</w:t>
      </w:r>
    </w:p>
    <w:p>
      <w:pPr>
        <w:spacing w:after="0" w:line="200" w:lineRule="exact"/>
        <w:rPr>
          <w:sz w:val="20"/>
          <w:szCs w:val="20"/>
          <w:color w:val="auto"/>
        </w:rPr>
      </w:pPr>
    </w:p>
    <w:p>
      <w:pPr>
        <w:ind w:left="760" w:right="80" w:firstLine="429"/>
        <w:spacing w:after="0" w:line="258" w:lineRule="auto"/>
        <w:tabs>
          <w:tab w:leader="none" w:pos="162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any Guaranty of such Person with respect to liabilities of a type described in any of clauses (a) through (d) above;</w:t>
      </w:r>
    </w:p>
    <w:p>
      <w:pPr>
        <w:spacing w:after="0" w:line="19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notwithstanding anything to the contrary in the foregoing, Indebtedness of the Company or any Subsidiary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include (A) its obligations under contracts for the purchase by it of gas (including propane and liquefied natural gas) or electric energy or capacity, including transmission charges, (B) lease obligations of the Company or any Subsidiary (other than all liabilities which would appear on its balance sheet in accordance with GAAP in respect of Synthetic Leases if such Synthetic Leases were accounted for as Capital Leases), (C) pension and other obligations of the Company or any Subsidiary with respect to benefits provided to employees of the Company and its Subsidiaries, regardless of whether such obligations are absolute or contingent or included, in accordance with GAAP, in determining total liabilities as shown on the liability side of a balance sheet of the Company, and (D) obligations relating to the sale of generating assets and power purchase entitlements as provided for in the Company’s restructuring plan filed with the MDPU (formerly known as the Massachusetts Department of Telecommunications and Energy) on December 31, 1997.</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“INHAM Exemption”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“Institutional Investor” </w:t>
      </w:r>
      <w:r>
        <w:rPr>
          <w:rFonts w:ascii="Times New Roman" w:cs="Times New Roman" w:eastAsia="Times New Roman" w:hAnsi="Times New Roman"/>
          <w:sz w:val="22"/>
          <w:szCs w:val="22"/>
          <w:color w:val="auto"/>
        </w:rPr>
        <w:t>means (a) any Purchaser of a Note, (b) any holder of a Note holding (together with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21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with respect to any Person, any mortgage, lien, pledge, adverse claim, charge, security interest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encumbrance of title in or on,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“Make-Whole Amount”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8.6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22"/>
          <w:szCs w:val="22"/>
          <w:color w:val="auto"/>
        </w:rPr>
        <w:t>means material in relation to the business, operations, affairs, financial condition, assets, or properties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Subsidiaries taken as a whole.</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 material adverse effect on (a) the business, operations, affairs, financial condition,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assets or properties of the Company and its Subsidiaries taken as a whole, or (b) the ability of the Company to perform its obligations under this Agreement and the</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Notes, or (c) the validity or enforceability of this Agreement or the Notes, or (d) the ability of any Guarantor to perform its obligations under any Guaranty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“Material Credit Facility” </w:t>
      </w:r>
      <w:r>
        <w:rPr>
          <w:rFonts w:ascii="Times New Roman" w:cs="Times New Roman" w:eastAsia="Times New Roman" w:hAnsi="Times New Roman"/>
          <w:sz w:val="22"/>
          <w:szCs w:val="22"/>
          <w:color w:val="auto"/>
        </w:rPr>
        <w:t>means, as to the Company and its Subsidiaries,</w:t>
      </w:r>
    </w:p>
    <w:p>
      <w:pPr>
        <w:spacing w:after="0" w:line="251" w:lineRule="exact"/>
        <w:rPr>
          <w:sz w:val="20"/>
          <w:szCs w:val="20"/>
          <w:color w:val="auto"/>
        </w:rPr>
      </w:pPr>
    </w:p>
    <w:p>
      <w:pPr>
        <w:ind w:left="2260" w:hanging="651"/>
        <w:spacing w:after="0" w:line="258" w:lineRule="auto"/>
        <w:tabs>
          <w:tab w:leader="none" w:pos="204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Credit Agreement, including any renewals, extensions, amendments, supplements, restatements, replacements or refinancing thereof; and</w:t>
      </w:r>
    </w:p>
    <w:p>
      <w:pPr>
        <w:spacing w:after="0" w:line="198" w:lineRule="exact"/>
        <w:rPr>
          <w:rFonts w:ascii="Times New Roman" w:cs="Times New Roman" w:eastAsia="Times New Roman" w:hAnsi="Times New Roman"/>
          <w:sz w:val="22"/>
          <w:szCs w:val="22"/>
          <w:color w:val="auto"/>
        </w:rPr>
      </w:pPr>
    </w:p>
    <w:p>
      <w:pPr>
        <w:ind w:left="760" w:firstLine="429"/>
        <w:spacing w:after="0" w:line="235" w:lineRule="auto"/>
        <w:tabs>
          <w:tab w:leader="none" w:pos="162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agreement(s) (other than the Cash Pooling and Loan Agreement) creating or evidencing indebtedness for borrowed money entered into by the Company or any Subsidiary, or in respect of which the Company or any Subsidiary is an obligor or otherwise provides a guarantee or other credit support (</w:t>
      </w:r>
      <w:r>
        <w:rPr>
          <w:rFonts w:ascii="Times New Roman" w:cs="Times New Roman" w:eastAsia="Times New Roman" w:hAnsi="Times New Roman"/>
          <w:sz w:val="22"/>
          <w:szCs w:val="22"/>
          <w:i w:val="1"/>
          <w:iCs w:val="1"/>
          <w:color w:val="auto"/>
        </w:rPr>
        <w:t>“Credit Facility”</w:t>
      </w:r>
      <w:r>
        <w:rPr>
          <w:rFonts w:ascii="Times New Roman" w:cs="Times New Roman" w:eastAsia="Times New Roman" w:hAnsi="Times New Roman"/>
          <w:sz w:val="22"/>
          <w:szCs w:val="22"/>
          <w:color w:val="auto"/>
        </w:rPr>
        <w:t>), in a principal amount outstanding or available for borrowing equal to or greater than $10,000,000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cs="Times New Roman" w:eastAsia="Times New Roman" w:hAnsi="Times New Roman"/>
          <w:sz w:val="22"/>
          <w:szCs w:val="22"/>
          <w:i w:val="1"/>
          <w:iCs w:val="1"/>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“Maturity Date” </w:t>
      </w:r>
      <w:r>
        <w:rPr>
          <w:rFonts w:ascii="Times New Roman" w:cs="Times New Roman" w:eastAsia="Times New Roman" w:hAnsi="Times New Roman"/>
          <w:sz w:val="22"/>
          <w:szCs w:val="22"/>
          <w:color w:val="auto"/>
        </w:rPr>
        <w:t>is defined in the first paragraph of each Note.</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“MDPU” </w:t>
      </w:r>
      <w:r>
        <w:rPr>
          <w:rFonts w:ascii="Times New Roman" w:cs="Times New Roman" w:eastAsia="Times New Roman" w:hAnsi="Times New Roman"/>
          <w:sz w:val="22"/>
          <w:szCs w:val="22"/>
          <w:color w:val="auto"/>
        </w:rPr>
        <w:t>means the Massachusetts Department of Public Utilities and any successor Governmental Authority.</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Plan that is a “multiemployer plan” (as such term is defined in Section 4001(a)(3)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ERISA).</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“NAIC” </w:t>
      </w:r>
      <w:r>
        <w:rPr>
          <w:rFonts w:ascii="Times New Roman" w:cs="Times New Roman" w:eastAsia="Times New Roman" w:hAnsi="Times New Roman"/>
          <w:sz w:val="22"/>
          <w:szCs w:val="22"/>
          <w:color w:val="auto"/>
        </w:rPr>
        <w:t>means the National Association of Insurance Commissioners or any successor thereto.</w:t>
      </w:r>
    </w:p>
    <w:p>
      <w:pPr>
        <w:spacing w:after="0" w:line="216" w:lineRule="exact"/>
        <w:rPr>
          <w:sz w:val="20"/>
          <w:szCs w:val="20"/>
          <w:color w:val="auto"/>
        </w:rPr>
      </w:pPr>
    </w:p>
    <w:p>
      <w:pPr>
        <w:jc w:val="both"/>
        <w:ind w:firstLine="749"/>
        <w:spacing w:after="0" w:line="261" w:lineRule="exact"/>
        <w:rPr>
          <w:sz w:val="20"/>
          <w:szCs w:val="20"/>
          <w:color w:val="auto"/>
        </w:rPr>
      </w:pP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U.S. Plan” </w:t>
      </w:r>
      <w:r>
        <w:rPr>
          <w:rFonts w:ascii="Times New Roman" w:cs="Times New Roman" w:eastAsia="Times New Roman" w:hAnsi="Times New Roman"/>
          <w:sz w:val="22"/>
          <w:szCs w:val="22"/>
          <w:color w:val="auto"/>
        </w:rPr>
        <w:t>means any plan, fund or other similar program that (a) is established or maintained outside the United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“Notes”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means the Office of Foreign Assets Control of the United States Department of the Treasury.</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“OFAC Sanctions Program” </w:t>
      </w:r>
      <w:r>
        <w:rPr>
          <w:rFonts w:ascii="Times New Roman" w:cs="Times New Roman" w:eastAsia="Times New Roman" w:hAnsi="Times New Roman"/>
          <w:sz w:val="22"/>
          <w:szCs w:val="22"/>
          <w:color w:val="auto"/>
        </w:rPr>
        <w:t>means any economic or trade sanction that OFAC is responsible for administering and</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enforcing. A list of OFAC Sanctions Programs may be found at http://www.treasury.gov/resource-center/sanctions/Programs/Pages/Programs.aspx.</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means a certificate of a Senior Financial Officer or of any other officer of the Company whose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responsibilities extend to the subject matter of such certificate.</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 association, trust, unincorporated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 business entity or Governmental Authority.</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an “employee benefit plan” (as defined in Section 3(3) of ERISA) subject to Title I of ERISA that is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“Preferred Stock” </w:t>
      </w:r>
      <w:r>
        <w:rPr>
          <w:rFonts w:ascii="Times New Roman" w:cs="Times New Roman" w:eastAsia="Times New Roman" w:hAnsi="Times New Roman"/>
          <w:sz w:val="22"/>
          <w:szCs w:val="22"/>
          <w:color w:val="auto"/>
        </w:rPr>
        <w:t>means any class of capital stock of a Person that is preferred over any other class of capital stock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equity interests) of such Person as to the payment of dividends or the payment of any amount upon liquidation or dissolution of such Person.</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“properties” </w:t>
      </w:r>
      <w:r>
        <w:rPr>
          <w:rFonts w:ascii="Times New Roman" w:cs="Times New Roman" w:eastAsia="Times New Roman" w:hAnsi="Times New Roman"/>
          <w:sz w:val="22"/>
          <w:szCs w:val="22"/>
          <w:color w:val="auto"/>
        </w:rPr>
        <w:t>means, unless otherwise specifically limited, real or personal property of any kind, tangible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intangible, choate or inchoate.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“Purchaser” </w:t>
      </w:r>
      <w:r>
        <w:rPr>
          <w:rFonts w:ascii="Times New Roman" w:cs="Times New Roman" w:eastAsia="Times New Roman" w:hAnsi="Times New Roman"/>
          <w:sz w:val="22"/>
          <w:szCs w:val="22"/>
          <w:color w:val="auto"/>
        </w:rPr>
        <w:t>is defined in the first paragraph of this Agreement.</w:t>
      </w:r>
    </w:p>
    <w:p>
      <w:pPr>
        <w:spacing w:after="0" w:line="23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“Qualified Institutional Buyer” </w:t>
      </w:r>
      <w:r>
        <w:rPr>
          <w:rFonts w:ascii="Times New Roman" w:cs="Times New Roman" w:eastAsia="Times New Roman" w:hAnsi="Times New Roman"/>
          <w:sz w:val="22"/>
          <w:szCs w:val="22"/>
          <w:color w:val="auto"/>
        </w:rPr>
        <w:t>means any Person who is a “qualified institutional buyer” within the meaning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as set forth in Rule 144A(a)(1) under the Securities Act.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“QPAM Exemption”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“Related Fund” </w:t>
      </w:r>
      <w:r>
        <w:rPr>
          <w:rFonts w:ascii="Times New Roman" w:cs="Times New Roman" w:eastAsia="Times New Roman" w:hAnsi="Times New Roman"/>
          <w:sz w:val="22"/>
          <w:szCs w:val="22"/>
          <w:color w:val="auto"/>
        </w:rPr>
        <w:t>means, with respect to any holder of any Note, any fund or entity that (i) invests in Securities or bank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and (ii) is advised or managed by such holder, the same investment advisor as such holder or by an affiliate of such holder or such investment advisor.</w:t>
      </w:r>
    </w:p>
    <w:p>
      <w:pPr>
        <w:spacing w:after="0" w:line="19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“Required Holders” </w:t>
      </w:r>
      <w:r>
        <w:rPr>
          <w:rFonts w:ascii="Times New Roman" w:cs="Times New Roman" w:eastAsia="Times New Roman" w:hAnsi="Times New Roman"/>
          <w:sz w:val="22"/>
          <w:szCs w:val="22"/>
          <w:color w:val="auto"/>
        </w:rPr>
        <w:t>means at any time on or after the Closing, the holders of at least a majority in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Notes at the time outstanding (exclusive of Notes then owned by the Company or any of its Affiliates).</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means any Senior Financial Officer and any other officer of the Company or any Guarantor,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with responsibility for the administration of the relevant portion of this Agreement.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shall mean the Securities and Exchange Commission of the United States, or any successor thereto.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“securities” </w:t>
      </w:r>
      <w:r>
        <w:rPr>
          <w:rFonts w:ascii="Times New Roman" w:cs="Times New Roman" w:eastAsia="Times New Roman" w:hAnsi="Times New Roman"/>
          <w:sz w:val="22"/>
          <w:szCs w:val="22"/>
          <w:color w:val="auto"/>
        </w:rPr>
        <w:t>shall have the meaning specified in Section 2(1) of the Securities Act.</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21"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“Securities Act” </w:t>
      </w:r>
      <w:r>
        <w:rPr>
          <w:rFonts w:ascii="Times New Roman" w:cs="Times New Roman" w:eastAsia="Times New Roman" w:hAnsi="Times New Roman"/>
          <w:sz w:val="22"/>
          <w:szCs w:val="22"/>
          <w:color w:val="auto"/>
        </w:rPr>
        <w:t>means the Securities Act of 1933, as amended from time to time, and the rules and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promulgated thereunder from time to time in effect.</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“Senior Financial Officer” </w:t>
      </w:r>
      <w:r>
        <w:rPr>
          <w:rFonts w:ascii="Times New Roman" w:cs="Times New Roman" w:eastAsia="Times New Roman" w:hAnsi="Times New Roman"/>
          <w:sz w:val="22"/>
          <w:szCs w:val="22"/>
          <w:color w:val="auto"/>
        </w:rPr>
        <w:t>means the chief financial officer, principal accounting officer, treasurer or comptroller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of Unitil, as applicable.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“series” </w:t>
      </w:r>
      <w:r>
        <w:rPr>
          <w:rFonts w:ascii="Times New Roman" w:cs="Times New Roman" w:eastAsia="Times New Roman" w:hAnsi="Times New Roman"/>
          <w:sz w:val="22"/>
          <w:szCs w:val="22"/>
          <w:color w:val="auto"/>
        </w:rPr>
        <w:t>means any series of Notes issued pursuant to this Agreement.</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Series A Notes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Series B Notes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“State Sanctions List” </w:t>
      </w:r>
      <w:r>
        <w:rPr>
          <w:rFonts w:ascii="Times New Roman" w:cs="Times New Roman" w:eastAsia="Times New Roman" w:hAnsi="Times New Roman"/>
          <w:sz w:val="22"/>
          <w:szCs w:val="22"/>
          <w:color w:val="auto"/>
        </w:rPr>
        <w:t>means a list that is adopted by any state Governmental Authority within the United States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America pertaining to Persons that engage in investment or other commercial activities in Iran or any other country that is a target of economic sanctions imposed under U.S. Economic Sanctions Laws.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“Source”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as to any Person, any other Person in which such first Person or one or more of its Subsidiaries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“SVO” </w:t>
      </w:r>
      <w:r>
        <w:rPr>
          <w:rFonts w:ascii="Times New Roman" w:cs="Times New Roman" w:eastAsia="Times New Roman" w:hAnsi="Times New Roman"/>
          <w:sz w:val="22"/>
          <w:szCs w:val="22"/>
          <w:color w:val="auto"/>
        </w:rPr>
        <w:t>means the Securities Valuation Office of the NAIC or any successor to such Office.</w:t>
      </w:r>
    </w:p>
    <w:p>
      <w:pPr>
        <w:spacing w:after="0" w:line="24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“Synthetic Lease” </w:t>
      </w:r>
      <w:r>
        <w:rPr>
          <w:rFonts w:ascii="Times New Roman" w:cs="Times New Roman" w:eastAsia="Times New Roman" w:hAnsi="Times New Roman"/>
          <w:sz w:val="22"/>
          <w:szCs w:val="22"/>
          <w:color w:val="auto"/>
        </w:rPr>
        <w:t>means, at any time, any lease (including leases that may be terminated by the lessee at any time)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property (a) 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“Total Capitalization” </w:t>
      </w:r>
      <w:r>
        <w:rPr>
          <w:rFonts w:ascii="Times New Roman" w:cs="Times New Roman" w:eastAsia="Times New Roman" w:hAnsi="Times New Roman"/>
          <w:sz w:val="21"/>
          <w:szCs w:val="21"/>
          <w:color w:val="auto"/>
        </w:rPr>
        <w:t>at any date means the sum of (x) Funded Indebtedness of the Company and its Subsidiaries, and</w:t>
      </w:r>
    </w:p>
    <w:p>
      <w:pPr>
        <w:spacing w:after="0" w:line="30" w:lineRule="exact"/>
        <w:rPr>
          <w:sz w:val="20"/>
          <w:szCs w:val="20"/>
          <w:color w:val="auto"/>
        </w:rPr>
      </w:pPr>
    </w:p>
    <w:p>
      <w:pPr>
        <w:jc w:val="both"/>
        <w:ind w:firstLine="8"/>
        <w:spacing w:after="0" w:line="233" w:lineRule="auto"/>
        <w:tabs>
          <w:tab w:leader="none" w:pos="35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Total Shareholders’ Equity as of such date. Such Total Capitalization shall be exclusive of Accumulated and Other Comprehensive Income (within the meaning of GAAP) derived from pension and benefit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permitted by </w:t>
      </w:r>
      <w:r>
        <w:rPr>
          <w:rFonts w:ascii="Times New Roman" w:cs="Times New Roman" w:eastAsia="Times New Roman" w:hAnsi="Times New Roman"/>
          <w:sz w:val="22"/>
          <w:szCs w:val="22"/>
          <w:b w:val="1"/>
          <w:bCs w:val="1"/>
          <w:color w:val="auto"/>
        </w:rPr>
        <w:t>Section 10.1(a)(iii)</w:t>
      </w:r>
      <w:r>
        <w:rPr>
          <w:rFonts w:ascii="Times New Roman" w:cs="Times New Roman" w:eastAsia="Times New Roman" w:hAnsi="Times New Roman"/>
          <w:sz w:val="22"/>
          <w:szCs w:val="22"/>
          <w:color w:val="auto"/>
        </w:rPr>
        <w:t xml:space="preserve"> hereof, any Funded Indebtedness to be redeemed from the proceeds of the incurrence of Funded Indebtedness as provided for in </w:t>
      </w:r>
      <w:r>
        <w:rPr>
          <w:rFonts w:ascii="Times New Roman" w:cs="Times New Roman" w:eastAsia="Times New Roman" w:hAnsi="Times New Roman"/>
          <w:sz w:val="22"/>
          <w:szCs w:val="22"/>
          <w:b w:val="1"/>
          <w:bCs w:val="1"/>
          <w:color w:val="auto"/>
        </w:rPr>
        <w:t>Section 10.1(a)(iii)</w:t>
      </w:r>
      <w:r>
        <w:rPr>
          <w:rFonts w:ascii="Times New Roman" w:cs="Times New Roman" w:eastAsia="Times New Roman" w:hAnsi="Times New Roman"/>
          <w:sz w:val="22"/>
          <w:szCs w:val="22"/>
          <w:color w:val="auto"/>
        </w:rPr>
        <w:t xml:space="preserve"> hereof, which have not yet been so redeemed, shall not be included in the determination of Total</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Capitalization. Such Total Capitalization shall be exclusive of accumulated Other Comprehensive Income (within the meaning of GAAP).</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“Total Shareholders’ Equity” </w:t>
      </w:r>
      <w:r>
        <w:rPr>
          <w:rFonts w:ascii="Times New Roman" w:cs="Times New Roman" w:eastAsia="Times New Roman" w:hAnsi="Times New Roman"/>
          <w:sz w:val="22"/>
          <w:szCs w:val="22"/>
          <w:color w:val="auto"/>
        </w:rPr>
        <w:t>means, as of any date of determination, the aggregate amount for total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preference stock and Preferred Stock as presented in accordance with GAAP on a consolidated balance sheet of the Company as of such date.</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“Unitil” </w:t>
      </w:r>
      <w:r>
        <w:rPr>
          <w:rFonts w:ascii="Times New Roman" w:cs="Times New Roman" w:eastAsia="Times New Roman" w:hAnsi="Times New Roman"/>
          <w:sz w:val="22"/>
          <w:szCs w:val="22"/>
          <w:color w:val="auto"/>
        </w:rPr>
        <w:t>means Unitil Corporation, a New Hampshire corporation.</w:t>
      </w:r>
    </w:p>
    <w:p>
      <w:pPr>
        <w:spacing w:after="0" w:line="216"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“USA Patriot Act” </w:t>
      </w:r>
      <w:r>
        <w:rPr>
          <w:rFonts w:ascii="Times New Roman" w:cs="Times New Roman" w:eastAsia="Times New Roman" w:hAnsi="Times New Roman"/>
          <w:sz w:val="22"/>
          <w:szCs w:val="22"/>
          <w:color w:val="auto"/>
        </w:rPr>
        <w:t>means United States Public Law 107</w:t>
      </w:r>
      <w:r>
        <w:rPr>
          <w:rFonts w:ascii="MS PGothic" w:cs="MS PGothic" w:eastAsia="MS PGothic" w:hAnsi="MS PGothic"/>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56, Uniting and Strengthening America by Providing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Appropriate Tools Required to Intercept and Obstruct Terrorism (USA PATRIOT ACT) Act of 2001, as amended from time to time, and the rules and regulations promulgated thereunder from time to time in effect.</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“U.S. Economic Sanctions Laws” </w:t>
      </w:r>
      <w:r>
        <w:rPr>
          <w:rFonts w:ascii="Times New Roman" w:cs="Times New Roman" w:eastAsia="Times New Roman" w:hAnsi="Times New Roman"/>
          <w:sz w:val="22"/>
          <w:szCs w:val="22"/>
          <w:color w:val="auto"/>
        </w:rPr>
        <w:t>means those laws, executive orders, enabling legislation or regulations administered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“United States Person” </w:t>
      </w:r>
      <w:r>
        <w:rPr>
          <w:rFonts w:ascii="Times New Roman" w:cs="Times New Roman" w:eastAsia="Times New Roman" w:hAnsi="Times New Roman"/>
          <w:sz w:val="22"/>
          <w:szCs w:val="22"/>
          <w:color w:val="auto"/>
        </w:rPr>
        <w:t>has the meaning set forth in Section 7701(a)(30) of the Code.</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“Wholly-Owned Subsidiary” </w:t>
      </w:r>
      <w:r>
        <w:rPr>
          <w:rFonts w:ascii="Times New Roman" w:cs="Times New Roman" w:eastAsia="Times New Roman" w:hAnsi="Times New Roman"/>
          <w:sz w:val="22"/>
          <w:szCs w:val="22"/>
          <w:color w:val="auto"/>
        </w:rPr>
        <w:t>means, at any time, any Subsidiary one hundred percent of all of the equity interests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directors’ qualifying shares) and voting interests of which are owned by any one or more of the Company and the Company’s other Wholly-Owned Subsidiaries at such time.</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xisting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ndebtedness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Existing Indebtedness (as of December 31, 2025)</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ind w:left="320"/>
              <w:spacing w:after="0" w:line="228"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of</w:t>
            </w: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4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and</w:t>
            </w:r>
          </w:p>
        </w:tc>
        <w:tc>
          <w:tcPr>
            <w:tcW w:w="1480" w:type="dxa"/>
            <w:vAlign w:val="bottom"/>
            <w:tcBorders>
              <w:right w:val="single" w:sz="8" w:color="auto"/>
            </w:tcBorders>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alance</w:t>
            </w:r>
          </w:p>
        </w:tc>
        <w:tc>
          <w:tcPr>
            <w:tcW w:w="2060" w:type="dxa"/>
            <w:vAlign w:val="bottom"/>
            <w:tcBorders>
              <w:right w:val="single" w:sz="8" w:color="auto"/>
            </w:tcBorders>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ecurity or other</w:t>
            </w:r>
          </w:p>
        </w:tc>
      </w:tr>
      <w:tr>
        <w:trPr>
          <w:trHeight w:val="291"/>
        </w:trPr>
        <w:tc>
          <w:tcPr>
            <w:tcW w:w="3360" w:type="dxa"/>
            <w:vAlign w:val="bottom"/>
            <w:tcBorders>
              <w:left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orrower</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bligor</w:t>
            </w:r>
          </w:p>
        </w:tc>
        <w:tc>
          <w:tcPr>
            <w:tcW w:w="24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ender</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reditor</w:t>
            </w:r>
          </w:p>
        </w:tc>
        <w:tc>
          <w:tcPr>
            <w:tcW w:w="19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aturity</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(USD)</w:t>
            </w:r>
          </w:p>
        </w:tc>
        <w:tc>
          <w:tcPr>
            <w:tcW w:w="20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upport</w:t>
            </w:r>
          </w:p>
        </w:tc>
      </w:tr>
      <w:tr>
        <w:trPr>
          <w:trHeight w:val="166"/>
        </w:trPr>
        <w:tc>
          <w:tcPr>
            <w:tcW w:w="3360" w:type="dxa"/>
            <w:vAlign w:val="bottom"/>
            <w:tcBorders>
              <w:left w:val="single" w:sz="8" w:color="auto"/>
              <w:right w:val="single" w:sz="8" w:color="auto"/>
            </w:tcBorders>
          </w:tcPr>
          <w:p>
            <w:pPr>
              <w:ind w:left="120"/>
              <w:spacing w:after="0" w:line="166"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3.52% Senior Notes,</w:t>
            </w:r>
          </w:p>
        </w:tc>
        <w:tc>
          <w:tcPr>
            <w:tcW w:w="148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$10,000,000</w:t>
            </w:r>
          </w:p>
        </w:tc>
        <w:tc>
          <w:tcPr>
            <w:tcW w:w="206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Due November 1,</w:t>
            </w:r>
          </w:p>
        </w:tc>
        <w:tc>
          <w:tcPr>
            <w:tcW w:w="14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2027</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7.37%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$4,800,000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Due January 15, 2029</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5.90%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$15,000,000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Due December 15,</w:t>
            </w:r>
          </w:p>
        </w:tc>
        <w:tc>
          <w:tcPr>
            <w:tcW w:w="14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2030</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7.98%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$14,000,000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Due June 1, 2031</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5.70%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$12,000,000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Due July 2, 2033</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5.54%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$12,500,000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Due August 21, 2034</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3.78%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$27,500,000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Due September 15,</w:t>
            </w:r>
          </w:p>
        </w:tc>
        <w:tc>
          <w:tcPr>
            <w:tcW w:w="14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4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2040</w:t>
            </w:r>
          </w:p>
        </w:tc>
        <w:tc>
          <w:tcPr>
            <w:tcW w:w="14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5.99%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$12,500,000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3360" w:type="dxa"/>
            <w:vAlign w:val="bottom"/>
            <w:tcBorders>
              <w:left w:val="single" w:sz="8" w:color="auto"/>
              <w:right w:val="single" w:sz="8" w:color="auto"/>
            </w:tcBorders>
          </w:tcPr>
          <w:p>
            <w:pPr>
              <w:spacing w:after="0"/>
              <w:rPr>
                <w:sz w:val="21"/>
                <w:szCs w:val="21"/>
                <w:color w:val="auto"/>
              </w:rPr>
            </w:pPr>
          </w:p>
        </w:tc>
        <w:tc>
          <w:tcPr>
            <w:tcW w:w="2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August 21, 2044</w:t>
            </w:r>
          </w:p>
        </w:tc>
        <w:tc>
          <w:tcPr>
            <w:tcW w:w="148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r>
      <w:tr>
        <w:trPr>
          <w:trHeight w:val="619"/>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183"/>
        </w:trPr>
        <w:tc>
          <w:tcPr>
            <w:tcW w:w="336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194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4.32% Senior Notes,</w:t>
            </w:r>
          </w:p>
        </w:tc>
        <w:tc>
          <w:tcPr>
            <w:tcW w:w="1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$15,000,000</w:t>
            </w:r>
          </w:p>
        </w:tc>
        <w:tc>
          <w:tcPr>
            <w:tcW w:w="20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investors</w:t>
            </w:r>
          </w:p>
        </w:tc>
        <w:tc>
          <w:tcPr>
            <w:tcW w:w="194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Due November 1,</w:t>
            </w:r>
          </w:p>
        </w:tc>
        <w:tc>
          <w:tcPr>
            <w:tcW w:w="14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44"/>
        </w:trPr>
        <w:tc>
          <w:tcPr>
            <w:tcW w:w="3360" w:type="dxa"/>
            <w:vAlign w:val="bottom"/>
            <w:tcBorders>
              <w:left w:val="single" w:sz="8" w:color="auto"/>
              <w:right w:val="single" w:sz="8" w:color="auto"/>
            </w:tcBorders>
          </w:tcPr>
          <w:p>
            <w:pPr>
              <w:spacing w:after="0"/>
              <w:rPr>
                <w:sz w:val="21"/>
                <w:szCs w:val="21"/>
                <w:color w:val="auto"/>
              </w:rPr>
            </w:pPr>
          </w:p>
        </w:tc>
        <w:tc>
          <w:tcPr>
            <w:tcW w:w="24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2047</w:t>
            </w:r>
          </w:p>
        </w:tc>
        <w:tc>
          <w:tcPr>
            <w:tcW w:w="148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r>
      <w:tr>
        <w:trPr>
          <w:trHeight w:val="403"/>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5.15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228"/>
        </w:trPr>
        <w:tc>
          <w:tcPr>
            <w:tcW w:w="3340" w:type="dxa"/>
            <w:vAlign w:val="bottom"/>
            <w:tcBorders>
              <w:top w:val="single" w:sz="8" w:color="auto"/>
              <w:left w:val="single" w:sz="8" w:color="auto"/>
              <w:right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of</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2020" w:type="dxa"/>
            <w:vAlign w:val="bottom"/>
          </w:tcPr>
          <w:p>
            <w:pPr>
              <w:jc w:val="right"/>
              <w:ind w:right="79"/>
              <w:spacing w:after="0" w:line="243"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and</w:t>
            </w:r>
          </w:p>
        </w:tc>
        <w:tc>
          <w:tcPr>
            <w:tcW w:w="1440" w:type="dxa"/>
            <w:vAlign w:val="bottom"/>
          </w:tcPr>
          <w:p>
            <w:pPr>
              <w:jc w:val="center"/>
              <w:ind w:left="117"/>
              <w:spacing w:after="0" w:line="243" w:lineRule="exact"/>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alance</w:t>
            </w:r>
          </w:p>
        </w:tc>
        <w:tc>
          <w:tcPr>
            <w:tcW w:w="2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ecurity or other</w:t>
            </w:r>
          </w:p>
        </w:tc>
      </w:tr>
      <w:tr>
        <w:trPr>
          <w:trHeight w:val="291"/>
        </w:trPr>
        <w:tc>
          <w:tcPr>
            <w:tcW w:w="3340" w:type="dxa"/>
            <w:vAlign w:val="bottom"/>
            <w:tcBorders>
              <w:left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orrower</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bligor</w:t>
            </w:r>
          </w:p>
        </w:tc>
        <w:tc>
          <w:tcPr>
            <w:tcW w:w="2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ender</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reditor</w:t>
            </w:r>
          </w:p>
        </w:tc>
        <w:tc>
          <w:tcPr>
            <w:tcW w:w="2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aturity</w:t>
            </w:r>
          </w:p>
        </w:tc>
        <w:tc>
          <w:tcPr>
            <w:tcW w:w="144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22"/>
                <w:szCs w:val="22"/>
                <w:b w:val="1"/>
                <w:bCs w:val="1"/>
                <w:color w:val="auto"/>
                <w:w w:val="98"/>
              </w:rPr>
              <w:t>(USD)</w:t>
            </w:r>
          </w:p>
        </w:tc>
        <w:tc>
          <w:tcPr>
            <w:tcW w:w="22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upport</w:t>
            </w:r>
          </w:p>
        </w:tc>
      </w:tr>
      <w:tr>
        <w:trPr>
          <w:trHeight w:val="166"/>
        </w:trPr>
        <w:tc>
          <w:tcPr>
            <w:tcW w:w="3340" w:type="dxa"/>
            <w:vAlign w:val="bottom"/>
          </w:tcPr>
          <w:p>
            <w:pPr>
              <w:ind w:left="120"/>
              <w:spacing w:after="0" w:line="166"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240" w:type="dxa"/>
            <w:vAlign w:val="bottom"/>
          </w:tcPr>
          <w:p>
            <w:pPr>
              <w:ind w:left="100"/>
              <w:spacing w:after="0" w:line="166"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Pr>
          <w:p>
            <w:pPr>
              <w:jc w:val="right"/>
              <w:ind w:right="99"/>
              <w:spacing w:after="0" w:line="166" w:lineRule="exact"/>
              <w:rPr>
                <w:sz w:val="20"/>
                <w:szCs w:val="20"/>
                <w:color w:val="auto"/>
              </w:rPr>
            </w:pPr>
            <w:r>
              <w:rPr>
                <w:rFonts w:ascii="Times New Roman" w:cs="Times New Roman" w:eastAsia="Times New Roman" w:hAnsi="Times New Roman"/>
                <w:sz w:val="19"/>
                <w:szCs w:val="19"/>
                <w:color w:val="auto"/>
              </w:rPr>
              <w:t>5.96% Senior Notes,</w:t>
            </w:r>
          </w:p>
        </w:tc>
        <w:tc>
          <w:tcPr>
            <w:tcW w:w="1440" w:type="dxa"/>
            <w:vAlign w:val="bottom"/>
          </w:tcPr>
          <w:p>
            <w:pPr>
              <w:jc w:val="right"/>
              <w:ind w:right="197"/>
              <w:spacing w:after="0" w:line="166" w:lineRule="exact"/>
              <w:rPr>
                <w:sz w:val="20"/>
                <w:szCs w:val="20"/>
                <w:color w:val="auto"/>
              </w:rPr>
            </w:pPr>
            <w:r>
              <w:rPr>
                <w:rFonts w:ascii="Times New Roman" w:cs="Times New Roman" w:eastAsia="Times New Roman" w:hAnsi="Times New Roman"/>
                <w:sz w:val="19"/>
                <w:szCs w:val="19"/>
                <w:color w:val="auto"/>
              </w:rPr>
              <w:t>$13,000,000</w:t>
            </w:r>
          </w:p>
        </w:tc>
        <w:tc>
          <w:tcPr>
            <w:tcW w:w="2200" w:type="dxa"/>
            <w:vAlign w:val="bottom"/>
          </w:tcPr>
          <w:p>
            <w:pPr>
              <w:ind w:left="240"/>
              <w:spacing w:after="0" w:line="166"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3340" w:type="dxa"/>
            <w:vAlign w:val="bottom"/>
          </w:tcPr>
          <w:p>
            <w:pPr>
              <w:spacing w:after="0"/>
              <w:rPr>
                <w:sz w:val="21"/>
                <w:szCs w:val="21"/>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Pr>
          <w:p>
            <w:pPr>
              <w:jc w:val="right"/>
              <w:ind w:right="359"/>
              <w:spacing w:after="0"/>
              <w:rPr>
                <w:sz w:val="20"/>
                <w:szCs w:val="20"/>
                <w:color w:val="auto"/>
              </w:rPr>
            </w:pPr>
            <w:r>
              <w:rPr>
                <w:rFonts w:ascii="Times New Roman" w:cs="Times New Roman" w:eastAsia="Times New Roman" w:hAnsi="Times New Roman"/>
                <w:sz w:val="19"/>
                <w:szCs w:val="19"/>
                <w:color w:val="auto"/>
              </w:rPr>
              <w:t>Due July 2, 2053</w:t>
            </w:r>
          </w:p>
        </w:tc>
        <w:tc>
          <w:tcPr>
            <w:tcW w:w="144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2005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tcBorders>
          </w:tcPr>
          <w:p>
            <w:pPr>
              <w:ind w:left="120"/>
              <w:spacing w:after="0" w:line="204" w:lineRule="exact"/>
              <w:rPr>
                <w:sz w:val="20"/>
                <w:szCs w:val="20"/>
                <w:color w:val="auto"/>
              </w:rPr>
            </w:pPr>
            <w:r>
              <w:rPr>
                <w:rFonts w:ascii="Times New Roman" w:cs="Times New Roman" w:eastAsia="Times New Roman" w:hAnsi="Times New Roman"/>
                <w:sz w:val="19"/>
                <w:szCs w:val="19"/>
                <w:color w:val="auto"/>
              </w:rPr>
              <w:t>Fitchburg Gas and Electric Light Co.</w:t>
            </w:r>
          </w:p>
        </w:tc>
        <w:tc>
          <w:tcPr>
            <w:tcW w:w="2340" w:type="dxa"/>
            <w:vAlign w:val="bottom"/>
            <w:tcBorders>
              <w:top w:val="single" w:sz="8" w:color="auto"/>
            </w:tcBorders>
          </w:tcPr>
          <w:p>
            <w:pPr>
              <w:ind w:left="260"/>
              <w:spacing w:after="0" w:line="204" w:lineRule="exact"/>
              <w:rPr>
                <w:sz w:val="20"/>
                <w:szCs w:val="20"/>
                <w:color w:val="auto"/>
              </w:rPr>
            </w:pPr>
            <w:r>
              <w:rPr>
                <w:rFonts w:ascii="Times New Roman" w:cs="Times New Roman" w:eastAsia="Times New Roman" w:hAnsi="Times New Roman"/>
                <w:sz w:val="19"/>
                <w:szCs w:val="19"/>
                <w:color w:val="auto"/>
              </w:rPr>
              <w:t>Unitil and certain of its</w:t>
            </w:r>
          </w:p>
        </w:tc>
        <w:tc>
          <w:tcPr>
            <w:tcW w:w="2120" w:type="dxa"/>
            <w:vAlign w:val="bottom"/>
            <w:tcBorders>
              <w:top w:val="single" w:sz="8" w:color="auto"/>
            </w:tcBorders>
          </w:tcPr>
          <w:p>
            <w:pPr>
              <w:ind w:left="320"/>
              <w:spacing w:after="0" w:line="204" w:lineRule="exact"/>
              <w:rPr>
                <w:sz w:val="20"/>
                <w:szCs w:val="20"/>
                <w:color w:val="auto"/>
              </w:rPr>
            </w:pPr>
            <w:r>
              <w:rPr>
                <w:rFonts w:ascii="Times New Roman" w:cs="Times New Roman" w:eastAsia="Times New Roman" w:hAnsi="Times New Roman"/>
                <w:sz w:val="19"/>
                <w:szCs w:val="19"/>
                <w:color w:val="auto"/>
              </w:rPr>
              <w:t>Cash Pooling and</w:t>
            </w:r>
          </w:p>
        </w:tc>
        <w:tc>
          <w:tcPr>
            <w:tcW w:w="1360" w:type="dxa"/>
            <w:vAlign w:val="bottom"/>
            <w:tcBorders>
              <w:top w:val="single" w:sz="8" w:color="auto"/>
            </w:tcBorders>
          </w:tcPr>
          <w:p>
            <w:pPr>
              <w:jc w:val="right"/>
              <w:ind w:right="166"/>
              <w:spacing w:after="0" w:line="204" w:lineRule="exact"/>
              <w:rPr>
                <w:sz w:val="20"/>
                <w:szCs w:val="20"/>
                <w:color w:val="auto"/>
              </w:rPr>
            </w:pPr>
            <w:r>
              <w:rPr>
                <w:rFonts w:ascii="Times New Roman" w:cs="Times New Roman" w:eastAsia="Times New Roman" w:hAnsi="Times New Roman"/>
                <w:sz w:val="19"/>
                <w:szCs w:val="19"/>
                <w:color w:val="auto"/>
              </w:rPr>
              <w:t>$63,675,766</w:t>
            </w:r>
          </w:p>
        </w:tc>
        <w:tc>
          <w:tcPr>
            <w:tcW w:w="2240" w:type="dxa"/>
            <w:vAlign w:val="bottom"/>
            <w:tcBorders>
              <w:top w:val="single" w:sz="8" w:color="auto"/>
            </w:tcBorders>
          </w:tcPr>
          <w:p>
            <w:pPr>
              <w:ind w:left="280"/>
              <w:spacing w:after="0" w:line="204"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3180" w:type="dxa"/>
            <w:vAlign w:val="bottom"/>
          </w:tcPr>
          <w:p>
            <w:pPr>
              <w:spacing w:after="0"/>
              <w:rPr>
                <w:sz w:val="18"/>
                <w:szCs w:val="18"/>
                <w:color w:val="auto"/>
              </w:rPr>
            </w:pPr>
          </w:p>
        </w:tc>
        <w:tc>
          <w:tcPr>
            <w:tcW w:w="234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subsidiaries</w:t>
            </w:r>
          </w:p>
        </w:tc>
        <w:tc>
          <w:tcPr>
            <w:tcW w:w="212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Loan Agreement, as</w:t>
            </w: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2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amended and restated</w:t>
            </w: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44"/>
        </w:trPr>
        <w:tc>
          <w:tcPr>
            <w:tcW w:w="3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1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to date</w:t>
            </w:r>
          </w:p>
        </w:tc>
        <w:tc>
          <w:tcPr>
            <w:tcW w:w="136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or otherwise subject to provisions contained in, instruments evidencing the Indebtedness of the Company set forth on this Schedule 5.15 and/or the Funded Indebtedness of the Company set forth on Schedule 10.1 and agreements and other documents relating thereto that limit the amount of, or otherwise impose restrictions on the incurring of, Funded Indebtedness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0" w:name="page71"/>
    <w:bookmarkEnd w:id="70"/>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xisting</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unded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ndebtedness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Existing Funded Indebtedness (as of December 31, 2025)</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485"/>
        </w:trPr>
        <w:tc>
          <w:tcPr>
            <w:tcW w:w="2840" w:type="dxa"/>
            <w:vAlign w:val="bottom"/>
            <w:tcBorders>
              <w:top w:val="single" w:sz="8" w:color="auto"/>
              <w:left w:val="single" w:sz="8" w:color="auto"/>
              <w:right w:val="single" w:sz="8" w:color="auto"/>
            </w:tcBorders>
          </w:tcPr>
          <w:p>
            <w:pPr>
              <w:spacing w:after="0"/>
              <w:rPr>
                <w:sz w:val="24"/>
                <w:szCs w:val="24"/>
                <w:color w:val="auto"/>
              </w:rPr>
            </w:pPr>
          </w:p>
        </w:tc>
        <w:tc>
          <w:tcPr>
            <w:tcW w:w="248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of</w:t>
            </w:r>
          </w:p>
        </w:tc>
      </w:tr>
      <w:tr>
        <w:trPr>
          <w:trHeight w:val="243"/>
        </w:trPr>
        <w:tc>
          <w:tcPr>
            <w:tcW w:w="28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ecurity or</w:t>
            </w:r>
          </w:p>
        </w:tc>
      </w:tr>
      <w:tr>
        <w:trPr>
          <w:trHeight w:val="243"/>
        </w:trPr>
        <w:tc>
          <w:tcPr>
            <w:tcW w:w="28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and</w:t>
            </w:r>
          </w:p>
        </w:tc>
        <w:tc>
          <w:tcPr>
            <w:tcW w:w="210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alance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redit</w:t>
            </w:r>
          </w:p>
        </w:tc>
      </w:tr>
      <w:tr>
        <w:trPr>
          <w:trHeight w:val="291"/>
        </w:trPr>
        <w:tc>
          <w:tcPr>
            <w:tcW w:w="28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orrower</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bligor</w:t>
            </w:r>
          </w:p>
        </w:tc>
        <w:tc>
          <w:tcPr>
            <w:tcW w:w="2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ender</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reditor</w:t>
            </w:r>
          </w:p>
        </w:tc>
        <w:tc>
          <w:tcPr>
            <w:tcW w:w="20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aturity</w:t>
            </w:r>
          </w:p>
        </w:tc>
        <w:tc>
          <w:tcPr>
            <w:tcW w:w="210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2"/>
                <w:szCs w:val="22"/>
                <w:b w:val="1"/>
                <w:bCs w:val="1"/>
                <w:color w:val="auto"/>
              </w:rPr>
              <w:t>(USD)</w:t>
            </w:r>
          </w:p>
        </w:tc>
        <w:tc>
          <w:tcPr>
            <w:tcW w:w="18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upport</w:t>
            </w:r>
          </w:p>
        </w:tc>
      </w:tr>
      <w:tr>
        <w:trPr>
          <w:trHeight w:val="166"/>
        </w:trPr>
        <w:tc>
          <w:tcPr>
            <w:tcW w:w="2840" w:type="dxa"/>
            <w:vAlign w:val="bottom"/>
            <w:tcBorders>
              <w:left w:val="single" w:sz="8" w:color="auto"/>
              <w:right w:val="single" w:sz="8" w:color="auto"/>
            </w:tcBorders>
          </w:tcPr>
          <w:p>
            <w:pPr>
              <w:ind w:left="120"/>
              <w:spacing w:after="0" w:line="166"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9"/>
                <w:szCs w:val="19"/>
                <w:color w:val="auto"/>
              </w:rPr>
              <w:t>3.52% Senior Notes,</w:t>
            </w:r>
          </w:p>
        </w:tc>
        <w:tc>
          <w:tcPr>
            <w:tcW w:w="210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$10,000,000</w:t>
            </w:r>
          </w:p>
        </w:tc>
        <w:tc>
          <w:tcPr>
            <w:tcW w:w="180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November 1, 2027</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308"/>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7.37%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$4,800,000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January 15, 2029</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308"/>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5.90%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$15,000,000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2840" w:type="dxa"/>
            <w:vAlign w:val="bottom"/>
            <w:tcBorders>
              <w:left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9"/>
                <w:szCs w:val="19"/>
                <w:color w:val="auto"/>
              </w:rPr>
              <w:t>Due December 15,</w:t>
            </w:r>
          </w:p>
        </w:tc>
        <w:tc>
          <w:tcPr>
            <w:tcW w:w="21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44"/>
        </w:trPr>
        <w:tc>
          <w:tcPr>
            <w:tcW w:w="28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2030</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295"/>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7.98%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$14,000,000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June 1, 2031</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51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5.70%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$12,000,000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July 2, 2033</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619"/>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5.54%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$12,500,000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August 21, 2034</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430"/>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3.78%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$27,500,000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16"/>
        </w:trPr>
        <w:tc>
          <w:tcPr>
            <w:tcW w:w="2840" w:type="dxa"/>
            <w:vAlign w:val="bottom"/>
            <w:tcBorders>
              <w:left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9"/>
                <w:szCs w:val="19"/>
                <w:color w:val="auto"/>
              </w:rPr>
              <w:t>Due September 15,</w:t>
            </w:r>
          </w:p>
        </w:tc>
        <w:tc>
          <w:tcPr>
            <w:tcW w:w="21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44"/>
        </w:trPr>
        <w:tc>
          <w:tcPr>
            <w:tcW w:w="28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2040</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403"/>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5.99% Senior Notes,</w:t>
            </w:r>
          </w:p>
        </w:tc>
        <w:tc>
          <w:tcPr>
            <w:tcW w:w="2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$12,500,000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August 21, 2044</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619"/>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10.1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485"/>
        </w:trPr>
        <w:tc>
          <w:tcPr>
            <w:tcW w:w="2840" w:type="dxa"/>
            <w:vAlign w:val="bottom"/>
            <w:tcBorders>
              <w:top w:val="single" w:sz="8" w:color="auto"/>
              <w:left w:val="single" w:sz="8" w:color="auto"/>
              <w:right w:val="single" w:sz="8" w:color="auto"/>
            </w:tcBorders>
          </w:tcPr>
          <w:p>
            <w:pPr>
              <w:spacing w:after="0"/>
              <w:rPr>
                <w:sz w:val="24"/>
                <w:szCs w:val="24"/>
                <w:color w:val="auto"/>
              </w:rPr>
            </w:pPr>
          </w:p>
        </w:tc>
        <w:tc>
          <w:tcPr>
            <w:tcW w:w="248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of</w:t>
            </w:r>
          </w:p>
        </w:tc>
      </w:tr>
      <w:tr>
        <w:trPr>
          <w:trHeight w:val="243"/>
        </w:trPr>
        <w:tc>
          <w:tcPr>
            <w:tcW w:w="28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ecurity or</w:t>
            </w:r>
          </w:p>
        </w:tc>
      </w:tr>
      <w:tr>
        <w:trPr>
          <w:trHeight w:val="243"/>
        </w:trPr>
        <w:tc>
          <w:tcPr>
            <w:tcW w:w="28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escription and</w:t>
            </w:r>
          </w:p>
        </w:tc>
        <w:tc>
          <w:tcPr>
            <w:tcW w:w="2100" w:type="dxa"/>
            <w:vAlign w:val="bottom"/>
            <w:tcBorders>
              <w:right w:val="single" w:sz="8" w:color="auto"/>
            </w:tcBorders>
          </w:tcPr>
          <w:p>
            <w:pPr>
              <w:jc w:val="right"/>
              <w:ind w:right="579"/>
              <w:spacing w:after="0" w:line="243" w:lineRule="exact"/>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alance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redit</w:t>
            </w:r>
          </w:p>
        </w:tc>
      </w:tr>
      <w:tr>
        <w:trPr>
          <w:trHeight w:val="291"/>
        </w:trPr>
        <w:tc>
          <w:tcPr>
            <w:tcW w:w="28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orrower</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bligor</w:t>
            </w:r>
          </w:p>
        </w:tc>
        <w:tc>
          <w:tcPr>
            <w:tcW w:w="2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ender</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reditor</w:t>
            </w:r>
          </w:p>
        </w:tc>
        <w:tc>
          <w:tcPr>
            <w:tcW w:w="20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aturity</w:t>
            </w:r>
          </w:p>
        </w:tc>
        <w:tc>
          <w:tcPr>
            <w:tcW w:w="2100" w:type="dxa"/>
            <w:vAlign w:val="bottom"/>
            <w:tcBorders>
              <w:bottom w:val="single" w:sz="8" w:color="auto"/>
              <w:right w:val="single" w:sz="8" w:color="auto"/>
            </w:tcBorders>
          </w:tcPr>
          <w:p>
            <w:pPr>
              <w:jc w:val="right"/>
              <w:ind w:right="679"/>
              <w:spacing w:after="0"/>
              <w:rPr>
                <w:sz w:val="20"/>
                <w:szCs w:val="20"/>
                <w:color w:val="auto"/>
              </w:rPr>
            </w:pPr>
            <w:r>
              <w:rPr>
                <w:rFonts w:ascii="Times New Roman" w:cs="Times New Roman" w:eastAsia="Times New Roman" w:hAnsi="Times New Roman"/>
                <w:sz w:val="22"/>
                <w:szCs w:val="22"/>
                <w:b w:val="1"/>
                <w:bCs w:val="1"/>
                <w:color w:val="auto"/>
              </w:rPr>
              <w:t>(USD)</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upport</w:t>
            </w:r>
          </w:p>
        </w:tc>
      </w:tr>
      <w:tr>
        <w:trPr>
          <w:trHeight w:val="166"/>
        </w:trPr>
        <w:tc>
          <w:tcPr>
            <w:tcW w:w="2840" w:type="dxa"/>
            <w:vAlign w:val="bottom"/>
            <w:tcBorders>
              <w:left w:val="single" w:sz="8" w:color="auto"/>
              <w:right w:val="single" w:sz="8" w:color="auto"/>
            </w:tcBorders>
          </w:tcPr>
          <w:p>
            <w:pPr>
              <w:ind w:left="120"/>
              <w:spacing w:after="0" w:line="166"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9"/>
                <w:szCs w:val="19"/>
                <w:color w:val="auto"/>
              </w:rPr>
              <w:t>4.32% Senior Notes,</w:t>
            </w:r>
          </w:p>
        </w:tc>
        <w:tc>
          <w:tcPr>
            <w:tcW w:w="2100" w:type="dxa"/>
            <w:vAlign w:val="bottom"/>
            <w:tcBorders>
              <w:right w:val="single" w:sz="8" w:color="auto"/>
            </w:tcBorders>
          </w:tcPr>
          <w:p>
            <w:pPr>
              <w:jc w:val="right"/>
              <w:ind w:right="979"/>
              <w:spacing w:after="0" w:line="166" w:lineRule="exact"/>
              <w:rPr>
                <w:sz w:val="20"/>
                <w:szCs w:val="20"/>
                <w:color w:val="auto"/>
              </w:rPr>
            </w:pPr>
            <w:r>
              <w:rPr>
                <w:rFonts w:ascii="Times New Roman" w:cs="Times New Roman" w:eastAsia="Times New Roman" w:hAnsi="Times New Roman"/>
                <w:sz w:val="19"/>
                <w:szCs w:val="19"/>
                <w:color w:val="auto"/>
              </w:rPr>
              <w:t>$15,000,000</w:t>
            </w:r>
          </w:p>
        </w:tc>
        <w:tc>
          <w:tcPr>
            <w:tcW w:w="180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November 1, 2047</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619"/>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83"/>
        </w:trPr>
        <w:tc>
          <w:tcPr>
            <w:tcW w:w="28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Fitchburg Gas and Electric Light</w:t>
            </w:r>
          </w:p>
        </w:tc>
        <w:tc>
          <w:tcPr>
            <w:tcW w:w="24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Various institutional</w:t>
            </w:r>
          </w:p>
        </w:tc>
        <w:tc>
          <w:tcPr>
            <w:tcW w:w="202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9"/>
                <w:szCs w:val="19"/>
                <w:color w:val="auto"/>
              </w:rPr>
              <w:t>5.96% Senior Notes,</w:t>
            </w:r>
          </w:p>
        </w:tc>
        <w:tc>
          <w:tcPr>
            <w:tcW w:w="2100" w:type="dxa"/>
            <w:vAlign w:val="bottom"/>
            <w:tcBorders>
              <w:right w:val="single" w:sz="8" w:color="auto"/>
            </w:tcBorders>
          </w:tcPr>
          <w:p>
            <w:pPr>
              <w:jc w:val="right"/>
              <w:ind w:right="979"/>
              <w:spacing w:after="0" w:line="183" w:lineRule="exact"/>
              <w:rPr>
                <w:sz w:val="20"/>
                <w:szCs w:val="20"/>
                <w:color w:val="auto"/>
              </w:rPr>
            </w:pPr>
            <w:r>
              <w:rPr>
                <w:rFonts w:ascii="Times New Roman" w:cs="Times New Roman" w:eastAsia="Times New Roman" w:hAnsi="Times New Roman"/>
                <w:sz w:val="19"/>
                <w:szCs w:val="19"/>
                <w:color w:val="auto"/>
              </w:rPr>
              <w:t>$13,000,000</w:t>
            </w:r>
          </w:p>
        </w:tc>
        <w:tc>
          <w:tcPr>
            <w:tcW w:w="18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None</w:t>
            </w:r>
          </w:p>
        </w:tc>
      </w:tr>
      <w:tr>
        <w:trPr>
          <w:trHeight w:val="244"/>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Co.</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investors</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Due July 2, 2053</w:t>
            </w:r>
          </w:p>
        </w:tc>
        <w:tc>
          <w:tcPr>
            <w:tcW w:w="2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619"/>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2" w:name="page73"/>
    <w:bookmarkEnd w:id="72"/>
    <w:p>
      <w:pPr>
        <w:spacing w:after="0" w:line="2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xisting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iens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10.2</w:t>
      </w:r>
    </w:p>
    <w:p>
      <w:pPr>
        <w:spacing w:after="0" w:line="14"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2026A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itchburg</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as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lectric</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5.62%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2026A, </w:t>
      </w:r>
      <w:r>
        <w:rPr>
          <w:rFonts w:ascii="Times New Roman" w:cs="Times New Roman" w:eastAsia="Times New Roman" w:hAnsi="Times New Roman"/>
          <w:sz w:val="14"/>
          <w:szCs w:val="14"/>
          <w:b w:val="1"/>
          <w:bCs w:val="1"/>
          <w:color w:val="auto"/>
        </w:rPr>
        <w:t>due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30, 2036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RA-[___] April 30, 2026</w:t>
      </w:r>
    </w:p>
    <w:p>
      <w:pPr>
        <w:spacing w:after="0" w:line="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$[_______]</w:t>
      </w:r>
      <w:r>
        <w:rPr>
          <w:sz w:val="20"/>
          <w:szCs w:val="20"/>
          <w:color w:val="auto"/>
        </w:rPr>
        <w:tab/>
      </w:r>
      <w:r>
        <w:rPr>
          <w:rFonts w:ascii="Times New Roman" w:cs="Times New Roman" w:eastAsia="Times New Roman" w:hAnsi="Times New Roman"/>
          <w:sz w:val="21"/>
          <w:szCs w:val="21"/>
          <w:color w:val="auto"/>
        </w:rPr>
        <w:t xml:space="preserve">PPN </w:t>
      </w:r>
      <w:r>
        <w:rPr>
          <w:rFonts w:ascii="Times New Roman" w:cs="Times New Roman" w:eastAsia="Times New Roman" w:hAnsi="Times New Roman"/>
          <w:sz w:val="21"/>
          <w:szCs w:val="21"/>
          <w:color w:val="212121"/>
        </w:rPr>
        <w:t>338135 G@9</w:t>
      </w:r>
    </w:p>
    <w:p>
      <w:pPr>
        <w:spacing w:after="0" w:line="200" w:lineRule="exact"/>
        <w:rPr>
          <w:sz w:val="20"/>
          <w:szCs w:val="20"/>
          <w:color w:val="auto"/>
        </w:rPr>
      </w:pPr>
    </w:p>
    <w:p>
      <w:pPr>
        <w:spacing w:after="0" w:line="26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or</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eceived</w:t>
      </w:r>
      <w:r>
        <w:rPr>
          <w:rFonts w:ascii="Times New Roman" w:cs="Times New Roman" w:eastAsia="Times New Roman" w:hAnsi="Times New Roman"/>
          <w:sz w:val="22"/>
          <w:szCs w:val="22"/>
          <w:color w:val="auto"/>
        </w:rPr>
        <w:t xml:space="preserve">, the undersigned, Fitchburg Gas and Electric Light Company (herein called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 corporation organized and existing under the laws of the State of Massachusetts, hereby promises to pay to [____________], or</w:t>
      </w:r>
    </w:p>
    <w:p>
      <w:pPr>
        <w:spacing w:after="0" w:line="237" w:lineRule="auto"/>
        <w:rPr>
          <w:sz w:val="20"/>
          <w:szCs w:val="20"/>
          <w:color w:val="auto"/>
        </w:rPr>
      </w:pPr>
      <w:r>
        <w:rPr>
          <w:rFonts w:ascii="Times New Roman" w:cs="Times New Roman" w:eastAsia="Times New Roman" w:hAnsi="Times New Roman"/>
          <w:sz w:val="22"/>
          <w:szCs w:val="22"/>
          <w:color w:val="auto"/>
        </w:rPr>
        <w:t>registered assigns, the principal sum of [_____________________] Dollars (or so much thereof as shall not have been prepaid)</w:t>
      </w:r>
    </w:p>
    <w:p>
      <w:pPr>
        <w:jc w:val="both"/>
        <w:spacing w:after="0" w:line="247" w:lineRule="exact"/>
        <w:rPr>
          <w:sz w:val="20"/>
          <w:szCs w:val="20"/>
          <w:color w:val="auto"/>
        </w:rPr>
      </w:pPr>
      <w:r>
        <w:rPr>
          <w:rFonts w:ascii="Times New Roman" w:cs="Times New Roman" w:eastAsia="Times New Roman" w:hAnsi="Times New Roman"/>
          <w:sz w:val="22"/>
          <w:szCs w:val="22"/>
          <w:color w:val="auto"/>
        </w:rPr>
        <w:t xml:space="preserve">on April 30, 2036 (the </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with interest (computed on the basis of a 360-day year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 on the unpaid balance hereof at the rate of 5.62% per annum from the date hereof, payable semiannually, on the 30th day of April and October in each year, commencing with October 30, 2026 and thereafter the April or October 30 next succeeding the date hereof, and on the Maturity Date, until the principal hereof shall have become due and payable, and (b) without duplication with clause (a) above, to the extent permitted by law, on any overdue payment of interest and,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at a rate per annum from time to time equal to the greater of (i) 7.62% or (ii) 2% over the rate of interest publicly announced by Bank of America, N.A. from time to time in Charlotte, North Carolina as its “base” or “prime” rate, payable semiannually as aforesaid (or, at the option of the registered holder hereof, on demand).</w:t>
      </w:r>
    </w:p>
    <w:p>
      <w:pPr>
        <w:spacing w:after="0" w:line="20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Payments of principal of, interest on and any Make-Whole Amount with respect to this Note are to be made in lawful money of the United States of America at the principal office of the Company in Hampton, New Hampshire, at such other place as the Company shall have designated by written notice to the holder of this Note as provided in the Note Purchase Agreement referred to below, or as otherwise provided in the Note Purchase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4" w:name="page75"/>
    <w:bookmarkEnd w:id="74"/>
    <w:p>
      <w:pPr>
        <w:spacing w:after="0" w:line="22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This Note is one of a series of Senior Notes (herein called the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xml:space="preserve">) issued pursuant to, and subject to, the Note Purchase Agreement, dated as of April 30, 2026 (as from time to time amended, the </w:t>
      </w:r>
      <w:r>
        <w:rPr>
          <w:rFonts w:ascii="Times New Roman" w:cs="Times New Roman" w:eastAsia="Times New Roman" w:hAnsi="Times New Roman"/>
          <w:sz w:val="21"/>
          <w:szCs w:val="21"/>
          <w:i w:val="1"/>
          <w:iCs w:val="1"/>
          <w:color w:val="auto"/>
        </w:rPr>
        <w:t>“Note Purchase Agreement”</w:t>
      </w:r>
      <w:r>
        <w:rPr>
          <w:rFonts w:ascii="Times New Roman" w:cs="Times New Roman" w:eastAsia="Times New Roman" w:hAnsi="Times New Roman"/>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19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99"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2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itchburg</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as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2026B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itchburg</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as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lectric</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5.87%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2026B, </w:t>
      </w:r>
      <w:r>
        <w:rPr>
          <w:rFonts w:ascii="Times New Roman" w:cs="Times New Roman" w:eastAsia="Times New Roman" w:hAnsi="Times New Roman"/>
          <w:sz w:val="14"/>
          <w:szCs w:val="14"/>
          <w:b w:val="1"/>
          <w:bCs w:val="1"/>
          <w:color w:val="auto"/>
        </w:rPr>
        <w:t>due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30, 2041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RB-[___] April 30, 2026</w:t>
      </w:r>
    </w:p>
    <w:p>
      <w:pPr>
        <w:spacing w:after="0" w:line="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$[_______]</w:t>
      </w:r>
      <w:r>
        <w:rPr>
          <w:sz w:val="20"/>
          <w:szCs w:val="20"/>
          <w:color w:val="auto"/>
        </w:rPr>
        <w:tab/>
      </w:r>
      <w:r>
        <w:rPr>
          <w:rFonts w:ascii="Times New Roman" w:cs="Times New Roman" w:eastAsia="Times New Roman" w:hAnsi="Times New Roman"/>
          <w:sz w:val="21"/>
          <w:szCs w:val="21"/>
          <w:color w:val="auto"/>
        </w:rPr>
        <w:t xml:space="preserve">PPN </w:t>
      </w:r>
      <w:r>
        <w:rPr>
          <w:rFonts w:ascii="Times New Roman" w:cs="Times New Roman" w:eastAsia="Times New Roman" w:hAnsi="Times New Roman"/>
          <w:sz w:val="21"/>
          <w:szCs w:val="21"/>
          <w:color w:val="212121"/>
        </w:rPr>
        <w:t>338135 G#7</w:t>
      </w:r>
    </w:p>
    <w:p>
      <w:pPr>
        <w:spacing w:after="0" w:line="200" w:lineRule="exact"/>
        <w:rPr>
          <w:sz w:val="20"/>
          <w:szCs w:val="20"/>
          <w:color w:val="auto"/>
        </w:rPr>
      </w:pPr>
    </w:p>
    <w:p>
      <w:pPr>
        <w:spacing w:after="0" w:line="26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or</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eceived</w:t>
      </w:r>
      <w:r>
        <w:rPr>
          <w:rFonts w:ascii="Times New Roman" w:cs="Times New Roman" w:eastAsia="Times New Roman" w:hAnsi="Times New Roman"/>
          <w:sz w:val="22"/>
          <w:szCs w:val="22"/>
          <w:color w:val="auto"/>
        </w:rPr>
        <w:t xml:space="preserve">, the undersigned, Fitchburg Gas and Electric Light Company (herein called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 corporation organized and existing under the laws of the State of Massachusetts, hereby promises to pay to [____________], or</w:t>
      </w:r>
    </w:p>
    <w:p>
      <w:pPr>
        <w:spacing w:after="0" w:line="237" w:lineRule="auto"/>
        <w:rPr>
          <w:sz w:val="20"/>
          <w:szCs w:val="20"/>
          <w:color w:val="auto"/>
        </w:rPr>
      </w:pPr>
      <w:r>
        <w:rPr>
          <w:rFonts w:ascii="Times New Roman" w:cs="Times New Roman" w:eastAsia="Times New Roman" w:hAnsi="Times New Roman"/>
          <w:sz w:val="22"/>
          <w:szCs w:val="22"/>
          <w:color w:val="auto"/>
        </w:rPr>
        <w:t>registered assigns, the principal sum of [_____________________] Dollars (or so much thereof as shall not have been prepaid)</w:t>
      </w:r>
    </w:p>
    <w:p>
      <w:pPr>
        <w:jc w:val="both"/>
        <w:spacing w:after="0" w:line="247" w:lineRule="exact"/>
        <w:rPr>
          <w:sz w:val="20"/>
          <w:szCs w:val="20"/>
          <w:color w:val="auto"/>
        </w:rPr>
      </w:pPr>
      <w:r>
        <w:rPr>
          <w:rFonts w:ascii="Times New Roman" w:cs="Times New Roman" w:eastAsia="Times New Roman" w:hAnsi="Times New Roman"/>
          <w:sz w:val="22"/>
          <w:szCs w:val="22"/>
          <w:color w:val="auto"/>
        </w:rPr>
        <w:t xml:space="preserve">on April 30, 2041 (the </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with interest (computed on the basis of a 360-day year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 on the unpaid balance hereof at the rate of 5.87% per annum from the date hereof, payable semiannually, on the 30th day of April and October in each year, commencing with October 30, 2026 and thereafter the April or October 30 next succeeding the date hereof, and on the Maturity Date, until the principal hereof shall have become due and payable, and (b) without duplication with clause (a) above, to the extent permitted by law, on any overdue payment of interest and,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at a rate per annum from time to time equal to the greater of (i) 7.87% or (ii) 2% over the rate of interest publicly announced by Bank of America, N.A. from time to time in Charlotte, North Carolina as its “base” or “prime” rate, payable semiannually as aforesaid (or, at the option of the registered holder hereof, on demand).</w:t>
      </w:r>
    </w:p>
    <w:p>
      <w:pPr>
        <w:spacing w:after="0" w:line="20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Payments of principal of, interest on and any Make-Whole Amount with respect to this Note are to be made in lawful money of the United States of America at the principal office of the Company in Hampton, New Hampshire, at such other place as the Company shall have designated by written notice to the holder of this Note as provided in the Note Purchase Agreement referred to below, or as otherwise provided in the Note Purchase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6" w:name="page77"/>
    <w:bookmarkEnd w:id="76"/>
    <w:p>
      <w:pPr>
        <w:spacing w:after="0" w:line="22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This Note is one of a series of Senior Notes (herein called the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xml:space="preserve">) issued pursuant to, and subject to, the Note Purchase Agreement, dated as of April 30, 2026 (as from time to time amended, the </w:t>
      </w:r>
      <w:r>
        <w:rPr>
          <w:rFonts w:ascii="Times New Roman" w:cs="Times New Roman" w:eastAsia="Times New Roman" w:hAnsi="Times New Roman"/>
          <w:sz w:val="21"/>
          <w:szCs w:val="21"/>
          <w:i w:val="1"/>
          <w:iCs w:val="1"/>
          <w:color w:val="auto"/>
        </w:rPr>
        <w:t>“Note Purchase Agreement”</w:t>
      </w:r>
      <w:r>
        <w:rPr>
          <w:rFonts w:ascii="Times New Roman" w:cs="Times New Roman" w:eastAsia="Times New Roman" w:hAnsi="Times New Roman"/>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19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99"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2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itchburg</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as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15.3</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U.S.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Reference is hereby made to the Note Purchase Agreement dated as of April 30, 2026 (as amended, supplemented or otherwise modified from time to time, the </w:t>
      </w:r>
      <w:r>
        <w:rPr>
          <w:rFonts w:ascii="Times New Roman" w:cs="Times New Roman" w:eastAsia="Times New Roman" w:hAnsi="Times New Roman"/>
          <w:sz w:val="22"/>
          <w:szCs w:val="22"/>
          <w:i w:val="1"/>
          <w:iCs w:val="1"/>
          <w:color w:val="auto"/>
        </w:rPr>
        <w:t>“Note Purchase Agreement”</w:t>
      </w:r>
      <w:r>
        <w:rPr>
          <w:rFonts w:ascii="Times New Roman" w:cs="Times New Roman" w:eastAsia="Times New Roman" w:hAnsi="Times New Roman"/>
          <w:sz w:val="22"/>
          <w:szCs w:val="22"/>
          <w:color w:val="auto"/>
        </w:rPr>
        <w:t xml:space="preserve">), among Fitchburg Gas and Electric Light Company, a Massachusetts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the holders of Notes that are signatories thereto.</w:t>
      </w:r>
    </w:p>
    <w:p>
      <w:pPr>
        <w:spacing w:after="0" w:line="20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capitalized terms defined in the Note Purchase Agreement and used herein have the meanings given to them in the Note Purchase Agreement.</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Pursuant to the provisions of Section 15.3 of the Note Purchase Agreement, the undersigned hereby certifies that:</w:t>
      </w:r>
    </w:p>
    <w:p>
      <w:pPr>
        <w:spacing w:after="0" w:line="14" w:lineRule="exact"/>
        <w:rPr>
          <w:sz w:val="20"/>
          <w:szCs w:val="20"/>
          <w:color w:val="auto"/>
        </w:rPr>
      </w:pPr>
    </w:p>
    <w:p>
      <w:pPr>
        <w:ind w:left="1240" w:hanging="430"/>
        <w:spacing w:after="0"/>
        <w:tabs>
          <w:tab w:leader="none" w:pos="12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record and beneficial owner of the Notes in respect of which it is providing this certificate;</w:t>
      </w:r>
    </w:p>
    <w:p>
      <w:pPr>
        <w:spacing w:after="0" w:line="182"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bank within the meaning of Section 881(c)(3)(A) of the Code;</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ten percent shareholder of the Company within the meaning of Section 871(h)(3)(B) of the Code; and</w:t>
      </w:r>
    </w:p>
    <w:p>
      <w:pPr>
        <w:spacing w:after="0" w:line="206" w:lineRule="exact"/>
        <w:rPr>
          <w:rFonts w:ascii="Times New Roman" w:cs="Times New Roman" w:eastAsia="Times New Roman" w:hAnsi="Times New Roman"/>
          <w:sz w:val="22"/>
          <w:szCs w:val="22"/>
          <w:color w:val="auto"/>
        </w:rPr>
      </w:pPr>
    </w:p>
    <w:p>
      <w:pPr>
        <w:ind w:left="760" w:right="160" w:firstLine="50"/>
        <w:spacing w:after="0" w:line="496" w:lineRule="auto"/>
        <w:tabs>
          <w:tab w:leader="none" w:pos="124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a controlled foreign corporation related to the Company as described in Section 881(c)(3)(C) of the Code. The undersigned has furnished the Company with a certificate of its non-U.S. Person status on IRS W-8BEN-E.</w:t>
      </w:r>
    </w:p>
    <w:p>
      <w:pPr>
        <w:spacing w:after="0" w:line="3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Name:</w:t>
      </w:r>
    </w:p>
    <w:p>
      <w:pPr>
        <w:ind w:left="900"/>
        <w:spacing w:after="0" w:line="230" w:lineRule="auto"/>
        <w:rPr>
          <w:sz w:val="20"/>
          <w:szCs w:val="20"/>
          <w:color w:val="auto"/>
        </w:rPr>
      </w:pPr>
      <w:r>
        <w:rPr>
          <w:rFonts w:ascii="Times New Roman" w:cs="Times New Roman" w:eastAsia="Times New Roman" w:hAnsi="Times New Roman"/>
          <w:sz w:val="22"/>
          <w:szCs w:val="22"/>
          <w:color w:val="auto"/>
        </w:rPr>
        <w:t>Title: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 __, [•]</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15.3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8" w:name="page79"/>
    <w:bookmarkEnd w:id="78"/>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itchburg</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as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lectric</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5.62%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2026A, </w:t>
      </w:r>
      <w:r>
        <w:rPr>
          <w:rFonts w:ascii="Times New Roman" w:cs="Times New Roman" w:eastAsia="Times New Roman" w:hAnsi="Times New Roman"/>
          <w:sz w:val="14"/>
          <w:szCs w:val="14"/>
          <w:b w:val="1"/>
          <w:bCs w:val="1"/>
          <w:color w:val="auto"/>
        </w:rPr>
        <w:t>due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30, 2036</w:t>
      </w:r>
    </w:p>
    <w:p>
      <w:pPr>
        <w:sectPr>
          <w:pgSz w:w="11900" w:h="16838" w:orient="portrait"/>
          <w:cols w:equalWidth="0" w:num="1">
            <w:col w:w="11240"/>
          </w:cols>
          <w:pgMar w:left="320" w:top="1404" w:right="339" w:bottom="1440" w:gutter="0" w:footer="0" w:header="0"/>
        </w:sect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No. RA-1 $5,000,000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30,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PPN 338135 G@9</w:t>
      </w:r>
    </w:p>
    <w:p>
      <w:pPr>
        <w:spacing w:after="0" w:line="258" w:lineRule="exact"/>
        <w:rPr>
          <w:sz w:val="20"/>
          <w:szCs w:val="20"/>
          <w:color w:val="auto"/>
        </w:rPr>
      </w:pPr>
    </w:p>
    <w:p>
      <w:pPr>
        <w:sectPr>
          <w:pgSz w:w="11900" w:h="16838" w:orient="portrait"/>
          <w:cols w:equalWidth="0" w:num="2">
            <w:col w:w="980" w:space="320"/>
            <w:col w:w="9940"/>
          </w:cols>
          <w:pgMar w:left="320" w:top="1404" w:right="339" w:bottom="1440" w:gutter="0" w:footer="0" w:header="0"/>
          <w:type w:val="continuous"/>
        </w:sectPr>
      </w:pPr>
    </w:p>
    <w:p>
      <w:pPr>
        <w:spacing w:after="0" w:line="214"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or</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eceived</w:t>
      </w:r>
      <w:r>
        <w:rPr>
          <w:rFonts w:ascii="Times New Roman" w:cs="Times New Roman" w:eastAsia="Times New Roman" w:hAnsi="Times New Roman"/>
          <w:sz w:val="22"/>
          <w:szCs w:val="22"/>
          <w:color w:val="auto"/>
        </w:rPr>
        <w:t xml:space="preserve">, the undersigned, Fitchburg Gas and Electric Light Company (herein called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 corporation organized and existing under the laws of the State of Massachusetts, hereby promises to pay to 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 or registered assigns, the principal sum of F</w:t>
      </w:r>
      <w:r>
        <w:rPr>
          <w:rFonts w:ascii="Times New Roman" w:cs="Times New Roman" w:eastAsia="Times New Roman" w:hAnsi="Times New Roman"/>
          <w:sz w:val="14"/>
          <w:szCs w:val="14"/>
          <w:color w:val="auto"/>
        </w:rPr>
        <w:t>ive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illion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ollars</w:t>
      </w:r>
      <w:r>
        <w:rPr>
          <w:rFonts w:ascii="Times New Roman" w:cs="Times New Roman" w:eastAsia="Times New Roman" w:hAnsi="Times New Roman"/>
          <w:sz w:val="22"/>
          <w:szCs w:val="22"/>
          <w:color w:val="auto"/>
        </w:rPr>
        <w:t xml:space="preserve"> (or so much thereof as shall not have been prepaid) on April 30, 2036 (the </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with interest (computed on the basis of a 360-day year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 on the unpaid balance hereof at the rate of 5.62% per annum from the date hereof, payable semiannually, on the 30th day of April and October in each year, commencing with October 30, 2026 and thereafter the April or October 30 next succeeding the date hereof, and on the Maturity Date, until the principal hereof shall have become due and payable, and (b) without duplication with clause (a) above, to the extent permitted by law, on any overdue payment of interest and,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at a rate per annum from time to time equal to the greater of (i) 7.62% or (ii) 2% over the rate of interest publicly announced by Bank of America, N.A. from time to time in Charlotte, North Carolina as its “base” or “prime” rate, payable semiannually as aforesaid (or, at the option of the registered holder hereof, on demand).</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Payments of principal of, interest on and any Make-Whole Amount with respect to this Note are to be made in lawful money of the United States of America at the principal office of the Company in Hampton, New Hampshire, at such other place as the Company shall have designated by written notice to the holder of this Note as provided in the Note Purchase Agreement referred to below, or as otherwise provided in the Note Purchase Agreement.</w:t>
      </w:r>
    </w:p>
    <w:p>
      <w:pPr>
        <w:spacing w:after="0" w:line="21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This Note is one of a series of Senior Notes (herein called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xml:space="preserve">) issued pursuant to, and subject to, the Note Purchase Agreement, dated as of April 30, 2026 (as from time to time amended, the </w:t>
      </w:r>
      <w:r>
        <w:rPr>
          <w:rFonts w:ascii="Times New Roman" w:cs="Times New Roman" w:eastAsia="Times New Roman" w:hAnsi="Times New Roman"/>
          <w:sz w:val="22"/>
          <w:szCs w:val="22"/>
          <w:i w:val="1"/>
          <w:iCs w:val="1"/>
          <w:color w:val="auto"/>
        </w:rPr>
        <w:t>“Note Purchase Agreement”</w:t>
      </w:r>
      <w:r>
        <w:rPr>
          <w:rFonts w:ascii="Times New Roman" w:cs="Times New Roman" w:eastAsia="Times New Roman" w:hAnsi="Times New Roman"/>
          <w:sz w:val="22"/>
          <w:szCs w:val="22"/>
          <w:color w:val="auto"/>
        </w:rPr>
        <w:t>), between the Company and the respective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79" w:name="page80"/>
    <w:bookmarkEnd w:id="7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named therein and is entitled to the benefits thereof. Each holder of this Note will be deemed, by its acceptance hereof, to have</w:t>
      </w:r>
    </w:p>
    <w:p>
      <w:pPr>
        <w:spacing w:after="0" w:line="14" w:lineRule="exact"/>
        <w:rPr>
          <w:sz w:val="20"/>
          <w:szCs w:val="20"/>
          <w:color w:val="auto"/>
        </w:rPr>
      </w:pPr>
    </w:p>
    <w:p>
      <w:pPr>
        <w:jc w:val="both"/>
        <w:ind w:firstLine="8"/>
        <w:spacing w:after="0" w:line="235" w:lineRule="auto"/>
        <w:tabs>
          <w:tab w:leader="none" w:pos="32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99"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2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2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itchburg</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as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880"/>
        <w:spacing w:after="0"/>
        <w:tabs>
          <w:tab w:leader="none" w:pos="5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Daniel J. Hurstak</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Daniel J. Hurstak</w:t>
      </w:r>
    </w:p>
    <w:p>
      <w:pPr>
        <w:ind w:left="52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(including Omitted Notes)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$23,000,000 5.62% Senior Notes, Series 2026A, due April 30, 2036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PPN 338135 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137160</wp:posOffset>
            </wp:positionV>
            <wp:extent cx="4337050" cy="548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37050" cy="54800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1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dentifying</w:t>
            </w:r>
          </w:p>
        </w:tc>
        <w:tc>
          <w:tcPr>
            <w:tcW w:w="2300" w:type="dxa"/>
            <w:vAlign w:val="bottom"/>
            <w:tcBorders>
              <w:top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rincipal</w:t>
            </w:r>
          </w:p>
        </w:tc>
        <w:tc>
          <w:tcPr>
            <w:tcW w:w="40" w:type="dxa"/>
            <w:vAlign w:val="bottom"/>
          </w:tcPr>
          <w:p>
            <w:pPr>
              <w:spacing w:after="0"/>
              <w:rPr>
                <w:sz w:val="24"/>
                <w:szCs w:val="24"/>
                <w:color w:val="auto"/>
              </w:rPr>
            </w:pPr>
          </w:p>
        </w:tc>
      </w:tr>
      <w:tr>
        <w:trPr>
          <w:trHeight w:val="282"/>
        </w:trPr>
        <w:tc>
          <w:tcPr>
            <w:tcW w:w="100" w:type="dxa"/>
            <w:vAlign w:val="bottom"/>
          </w:tcPr>
          <w:p>
            <w:pPr>
              <w:spacing w:after="0"/>
              <w:rPr>
                <w:sz w:val="24"/>
                <w:szCs w:val="24"/>
                <w:color w:val="auto"/>
              </w:rPr>
            </w:pPr>
          </w:p>
        </w:tc>
        <w:tc>
          <w:tcPr>
            <w:tcW w:w="67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ame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egistered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ayee</w:t>
            </w:r>
          </w:p>
        </w:tc>
        <w:tc>
          <w:tcPr>
            <w:tcW w:w="200" w:type="dxa"/>
            <w:vAlign w:val="bottom"/>
          </w:tcPr>
          <w:p>
            <w:pPr>
              <w:spacing w:after="0"/>
              <w:rPr>
                <w:sz w:val="24"/>
                <w:szCs w:val="24"/>
                <w:color w:val="auto"/>
              </w:rPr>
            </w:pP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umber</w:t>
            </w:r>
          </w:p>
        </w:tc>
        <w:tc>
          <w:tcPr>
            <w:tcW w:w="230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mount</w:t>
            </w:r>
          </w:p>
        </w:tc>
        <w:tc>
          <w:tcPr>
            <w:tcW w:w="40" w:type="dxa"/>
            <w:vAlign w:val="bottom"/>
          </w:tcPr>
          <w:p>
            <w:pPr>
              <w:spacing w:after="0"/>
              <w:rPr>
                <w:sz w:val="24"/>
                <w:szCs w:val="24"/>
                <w:color w:val="auto"/>
              </w:rPr>
            </w:pPr>
          </w:p>
        </w:tc>
      </w:tr>
      <w:tr>
        <w:trPr>
          <w:trHeight w:val="144"/>
        </w:trPr>
        <w:tc>
          <w:tcPr>
            <w:tcW w:w="1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304"/>
        </w:trPr>
        <w:tc>
          <w:tcPr>
            <w:tcW w:w="100" w:type="dxa"/>
            <w:vAlign w:val="bottom"/>
            <w:tcBorders>
              <w:right w:val="single" w:sz="8" w:color="auto"/>
            </w:tcBorders>
          </w:tcPr>
          <w:p>
            <w:pPr>
              <w:spacing w:after="0"/>
              <w:rPr>
                <w:sz w:val="24"/>
                <w:szCs w:val="24"/>
                <w:color w:val="auto"/>
              </w:rPr>
            </w:pPr>
          </w:p>
        </w:tc>
        <w:tc>
          <w:tcPr>
            <w:tcW w:w="6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STATE FARM LIFE INSURANCE COMPANY</w:t>
            </w:r>
          </w:p>
        </w:tc>
        <w:tc>
          <w:tcPr>
            <w:tcW w:w="2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RA-1</w:t>
            </w: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$5,000,000</w:t>
            </w:r>
          </w:p>
        </w:tc>
        <w:tc>
          <w:tcPr>
            <w:tcW w:w="40" w:type="dxa"/>
            <w:vAlign w:val="bottom"/>
          </w:tcPr>
          <w:p>
            <w:pPr>
              <w:spacing w:after="0"/>
              <w:rPr>
                <w:sz w:val="24"/>
                <w:szCs w:val="24"/>
                <w:color w:val="auto"/>
              </w:rPr>
            </w:pPr>
          </w:p>
        </w:tc>
      </w:tr>
      <w:tr>
        <w:trPr>
          <w:trHeight w:val="304"/>
        </w:trPr>
        <w:tc>
          <w:tcPr>
            <w:tcW w:w="100" w:type="dxa"/>
            <w:vAlign w:val="bottom"/>
            <w:tcBorders>
              <w:right w:val="single" w:sz="8" w:color="auto"/>
            </w:tcBorders>
          </w:tcPr>
          <w:p>
            <w:pPr>
              <w:spacing w:after="0"/>
              <w:rPr>
                <w:sz w:val="24"/>
                <w:szCs w:val="24"/>
                <w:color w:val="auto"/>
              </w:rPr>
            </w:pPr>
          </w:p>
        </w:tc>
        <w:tc>
          <w:tcPr>
            <w:tcW w:w="6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COBANK, ACB</w:t>
            </w:r>
          </w:p>
        </w:tc>
        <w:tc>
          <w:tcPr>
            <w:tcW w:w="2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RA-2</w:t>
            </w: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$18,000,000</w:t>
            </w:r>
          </w:p>
        </w:tc>
        <w:tc>
          <w:tcPr>
            <w:tcW w:w="40" w:type="dxa"/>
            <w:vAlign w:val="bottom"/>
          </w:tcPr>
          <w:p>
            <w:pPr>
              <w:spacing w:after="0"/>
              <w:rPr>
                <w:sz w:val="24"/>
                <w:szCs w:val="24"/>
                <w:color w:val="auto"/>
              </w:rPr>
            </w:pPr>
          </w:p>
        </w:tc>
      </w:tr>
      <w:tr>
        <w:trPr>
          <w:trHeight w:val="1870"/>
        </w:trPr>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2" w:name="page83"/>
    <w:bookmarkEnd w:id="82"/>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itchburg</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as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lectric</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5.87%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2026B, </w:t>
      </w:r>
      <w:r>
        <w:rPr>
          <w:rFonts w:ascii="Times New Roman" w:cs="Times New Roman" w:eastAsia="Times New Roman" w:hAnsi="Times New Roman"/>
          <w:sz w:val="14"/>
          <w:szCs w:val="14"/>
          <w:b w:val="1"/>
          <w:bCs w:val="1"/>
          <w:color w:val="auto"/>
        </w:rPr>
        <w:t>due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30, 2041</w:t>
      </w:r>
    </w:p>
    <w:p>
      <w:pPr>
        <w:sectPr>
          <w:pgSz w:w="11900" w:h="16838" w:orient="portrait"/>
          <w:cols w:equalWidth="0" w:num="1">
            <w:col w:w="11240"/>
          </w:cols>
          <w:pgMar w:left="320" w:top="1404"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RB-1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$16,000,000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30,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PPN 338135 G#7</w:t>
      </w:r>
    </w:p>
    <w:p>
      <w:pPr>
        <w:spacing w:after="0" w:line="200" w:lineRule="exact"/>
        <w:rPr>
          <w:sz w:val="20"/>
          <w:szCs w:val="20"/>
          <w:color w:val="auto"/>
        </w:rPr>
      </w:pPr>
    </w:p>
    <w:p>
      <w:pPr>
        <w:sectPr>
          <w:pgSz w:w="11900" w:h="16838" w:orient="portrait"/>
          <w:cols w:equalWidth="0" w:num="2">
            <w:col w:w="1080" w:space="220"/>
            <w:col w:w="9940"/>
          </w:cols>
          <w:pgMar w:left="320" w:top="1404" w:right="339" w:bottom="1440" w:gutter="0" w:footer="0" w:header="0"/>
          <w:type w:val="continuous"/>
        </w:sectPr>
      </w:pPr>
    </w:p>
    <w:p>
      <w:pPr>
        <w:spacing w:after="0" w:line="273"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or</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alue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eceived</w:t>
      </w:r>
      <w:r>
        <w:rPr>
          <w:rFonts w:ascii="Times New Roman" w:cs="Times New Roman" w:eastAsia="Times New Roman" w:hAnsi="Times New Roman"/>
          <w:sz w:val="22"/>
          <w:szCs w:val="22"/>
          <w:color w:val="auto"/>
        </w:rPr>
        <w:t xml:space="preserve">, the undersigned, Fitchburg Gas and Electric Light Company (herein called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 corporation organized and existing under the laws of the State of Massachusetts, hereby promises to pay to 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22"/>
          <w:szCs w:val="22"/>
          <w:color w:val="auto"/>
        </w:rPr>
        <w:t>, or registered assigns, the principal sum of S</w:t>
      </w:r>
      <w:r>
        <w:rPr>
          <w:rFonts w:ascii="Times New Roman" w:cs="Times New Roman" w:eastAsia="Times New Roman" w:hAnsi="Times New Roman"/>
          <w:sz w:val="14"/>
          <w:szCs w:val="14"/>
          <w:color w:val="auto"/>
        </w:rPr>
        <w:t>ixteen</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illion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ollars</w:t>
      </w:r>
      <w:r>
        <w:rPr>
          <w:rFonts w:ascii="Times New Roman" w:cs="Times New Roman" w:eastAsia="Times New Roman" w:hAnsi="Times New Roman"/>
          <w:sz w:val="22"/>
          <w:szCs w:val="22"/>
          <w:color w:val="auto"/>
        </w:rPr>
        <w:t xml:space="preserve"> (or so much thereof as shall not have been prepaid) on April 30, 2041 (the </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with interest (computed on the basis of a 360-day year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 on the unpaid balance hereof at the rate of 5.87% per annum from the date hereof, payable semiannually, on the 30th day of April and October in each year, commencing with October 30, 2026 and thereafter the April or October 30 next succeeding the date hereof, and on the Maturity Date, until the principal hereof shall have become due and payable, and (b) without duplication with clause (a) above, to the extent permitted by law, on any overdue payment of interest and,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at a rate per annum from time to time equal to the greater of (i) 7.87% or (ii) 2% over the rate of interest publicly announced by Bank of America, N.A. from time to time in Charlotte, North Carolina as its “base” or “prime” rate, payable semiannually as aforesaid (or, at the option of the registered holder hereof, on demand).</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Payments of principal of, interest on and any Make-Whole Amount with respect to this Note are to be made in lawful money of the United States of America at the principal office of the Company in Hampton, New Hampshire, at such other place as the Company shall have designated by written notice to the holder of this Note as provided in the Note Purchase Agreement referred to below, or as otherwise provided in the Note Purchase Agreement.</w:t>
      </w:r>
    </w:p>
    <w:p>
      <w:pPr>
        <w:spacing w:after="0" w:line="21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This Note is one of a series of Senior Notes (herein called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xml:space="preserve">) issued pursuant to, and subject to, the Note Purchase Agreement, dated as of April 30, 2026 (as from time to time amended, the </w:t>
      </w:r>
      <w:r>
        <w:rPr>
          <w:rFonts w:ascii="Times New Roman" w:cs="Times New Roman" w:eastAsia="Times New Roman" w:hAnsi="Times New Roman"/>
          <w:sz w:val="22"/>
          <w:szCs w:val="22"/>
          <w:i w:val="1"/>
          <w:iCs w:val="1"/>
          <w:color w:val="auto"/>
        </w:rPr>
        <w:t>“Note Purchase Agreement”</w:t>
      </w:r>
      <w:r>
        <w:rPr>
          <w:rFonts w:ascii="Times New Roman" w:cs="Times New Roman" w:eastAsia="Times New Roman" w:hAnsi="Times New Roman"/>
          <w:sz w:val="22"/>
          <w:szCs w:val="22"/>
          <w:color w:val="auto"/>
        </w:rPr>
        <w:t>), between the Company and the respective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83" w:name="page84"/>
    <w:bookmarkEnd w:id="83"/>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named therein and is entitled to the benefits thereof. Each holder of this Note will be deemed, by its acceptance hereof, to have</w:t>
      </w:r>
    </w:p>
    <w:p>
      <w:pPr>
        <w:spacing w:after="0" w:line="14" w:lineRule="exact"/>
        <w:rPr>
          <w:sz w:val="20"/>
          <w:szCs w:val="20"/>
          <w:color w:val="auto"/>
        </w:rPr>
      </w:pPr>
    </w:p>
    <w:p>
      <w:pPr>
        <w:jc w:val="both"/>
        <w:ind w:firstLine="8"/>
        <w:spacing w:after="0" w:line="235" w:lineRule="auto"/>
        <w:tabs>
          <w:tab w:leader="none" w:pos="32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99"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2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2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itchburg</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as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880"/>
        <w:spacing w:after="0"/>
        <w:tabs>
          <w:tab w:leader="none" w:pos="5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Daniel J. Hurstak</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Daniel J. Hurstak</w:t>
      </w:r>
    </w:p>
    <w:p>
      <w:pPr>
        <w:ind w:left="52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(including Omitted Notes)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$17,000,000 5.87% Senior Notes, Series 2026B, due April 30, 2041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PPN 338135 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137160</wp:posOffset>
            </wp:positionV>
            <wp:extent cx="4337050" cy="548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37050" cy="54800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1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dentifying</w:t>
            </w:r>
          </w:p>
        </w:tc>
        <w:tc>
          <w:tcPr>
            <w:tcW w:w="2300" w:type="dxa"/>
            <w:vAlign w:val="bottom"/>
            <w:tcBorders>
              <w:top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rincipal</w:t>
            </w:r>
          </w:p>
        </w:tc>
        <w:tc>
          <w:tcPr>
            <w:tcW w:w="40" w:type="dxa"/>
            <w:vAlign w:val="bottom"/>
          </w:tcPr>
          <w:p>
            <w:pPr>
              <w:spacing w:after="0"/>
              <w:rPr>
                <w:sz w:val="24"/>
                <w:szCs w:val="24"/>
                <w:color w:val="auto"/>
              </w:rPr>
            </w:pPr>
          </w:p>
        </w:tc>
      </w:tr>
      <w:tr>
        <w:trPr>
          <w:trHeight w:val="282"/>
        </w:trPr>
        <w:tc>
          <w:tcPr>
            <w:tcW w:w="100" w:type="dxa"/>
            <w:vAlign w:val="bottom"/>
          </w:tcPr>
          <w:p>
            <w:pPr>
              <w:spacing w:after="0"/>
              <w:rPr>
                <w:sz w:val="24"/>
                <w:szCs w:val="24"/>
                <w:color w:val="auto"/>
              </w:rPr>
            </w:pPr>
          </w:p>
        </w:tc>
        <w:tc>
          <w:tcPr>
            <w:tcW w:w="67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ame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egistered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ayee</w:t>
            </w:r>
          </w:p>
        </w:tc>
        <w:tc>
          <w:tcPr>
            <w:tcW w:w="200" w:type="dxa"/>
            <w:vAlign w:val="bottom"/>
          </w:tcPr>
          <w:p>
            <w:pPr>
              <w:spacing w:after="0"/>
              <w:rPr>
                <w:sz w:val="24"/>
                <w:szCs w:val="24"/>
                <w:color w:val="auto"/>
              </w:rPr>
            </w:pPr>
          </w:p>
        </w:tc>
        <w:tc>
          <w:tcPr>
            <w:tcW w:w="1820" w:type="dxa"/>
            <w:vAlign w:val="bottom"/>
            <w:tcBorders>
              <w:right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umber</w:t>
            </w:r>
          </w:p>
        </w:tc>
        <w:tc>
          <w:tcPr>
            <w:tcW w:w="230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mount</w:t>
            </w:r>
          </w:p>
        </w:tc>
        <w:tc>
          <w:tcPr>
            <w:tcW w:w="4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304"/>
        </w:trPr>
        <w:tc>
          <w:tcPr>
            <w:tcW w:w="100" w:type="dxa"/>
            <w:vAlign w:val="bottom"/>
            <w:tcBorders>
              <w:right w:val="single" w:sz="8" w:color="auto"/>
            </w:tcBorders>
          </w:tcPr>
          <w:p>
            <w:pPr>
              <w:spacing w:after="0"/>
              <w:rPr>
                <w:sz w:val="24"/>
                <w:szCs w:val="24"/>
                <w:color w:val="auto"/>
              </w:rPr>
            </w:pPr>
          </w:p>
        </w:tc>
        <w:tc>
          <w:tcPr>
            <w:tcW w:w="6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STATE FARM LIFE INSURANCE COMPANY</w:t>
            </w:r>
          </w:p>
        </w:tc>
        <w:tc>
          <w:tcPr>
            <w:tcW w:w="2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22"/>
                <w:szCs w:val="22"/>
                <w:color w:val="auto"/>
              </w:rPr>
              <w:t>RB-1</w:t>
            </w: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$16,000,000</w:t>
            </w:r>
          </w:p>
        </w:tc>
        <w:tc>
          <w:tcPr>
            <w:tcW w:w="40" w:type="dxa"/>
            <w:vAlign w:val="bottom"/>
          </w:tcPr>
          <w:p>
            <w:pPr>
              <w:spacing w:after="0"/>
              <w:rPr>
                <w:sz w:val="24"/>
                <w:szCs w:val="24"/>
                <w:color w:val="auto"/>
              </w:rPr>
            </w:pPr>
          </w:p>
        </w:tc>
      </w:tr>
      <w:tr>
        <w:trPr>
          <w:trHeight w:val="304"/>
        </w:trPr>
        <w:tc>
          <w:tcPr>
            <w:tcW w:w="100" w:type="dxa"/>
            <w:vAlign w:val="bottom"/>
            <w:tcBorders>
              <w:right w:val="single" w:sz="8" w:color="auto"/>
            </w:tcBorders>
          </w:tcPr>
          <w:p>
            <w:pPr>
              <w:spacing w:after="0"/>
              <w:rPr>
                <w:sz w:val="24"/>
                <w:szCs w:val="24"/>
                <w:color w:val="auto"/>
              </w:rPr>
            </w:pPr>
          </w:p>
        </w:tc>
        <w:tc>
          <w:tcPr>
            <w:tcW w:w="6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STATE FARM LIFE AND ACCIDENT ASSURANCE COMPANY</w:t>
            </w:r>
          </w:p>
        </w:tc>
        <w:tc>
          <w:tcPr>
            <w:tcW w:w="2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22"/>
                <w:szCs w:val="22"/>
                <w:color w:val="auto"/>
              </w:rPr>
              <w:t>RB-2</w:t>
            </w: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$1,000,000</w:t>
            </w:r>
          </w:p>
        </w:tc>
        <w:tc>
          <w:tcPr>
            <w:tcW w:w="40" w:type="dxa"/>
            <w:vAlign w:val="bottom"/>
          </w:tcPr>
          <w:p>
            <w:pPr>
              <w:spacing w:after="0"/>
              <w:rPr>
                <w:sz w:val="24"/>
                <w:szCs w:val="24"/>
                <w:color w:val="auto"/>
              </w:rPr>
            </w:pPr>
          </w:p>
        </w:tc>
      </w:tr>
      <w:tr>
        <w:trPr>
          <w:trHeight w:val="1870"/>
        </w:trPr>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decimal"/>
      <w:start w:val="1"/>
    </w:lvl>
    <w:lvl w:ilvl="1">
      <w:lvlJc w:val="left"/>
      <w:lvlText w:val="(%2)"/>
      <w:numFmt w:val="lowerLetter"/>
      <w:start w:val="2"/>
    </w:lvl>
  </w:abstractNum>
  <w:abstractNum w:abstractNumId="4">
    <w:nsid w:val="5577F8E1"/>
    <w:multiLevelType w:val="hybridMultilevel"/>
    <w:lvl w:ilvl="0">
      <w:lvlJc w:val="left"/>
      <w:lvlText w:val="(%1)"/>
      <w:numFmt w:val="decimal"/>
      <w:start w:val="2"/>
    </w:lvl>
    <w:lvl w:ilvl="1">
      <w:lvlJc w:val="left"/>
      <w:lvlText w:val="(%2)"/>
      <w:numFmt w:val="lowerLetter"/>
      <w:start w:val="3"/>
    </w:lvl>
  </w:abstractNum>
  <w:abstractNum w:abstractNumId="5">
    <w:nsid w:val="440BADFC"/>
    <w:multiLevelType w:val="hybridMultilevel"/>
    <w:lvl w:ilvl="0">
      <w:lvlJc w:val="left"/>
      <w:lvlText w:val="(%1)"/>
      <w:numFmt w:val="lowerLetter"/>
      <w:start w:val="2"/>
    </w:lvl>
  </w:abstractNum>
  <w:abstractNum w:abstractNumId="6">
    <w:nsid w:val="5072367"/>
    <w:multiLevelType w:val="hybridMultilevel"/>
    <w:lvl w:ilvl="0">
      <w:lvlJc w:val="left"/>
      <w:lvlText w:val="(%1)"/>
      <w:numFmt w:val="lowerLetter"/>
      <w:start w:val="2"/>
    </w:lvl>
  </w:abstractNum>
  <w:abstractNum w:abstractNumId="7">
    <w:nsid w:val="3804823E"/>
    <w:multiLevelType w:val="hybridMultilevel"/>
    <w:lvl w:ilvl="0">
      <w:lvlJc w:val="left"/>
      <w:lvlText w:val="(%1)"/>
      <w:numFmt w:val="lowerLetter"/>
      <w:start w:val="2"/>
    </w:lvl>
  </w:abstractNum>
  <w:abstractNum w:abstractNumId="8">
    <w:nsid w:val="77465F01"/>
    <w:multiLevelType w:val="hybridMultilevel"/>
    <w:lvl w:ilvl="0">
      <w:lvlJc w:val="left"/>
      <w:lvlText w:val="(%1)"/>
      <w:numFmt w:val="lowerLetter"/>
      <w:start w:val="2"/>
    </w:lvl>
  </w:abstractNum>
  <w:abstractNum w:abstractNumId="9">
    <w:nsid w:val="7724C67E"/>
    <w:multiLevelType w:val="hybridMultilevel"/>
    <w:lvl w:ilvl="0">
      <w:lvlJc w:val="left"/>
      <w:lvlText w:val="(%1)"/>
      <w:numFmt w:val="lowerLetter"/>
      <w:start w:val="5"/>
    </w:lvl>
  </w:abstractNum>
  <w:abstractNum w:abstractNumId="10">
    <w:nsid w:val="5C482A97"/>
    <w:multiLevelType w:val="hybridMultilevel"/>
    <w:lvl w:ilvl="0">
      <w:lvlJc w:val="left"/>
      <w:lvlText w:val="(%1)"/>
      <w:numFmt w:val="decimal"/>
      <w:start w:val="8"/>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Letter"/>
      <w:start w:val="2"/>
    </w:lvl>
  </w:abstractNum>
  <w:abstractNum w:abstractNumId="14">
    <w:nsid w:val="2D517796"/>
    <w:multiLevelType w:val="hybridMultilevel"/>
    <w:lvl w:ilvl="0">
      <w:lvlJc w:val="left"/>
      <w:lvlText w:val="(%1)"/>
      <w:numFmt w:val="lowerLetter"/>
      <w:start w:val="2"/>
    </w:lvl>
    <w:lvl w:ilvl="1">
      <w:lvlJc w:val="left"/>
      <w:lvlText w:val="(%2)"/>
      <w:numFmt w:val="lowerRoman"/>
      <w:start w:val="1"/>
    </w:lvl>
  </w:abstractNum>
  <w:abstractNum w:abstractNumId="15">
    <w:nsid w:val="580BD78F"/>
    <w:multiLevelType w:val="hybridMultilevel"/>
    <w:lvl w:ilvl="0">
      <w:lvlJc w:val="left"/>
      <w:lvlText w:val="(%1)"/>
      <w:numFmt w:val="lowerLetter"/>
      <w:start w:val="4"/>
    </w:lvl>
  </w:abstractNum>
  <w:abstractNum w:abstractNumId="16">
    <w:nsid w:val="153EA438"/>
    <w:multiLevelType w:val="hybridMultilevel"/>
    <w:lvl w:ilvl="0">
      <w:lvlJc w:val="left"/>
      <w:lvlText w:val="(%1)"/>
      <w:numFmt w:val="lowerLetter"/>
      <w:start w:val="2"/>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Letter"/>
      <w:start w:val="2"/>
    </w:lvl>
  </w:abstractNum>
  <w:abstractNum w:abstractNumId="20">
    <w:nsid w:val="2A487CB0"/>
    <w:multiLevelType w:val="hybridMultilevel"/>
    <w:lvl w:ilvl="0">
      <w:lvlJc w:val="left"/>
      <w:lvlText w:val="(%1)"/>
      <w:numFmt w:val="lowerLetter"/>
      <w:start w:val="6"/>
    </w:lvl>
  </w:abstractNum>
  <w:abstractNum w:abstractNumId="21">
    <w:nsid w:val="1D4ED4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
    <w:nsid w:val="725A06FB"/>
    <w:multiLevelType w:val="hybridMultilevel"/>
    <w:lvl w:ilvl="0">
      <w:lvlJc w:val="left"/>
      <w:lvlText w:val="(%1)"/>
      <w:numFmt w:val="lowerRoman"/>
      <w:start w:val="2"/>
    </w:lvl>
    <w:lvl w:ilvl="1">
      <w:lvlJc w:val="left"/>
      <w:lvlText w:val="(%2)"/>
      <w:numFmt w:val="upperLetter"/>
      <w:start w:val="1"/>
    </w:lvl>
  </w:abstractNum>
  <w:abstractNum w:abstractNumId="23">
    <w:nsid w:val="2CD89A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
    <w:nsid w:val="57E4CCAF"/>
    <w:multiLevelType w:val="hybridMultilevel"/>
    <w:lvl w:ilvl="0">
      <w:lvlJc w:val="left"/>
      <w:lvlText w:val="%1"/>
      <w:numFmt w:val="lowerLetter"/>
      <w:start w:val="1"/>
    </w:lvl>
    <w:lvl w:ilvl="1">
      <w:lvlJc w:val="left"/>
      <w:lvlText w:val="(%2)"/>
      <w:numFmt w:val="lowerLetter"/>
      <w:start w:val="3"/>
    </w:lvl>
  </w:abstractNum>
  <w:abstractNum w:abstractNumId="25">
    <w:nsid w:val="7A6D8D3C"/>
    <w:multiLevelType w:val="hybridMultilevel"/>
    <w:lvl w:ilvl="0">
      <w:lvlJc w:val="left"/>
      <w:lvlText w:val="(%1)"/>
      <w:numFmt w:val="lowerLetter"/>
      <w:start w:val="35"/>
    </w:lvl>
    <w:lvl w:ilvl="1">
      <w:lvlJc w:val="left"/>
      <w:lvlText w:val="(%2)"/>
      <w:numFmt w:val="lowerLetter"/>
      <w:start w:val="4"/>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decimal"/>
      <w:start w:val="2"/>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2"/>
    </w:lvl>
  </w:abstractNum>
  <w:abstractNum w:abstractNumId="31">
    <w:nsid w:val="32FFF902"/>
    <w:multiLevelType w:val="hybridMultilevel"/>
    <w:lvl w:ilvl="0">
      <w:lvlJc w:val="left"/>
      <w:lvlText w:val="(%1)"/>
      <w:numFmt w:val="lowerRoman"/>
      <w:start w:val="1"/>
    </w:lvl>
    <w:lvl w:ilvl="1">
      <w:lvlJc w:val="left"/>
      <w:lvlText w:val="(%2)"/>
      <w:numFmt w:val="upperLetter"/>
      <w:start w:val="1"/>
    </w:lvl>
  </w:abstractNum>
  <w:abstractNum w:abstractNumId="32">
    <w:nsid w:val="684A481A"/>
    <w:multiLevelType w:val="hybridMultilevel"/>
    <w:lvl w:ilvl="0">
      <w:lvlJc w:val="left"/>
      <w:lvlText w:val="(%1)"/>
      <w:numFmt w:val="upperLetter"/>
      <w:start w:val="4"/>
    </w:lvl>
  </w:abstractNum>
  <w:abstractNum w:abstractNumId="33">
    <w:nsid w:val="579478FE"/>
    <w:multiLevelType w:val="hybridMultilevel"/>
    <w:lvl w:ilvl="0">
      <w:lvlJc w:val="left"/>
      <w:lvlText w:val="(%1)"/>
      <w:numFmt w:val="lowerLetter"/>
      <w:start w:val="2"/>
    </w:lvl>
  </w:abstractNum>
  <w:abstractNum w:abstractNumId="34">
    <w:nsid w:val="749ABB43"/>
    <w:multiLevelType w:val="hybridMultilevel"/>
    <w:lvl w:ilvl="0">
      <w:lvlJc w:val="left"/>
      <w:lvlText w:val="(%1)"/>
      <w:numFmt w:val="lowerRoman"/>
      <w:start w:val="1"/>
    </w:lvl>
  </w:abstractNum>
  <w:abstractNum w:abstractNumId="35">
    <w:nsid w:val="3DC240FB"/>
    <w:multiLevelType w:val="hybridMultilevel"/>
    <w:lvl w:ilvl="0">
      <w:lvlJc w:val="left"/>
      <w:lvlText w:val="%1"/>
      <w:numFmt w:val="lowerLetter"/>
      <w:start w:val="1"/>
    </w:lvl>
    <w:lvl w:ilvl="1">
      <w:lvlJc w:val="left"/>
      <w:lvlText w:val="(%2)"/>
      <w:numFmt w:val="lowerRoman"/>
      <w:start w:val="2"/>
    </w:lvl>
  </w:abstractNum>
  <w:abstractNum w:abstractNumId="36">
    <w:nsid w:val="1BA026FA"/>
    <w:multiLevelType w:val="hybridMultilevel"/>
    <w:lvl w:ilvl="0">
      <w:lvlJc w:val="left"/>
      <w:lvlText w:val="(%1)"/>
      <w:numFmt w:val="lowerLetter"/>
      <w:start w:val="2"/>
    </w:lvl>
    <w:lvl w:ilvl="1">
      <w:lvlJc w:val="left"/>
      <w:lvlText w:val="%2"/>
      <w:numFmt w:val="lowerRoman"/>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4"/>
    </w:lvl>
  </w:abstractNum>
  <w:abstractNum w:abstractNumId="39">
    <w:nsid w:val="12E685FB"/>
    <w:multiLevelType w:val="hybridMultilevel"/>
    <w:lvl w:ilvl="0">
      <w:lvlJc w:val="left"/>
      <w:lvlText w:val="(%1)"/>
      <w:numFmt w:val="lowerLetter"/>
      <w:start w:val="14"/>
    </w:lvl>
  </w:abstractNum>
  <w:abstractNum w:abstractNumId="40">
    <w:nsid w:val="70C6A529"/>
    <w:multiLevelType w:val="hybridMultilevel"/>
    <w:lvl w:ilvl="0">
      <w:lvlJc w:val="left"/>
      <w:lvlText w:val="(%1)"/>
      <w:numFmt w:val="lowerLetter"/>
      <w:start w:val="24"/>
    </w:lvl>
  </w:abstractNum>
  <w:abstractNum w:abstractNumId="41">
    <w:nsid w:val="520EEDD1"/>
    <w:multiLevelType w:val="hybridMultilevel"/>
    <w:lvl w:ilvl="0">
      <w:lvlJc w:val="left"/>
      <w:lvlText w:val="(%1)"/>
      <w:numFmt w:val="lowerRoman"/>
      <w:start w:val="1"/>
    </w:lvl>
  </w:abstractNum>
  <w:abstractNum w:abstractNumId="42">
    <w:nsid w:val="374A3FE6"/>
    <w:multiLevelType w:val="hybridMultilevel"/>
    <w:lvl w:ilvl="0">
      <w:lvlJc w:val="left"/>
      <w:lvlText w:val="(%1)"/>
      <w:numFmt w:val="lowerRoman"/>
      <w:start w:val="1"/>
    </w:lvl>
  </w:abstractNum>
  <w:abstractNum w:abstractNumId="43">
    <w:nsid w:val="4F4EF005"/>
    <w:multiLevelType w:val="hybridMultilevel"/>
    <w:lvl w:ilvl="0">
      <w:lvlJc w:val="left"/>
      <w:lvlText w:val="(%1)"/>
      <w:numFmt w:val="lowerRoman"/>
      <w:start w:val="2"/>
    </w:lvl>
  </w:abstractNum>
  <w:abstractNum w:abstractNumId="44">
    <w:nsid w:val="23F9C13C"/>
    <w:multiLevelType w:val="hybridMultilevel"/>
    <w:lvl w:ilvl="0">
      <w:lvlJc w:val="left"/>
      <w:lvlText w:val="(%1)"/>
      <w:numFmt w:val="lowerLetter"/>
      <w:start w:val="2"/>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8"/>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3"/>
    </w:lvl>
  </w:abstractNum>
  <w:abstractNum w:abstractNumId="52">
    <w:nsid w:val="354FE9F9"/>
    <w:multiLevelType w:val="hybridMultilevel"/>
    <w:lvl w:ilvl="0">
      <w:lvlJc w:val="left"/>
      <w:lvlText w:val="(%1)"/>
      <w:numFmt w:val="lowerRoman"/>
      <w:start w:val="1"/>
    </w:lvl>
  </w:abstractNum>
  <w:abstractNum w:abstractNumId="53">
    <w:nsid w:val="15B5AF5C"/>
    <w:multiLevelType w:val="hybridMultilevel"/>
    <w:lvl w:ilvl="0">
      <w:lvlJc w:val="left"/>
      <w:lvlText w:val="(%1)"/>
      <w:numFmt w:val="lowerRoman"/>
      <w:start w:val="3"/>
    </w:lvl>
  </w:abstractNum>
  <w:abstractNum w:abstractNumId="54">
    <w:nsid w:val="741226BB"/>
    <w:multiLevelType w:val="hybridMultilevel"/>
    <w:lvl w:ilvl="0">
      <w:lvlJc w:val="left"/>
      <w:lvlText w:val="(%1)"/>
      <w:numFmt w:val="lowerLetter"/>
      <w:start w:val="5"/>
    </w:lvl>
  </w:abstractNum>
  <w:abstractNum w:abstractNumId="55">
    <w:nsid w:val="D34B6A8"/>
    <w:multiLevelType w:val="hybridMultilevel"/>
    <w:lvl w:ilvl="0">
      <w:lvlJc w:val="left"/>
      <w:lvlText w:val="(%1)"/>
      <w:numFmt w:val="lowerLetter"/>
      <w:start w:val="1"/>
    </w:lvl>
    <w:lvl w:ilvl="1">
      <w:lvlJc w:val="left"/>
      <w:lvlText w:val="(%2)"/>
      <w:numFmt w:val="lowerRoman"/>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5"/>
    </w:lvl>
  </w:abstractNum>
  <w:abstractNum w:abstractNumId="59">
    <w:nsid w:val="7E0C57B1"/>
    <w:multiLevelType w:val="hybridMultilevel"/>
    <w:lvl w:ilvl="0">
      <w:lvlJc w:val="left"/>
      <w:lvlText w:val="%1"/>
      <w:numFmt w:val="lowerLetter"/>
      <w:start w:val="1"/>
    </w:lvl>
    <w:lvl w:ilvl="1">
      <w:lvlJc w:val="left"/>
      <w:lvlText w:val="(%2)"/>
      <w:numFmt w:val="lowerLetter"/>
      <w:start w:val="1"/>
    </w:lvl>
  </w:abstractNum>
  <w:abstractNum w:abstractNumId="60">
    <w:nsid w:val="77AE35EB"/>
    <w:multiLevelType w:val="hybridMultilevel"/>
    <w:lvl w:ilvl="0">
      <w:lvlJc w:val="left"/>
      <w:lvlText w:val="(%1)"/>
      <w:numFmt w:val="lowerLetter"/>
      <w:start w:val="2"/>
    </w:lvl>
    <w:lvl w:ilvl="1">
      <w:lvlJc w:val="left"/>
      <w:lvlText w:val="%2"/>
      <w:numFmt w:val="lowerLetter"/>
      <w:start w:val="1"/>
    </w:lvl>
  </w:abstractNum>
  <w:abstractNum w:abstractNumId="61">
    <w:nsid w:val="579BE4F1"/>
    <w:multiLevelType w:val="hybridMultilevel"/>
    <w:lvl w:ilvl="0">
      <w:lvlJc w:val="left"/>
      <w:lvlText w:val="(%1)"/>
      <w:numFmt w:val="lowerLetter"/>
      <w:start w:val="25"/>
    </w:lvl>
  </w:abstractNum>
  <w:abstractNum w:abstractNumId="62">
    <w:nsid w:val="310C50B3"/>
    <w:multiLevelType w:val="hybridMultilevel"/>
    <w:lvl w:ilvl="0">
      <w:lvlJc w:val="left"/>
      <w:lvlText w:val="(%1)"/>
      <w:numFmt w:val="lowerRoman"/>
      <w:start w:val="1"/>
    </w:lvl>
  </w:abstractNum>
  <w:abstractNum w:abstractNumId="63">
    <w:nsid w:val="5FF87E05"/>
    <w:multiLevelType w:val="hybridMultilevel"/>
    <w:lvl w:ilvl="0">
      <w:lvlJc w:val="left"/>
      <w:lvlText w:val="(%1)"/>
      <w:numFmt w:val="lowerRoman"/>
      <w:start w:val="1"/>
    </w:lvl>
  </w:abstractNum>
  <w:abstractNum w:abstractNumId="64">
    <w:nsid w:val="2F305DE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2026-05-05T15:41:12Z</dcterms:created>
  <dcterms:modified xsi:type="dcterms:W3CDTF">2026-05-05T15:41:12Z</dcterms:modified>
</cp:coreProperties>
</file>